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D62C71" w14:paraId="2836ECF9" w14:textId="77777777" w:rsidTr="00F320AA">
        <w:trPr>
          <w:cantSplit/>
        </w:trPr>
        <w:tc>
          <w:tcPr>
            <w:tcW w:w="1418" w:type="dxa"/>
            <w:vAlign w:val="center"/>
          </w:tcPr>
          <w:p w14:paraId="28E8C0E3" w14:textId="77777777" w:rsidR="00F320AA" w:rsidRPr="00D62C71" w:rsidRDefault="00F320AA" w:rsidP="00F320AA">
            <w:pPr>
              <w:spacing w:before="0"/>
              <w:rPr>
                <w:rFonts w:ascii="Verdana" w:hAnsi="Verdana"/>
                <w:position w:val="6"/>
              </w:rPr>
            </w:pPr>
            <w:r w:rsidRPr="00D62C71">
              <w:rPr>
                <w:noProof/>
              </w:rPr>
              <w:drawing>
                <wp:inline distT="0" distB="0" distL="0" distR="0" wp14:anchorId="3E10D5C3" wp14:editId="26E5793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43C983D" w14:textId="77777777" w:rsidR="00F320AA" w:rsidRPr="00D62C71" w:rsidRDefault="00F320AA" w:rsidP="00F320AA">
            <w:pPr>
              <w:spacing w:before="400" w:after="48" w:line="240" w:lineRule="atLeast"/>
              <w:rPr>
                <w:rFonts w:ascii="Verdana" w:hAnsi="Verdana"/>
                <w:position w:val="6"/>
              </w:rPr>
            </w:pPr>
            <w:r w:rsidRPr="00D62C71">
              <w:rPr>
                <w:rFonts w:ascii="Verdana" w:hAnsi="Verdana" w:cs="Times"/>
                <w:b/>
                <w:position w:val="6"/>
                <w:sz w:val="22"/>
                <w:szCs w:val="22"/>
              </w:rPr>
              <w:t>World Radiocommunication Conference (WRC-23)</w:t>
            </w:r>
            <w:r w:rsidRPr="00D62C71">
              <w:rPr>
                <w:rFonts w:ascii="Verdana" w:hAnsi="Verdana" w:cs="Times"/>
                <w:b/>
                <w:position w:val="6"/>
                <w:sz w:val="26"/>
                <w:szCs w:val="26"/>
              </w:rPr>
              <w:br/>
            </w:r>
            <w:r w:rsidRPr="00D62C71">
              <w:rPr>
                <w:rFonts w:ascii="Verdana" w:hAnsi="Verdana"/>
                <w:b/>
                <w:bCs/>
                <w:position w:val="6"/>
                <w:sz w:val="18"/>
                <w:szCs w:val="18"/>
              </w:rPr>
              <w:t>Dubai, 20 November - 15 December 2023</w:t>
            </w:r>
          </w:p>
        </w:tc>
        <w:tc>
          <w:tcPr>
            <w:tcW w:w="1951" w:type="dxa"/>
            <w:vAlign w:val="center"/>
          </w:tcPr>
          <w:p w14:paraId="23A9127C" w14:textId="77777777" w:rsidR="00F320AA" w:rsidRPr="00D62C71" w:rsidRDefault="00EB0812" w:rsidP="00F320AA">
            <w:pPr>
              <w:spacing w:before="0" w:line="240" w:lineRule="atLeast"/>
            </w:pPr>
            <w:r w:rsidRPr="00D62C71">
              <w:rPr>
                <w:noProof/>
              </w:rPr>
              <w:drawing>
                <wp:inline distT="0" distB="0" distL="0" distR="0" wp14:anchorId="4C686250" wp14:editId="5B90726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D62C71" w14:paraId="4C649FCB" w14:textId="77777777">
        <w:trPr>
          <w:cantSplit/>
        </w:trPr>
        <w:tc>
          <w:tcPr>
            <w:tcW w:w="6911" w:type="dxa"/>
            <w:gridSpan w:val="2"/>
            <w:tcBorders>
              <w:bottom w:val="single" w:sz="12" w:space="0" w:color="auto"/>
            </w:tcBorders>
          </w:tcPr>
          <w:p w14:paraId="5E2DE2B3" w14:textId="77777777" w:rsidR="00A066F1" w:rsidRPr="00D62C71"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15EC97E" w14:textId="77777777" w:rsidR="00A066F1" w:rsidRPr="00D62C71" w:rsidRDefault="00A066F1" w:rsidP="00A066F1">
            <w:pPr>
              <w:spacing w:before="0" w:line="240" w:lineRule="atLeast"/>
              <w:rPr>
                <w:rFonts w:ascii="Verdana" w:hAnsi="Verdana"/>
                <w:szCs w:val="24"/>
              </w:rPr>
            </w:pPr>
          </w:p>
        </w:tc>
      </w:tr>
      <w:tr w:rsidR="00A066F1" w:rsidRPr="00D62C71" w14:paraId="03756DDC" w14:textId="77777777">
        <w:trPr>
          <w:cantSplit/>
        </w:trPr>
        <w:tc>
          <w:tcPr>
            <w:tcW w:w="6911" w:type="dxa"/>
            <w:gridSpan w:val="2"/>
            <w:tcBorders>
              <w:top w:val="single" w:sz="12" w:space="0" w:color="auto"/>
            </w:tcBorders>
          </w:tcPr>
          <w:p w14:paraId="4B53115A" w14:textId="77777777" w:rsidR="00A066F1" w:rsidRPr="00D62C71"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4CCD8508" w14:textId="77777777" w:rsidR="00A066F1" w:rsidRPr="00D62C71" w:rsidRDefault="00A066F1" w:rsidP="00A066F1">
            <w:pPr>
              <w:spacing w:before="0" w:line="240" w:lineRule="atLeast"/>
              <w:rPr>
                <w:rFonts w:ascii="Verdana" w:hAnsi="Verdana"/>
                <w:sz w:val="20"/>
              </w:rPr>
            </w:pPr>
          </w:p>
        </w:tc>
      </w:tr>
      <w:tr w:rsidR="00A066F1" w:rsidRPr="00D62C71" w14:paraId="1639A3EE" w14:textId="77777777">
        <w:trPr>
          <w:cantSplit/>
          <w:trHeight w:val="23"/>
        </w:trPr>
        <w:tc>
          <w:tcPr>
            <w:tcW w:w="6911" w:type="dxa"/>
            <w:gridSpan w:val="2"/>
            <w:shd w:val="clear" w:color="auto" w:fill="auto"/>
          </w:tcPr>
          <w:p w14:paraId="4B043E41" w14:textId="77777777" w:rsidR="00A066F1" w:rsidRPr="00D62C7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D62C71">
              <w:rPr>
                <w:rFonts w:ascii="Verdana" w:hAnsi="Verdana"/>
                <w:sz w:val="20"/>
                <w:szCs w:val="20"/>
              </w:rPr>
              <w:t>PLENARY MEETING</w:t>
            </w:r>
          </w:p>
        </w:tc>
        <w:tc>
          <w:tcPr>
            <w:tcW w:w="3120" w:type="dxa"/>
            <w:gridSpan w:val="2"/>
          </w:tcPr>
          <w:p w14:paraId="7CD51954" w14:textId="77777777" w:rsidR="00A066F1" w:rsidRPr="00D62C71" w:rsidRDefault="00E55816" w:rsidP="00AA666F">
            <w:pPr>
              <w:tabs>
                <w:tab w:val="left" w:pos="851"/>
              </w:tabs>
              <w:spacing w:before="0" w:line="240" w:lineRule="atLeast"/>
              <w:rPr>
                <w:rFonts w:ascii="Verdana" w:hAnsi="Verdana"/>
                <w:sz w:val="20"/>
              </w:rPr>
            </w:pPr>
            <w:r w:rsidRPr="00D62C71">
              <w:rPr>
                <w:rFonts w:ascii="Verdana" w:hAnsi="Verdana"/>
                <w:b/>
                <w:sz w:val="20"/>
              </w:rPr>
              <w:t>Addendum 5 to</w:t>
            </w:r>
            <w:r w:rsidRPr="00D62C71">
              <w:rPr>
                <w:rFonts w:ascii="Verdana" w:hAnsi="Verdana"/>
                <w:b/>
                <w:sz w:val="20"/>
              </w:rPr>
              <w:br/>
              <w:t>Document 111(Add.25)</w:t>
            </w:r>
            <w:r w:rsidR="00A066F1" w:rsidRPr="00D62C71">
              <w:rPr>
                <w:rFonts w:ascii="Verdana" w:hAnsi="Verdana"/>
                <w:b/>
                <w:sz w:val="20"/>
              </w:rPr>
              <w:t>-</w:t>
            </w:r>
            <w:r w:rsidR="005E10C9" w:rsidRPr="00D62C71">
              <w:rPr>
                <w:rFonts w:ascii="Verdana" w:hAnsi="Verdana"/>
                <w:b/>
                <w:sz w:val="20"/>
              </w:rPr>
              <w:t>E</w:t>
            </w:r>
          </w:p>
        </w:tc>
      </w:tr>
      <w:tr w:rsidR="00A066F1" w:rsidRPr="00D62C71" w14:paraId="13632B00" w14:textId="77777777">
        <w:trPr>
          <w:cantSplit/>
          <w:trHeight w:val="23"/>
        </w:trPr>
        <w:tc>
          <w:tcPr>
            <w:tcW w:w="6911" w:type="dxa"/>
            <w:gridSpan w:val="2"/>
            <w:shd w:val="clear" w:color="auto" w:fill="auto"/>
          </w:tcPr>
          <w:p w14:paraId="3C52910A" w14:textId="77777777" w:rsidR="00A066F1" w:rsidRPr="00D62C7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6931396" w14:textId="77777777" w:rsidR="00A066F1" w:rsidRPr="00D62C71" w:rsidRDefault="00420873" w:rsidP="00A066F1">
            <w:pPr>
              <w:tabs>
                <w:tab w:val="left" w:pos="993"/>
              </w:tabs>
              <w:spacing w:before="0"/>
              <w:rPr>
                <w:rFonts w:ascii="Verdana" w:hAnsi="Verdana"/>
                <w:sz w:val="20"/>
              </w:rPr>
            </w:pPr>
            <w:r w:rsidRPr="00D62C71">
              <w:rPr>
                <w:rFonts w:ascii="Verdana" w:hAnsi="Verdana"/>
                <w:b/>
                <w:sz w:val="20"/>
              </w:rPr>
              <w:t>30 October 2023</w:t>
            </w:r>
          </w:p>
        </w:tc>
      </w:tr>
      <w:tr w:rsidR="00A066F1" w:rsidRPr="00D62C71" w14:paraId="518A800E" w14:textId="77777777">
        <w:trPr>
          <w:cantSplit/>
          <w:trHeight w:val="23"/>
        </w:trPr>
        <w:tc>
          <w:tcPr>
            <w:tcW w:w="6911" w:type="dxa"/>
            <w:gridSpan w:val="2"/>
            <w:shd w:val="clear" w:color="auto" w:fill="auto"/>
          </w:tcPr>
          <w:p w14:paraId="5E7559BE" w14:textId="77777777" w:rsidR="00A066F1" w:rsidRPr="00D62C7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700B772" w14:textId="77777777" w:rsidR="00A066F1" w:rsidRPr="00D62C71" w:rsidRDefault="00E55816" w:rsidP="00A066F1">
            <w:pPr>
              <w:tabs>
                <w:tab w:val="left" w:pos="993"/>
              </w:tabs>
              <w:spacing w:before="0"/>
              <w:rPr>
                <w:rFonts w:ascii="Verdana" w:hAnsi="Verdana"/>
                <w:b/>
                <w:sz w:val="20"/>
              </w:rPr>
            </w:pPr>
            <w:r w:rsidRPr="00D62C71">
              <w:rPr>
                <w:rFonts w:ascii="Verdana" w:hAnsi="Verdana"/>
                <w:b/>
                <w:sz w:val="20"/>
              </w:rPr>
              <w:t>Original: Chinese</w:t>
            </w:r>
          </w:p>
        </w:tc>
      </w:tr>
      <w:tr w:rsidR="00A066F1" w:rsidRPr="00D62C71" w14:paraId="717D5517" w14:textId="77777777" w:rsidTr="00025864">
        <w:trPr>
          <w:cantSplit/>
          <w:trHeight w:val="23"/>
        </w:trPr>
        <w:tc>
          <w:tcPr>
            <w:tcW w:w="10031" w:type="dxa"/>
            <w:gridSpan w:val="4"/>
            <w:shd w:val="clear" w:color="auto" w:fill="auto"/>
          </w:tcPr>
          <w:p w14:paraId="495F8BA7" w14:textId="77777777" w:rsidR="00A066F1" w:rsidRPr="00D62C71" w:rsidRDefault="00A066F1" w:rsidP="00A066F1">
            <w:pPr>
              <w:tabs>
                <w:tab w:val="left" w:pos="993"/>
              </w:tabs>
              <w:spacing w:before="0"/>
              <w:rPr>
                <w:rFonts w:ascii="Verdana" w:hAnsi="Verdana"/>
                <w:b/>
                <w:sz w:val="20"/>
              </w:rPr>
            </w:pPr>
          </w:p>
        </w:tc>
      </w:tr>
      <w:tr w:rsidR="00E55816" w:rsidRPr="00D62C71" w14:paraId="6C8A0537" w14:textId="77777777" w:rsidTr="00025864">
        <w:trPr>
          <w:cantSplit/>
          <w:trHeight w:val="23"/>
        </w:trPr>
        <w:tc>
          <w:tcPr>
            <w:tcW w:w="10031" w:type="dxa"/>
            <w:gridSpan w:val="4"/>
            <w:shd w:val="clear" w:color="auto" w:fill="auto"/>
          </w:tcPr>
          <w:p w14:paraId="703641DF" w14:textId="77777777" w:rsidR="00E55816" w:rsidRPr="00D62C71" w:rsidRDefault="00884D60" w:rsidP="00E55816">
            <w:pPr>
              <w:pStyle w:val="Source"/>
            </w:pPr>
            <w:r w:rsidRPr="00D62C71">
              <w:t>China (People's Republic of)</w:t>
            </w:r>
          </w:p>
        </w:tc>
      </w:tr>
      <w:tr w:rsidR="00E55816" w:rsidRPr="00D62C71" w14:paraId="6F50EF60" w14:textId="77777777" w:rsidTr="00025864">
        <w:trPr>
          <w:cantSplit/>
          <w:trHeight w:val="23"/>
        </w:trPr>
        <w:tc>
          <w:tcPr>
            <w:tcW w:w="10031" w:type="dxa"/>
            <w:gridSpan w:val="4"/>
            <w:shd w:val="clear" w:color="auto" w:fill="auto"/>
          </w:tcPr>
          <w:p w14:paraId="05F6FCE7" w14:textId="04290563" w:rsidR="00E55816" w:rsidRPr="00D62C71" w:rsidRDefault="00D22889" w:rsidP="00E55816">
            <w:pPr>
              <w:pStyle w:val="Title1"/>
            </w:pPr>
            <w:r w:rsidRPr="00D62C71">
              <w:t>PROPOSALS FOR THE WORK OF THE CONFERENCE</w:t>
            </w:r>
          </w:p>
        </w:tc>
      </w:tr>
      <w:tr w:rsidR="00E55816" w:rsidRPr="00D62C71" w14:paraId="79243815" w14:textId="77777777" w:rsidTr="00025864">
        <w:trPr>
          <w:cantSplit/>
          <w:trHeight w:val="23"/>
        </w:trPr>
        <w:tc>
          <w:tcPr>
            <w:tcW w:w="10031" w:type="dxa"/>
            <w:gridSpan w:val="4"/>
            <w:shd w:val="clear" w:color="auto" w:fill="auto"/>
          </w:tcPr>
          <w:p w14:paraId="0EFC1E54" w14:textId="77777777" w:rsidR="00E55816" w:rsidRPr="00D62C71" w:rsidRDefault="00E55816" w:rsidP="00E55816">
            <w:pPr>
              <w:pStyle w:val="Title2"/>
            </w:pPr>
          </w:p>
        </w:tc>
      </w:tr>
      <w:tr w:rsidR="00A538A6" w:rsidRPr="00D62C71" w14:paraId="74E36DA4" w14:textId="77777777" w:rsidTr="00025864">
        <w:trPr>
          <w:cantSplit/>
          <w:trHeight w:val="23"/>
        </w:trPr>
        <w:tc>
          <w:tcPr>
            <w:tcW w:w="10031" w:type="dxa"/>
            <w:gridSpan w:val="4"/>
            <w:shd w:val="clear" w:color="auto" w:fill="auto"/>
          </w:tcPr>
          <w:p w14:paraId="7D8866FA" w14:textId="77777777" w:rsidR="00A538A6" w:rsidRPr="00D62C71" w:rsidRDefault="004B13CB" w:rsidP="004B13CB">
            <w:pPr>
              <w:pStyle w:val="Agendaitem"/>
              <w:rPr>
                <w:lang w:val="en-GB"/>
              </w:rPr>
            </w:pPr>
            <w:r w:rsidRPr="00D62C71">
              <w:rPr>
                <w:lang w:val="en-GB"/>
              </w:rPr>
              <w:t>Agenda item 9.2</w:t>
            </w:r>
          </w:p>
        </w:tc>
      </w:tr>
    </w:tbl>
    <w:bookmarkEnd w:id="5"/>
    <w:bookmarkEnd w:id="6"/>
    <w:p w14:paraId="53F23146" w14:textId="77777777" w:rsidR="00187BD9" w:rsidRPr="00D62C71" w:rsidRDefault="00200C7E" w:rsidP="006965F8">
      <w:r w:rsidRPr="00D62C71">
        <w:t>9</w:t>
      </w:r>
      <w:r w:rsidRPr="00D62C71">
        <w:tab/>
        <w:t>to consider and approve the Report of the Director of the Radiocommunication Bureau, in accordance with Article 7 of the ITU Convention</w:t>
      </w:r>
      <w:r w:rsidRPr="00D62C71">
        <w:rPr>
          <w:bCs/>
        </w:rPr>
        <w:t>;</w:t>
      </w:r>
    </w:p>
    <w:p w14:paraId="0D593EA6" w14:textId="77777777" w:rsidR="00187BD9" w:rsidRPr="00D62C71" w:rsidRDefault="00200C7E" w:rsidP="00A115F1">
      <w:r w:rsidRPr="00D62C71">
        <w:t>9.2</w:t>
      </w:r>
      <w:r w:rsidRPr="00D62C71">
        <w:tab/>
        <w:t>on any difficulties or inconsistencies encountered in the application of the Radio Regulations;</w:t>
      </w:r>
      <w:r w:rsidRPr="00D62C71">
        <w:rPr>
          <w:rStyle w:val="FootnoteReference"/>
        </w:rPr>
        <w:footnoteReference w:customMarkFollows="1" w:id="1"/>
        <w:t>1</w:t>
      </w:r>
      <w:r w:rsidRPr="00D62C71">
        <w:t xml:space="preserve"> and</w:t>
      </w:r>
    </w:p>
    <w:p w14:paraId="199E4379" w14:textId="5230A495" w:rsidR="00D22889" w:rsidRPr="00D62C71" w:rsidRDefault="00703DB4" w:rsidP="00855FB4">
      <w:pPr>
        <w:pStyle w:val="Title4"/>
        <w:rPr>
          <w:lang w:eastAsia="zh-CN"/>
        </w:rPr>
      </w:pPr>
      <w:r w:rsidRPr="00D62C71">
        <w:t>E</w:t>
      </w:r>
      <w:r w:rsidR="006F11FE" w:rsidRPr="00D62C71">
        <w:t>xperience in the application of the radio regulatory procedures</w:t>
      </w:r>
      <w:r w:rsidRPr="00D62C71">
        <w:br/>
        <w:t xml:space="preserve">Section </w:t>
      </w:r>
      <w:r w:rsidR="006F11FE" w:rsidRPr="00D62C71">
        <w:t>3.3</w:t>
      </w:r>
      <w:r w:rsidRPr="00D62C71">
        <w:t xml:space="preserve"> – </w:t>
      </w:r>
      <w:r w:rsidR="006F11FE" w:rsidRPr="00D62C71">
        <w:t>Resolutions</w:t>
      </w:r>
    </w:p>
    <w:p w14:paraId="678F2D2E" w14:textId="447A05F4" w:rsidR="00D22889" w:rsidRPr="00D62C71" w:rsidRDefault="006F11FE" w:rsidP="00D22889">
      <w:pPr>
        <w:pStyle w:val="Headingb"/>
        <w:rPr>
          <w:lang w:val="en-GB" w:eastAsia="zh-CN"/>
        </w:rPr>
      </w:pPr>
      <w:r w:rsidRPr="00D62C71">
        <w:rPr>
          <w:rFonts w:asciiTheme="minorEastAsia" w:eastAsiaTheme="minorEastAsia" w:hAnsiTheme="minorEastAsia"/>
          <w:lang w:val="en-GB" w:eastAsia="zh-CN"/>
        </w:rPr>
        <w:t>In</w:t>
      </w:r>
      <w:r w:rsidRPr="00D62C71">
        <w:rPr>
          <w:rFonts w:eastAsia="Times New Roman"/>
          <w:lang w:val="en-GB" w:eastAsia="zh-CN"/>
        </w:rPr>
        <w:t>troduction</w:t>
      </w:r>
    </w:p>
    <w:p w14:paraId="7AC52EB3" w14:textId="4E842E95" w:rsidR="00D22889" w:rsidRPr="00D62C71" w:rsidRDefault="006F11FE" w:rsidP="000D7E34">
      <w:pPr>
        <w:rPr>
          <w:lang w:eastAsia="zh-CN"/>
        </w:rPr>
      </w:pPr>
      <w:bookmarkStart w:id="7" w:name="_Hlk142957965"/>
      <w:r w:rsidRPr="00D62C71">
        <w:rPr>
          <w:lang w:eastAsia="zh-CN"/>
        </w:rPr>
        <w:t xml:space="preserve">Noting </w:t>
      </w:r>
      <w:r w:rsidR="00703DB4" w:rsidRPr="00D62C71">
        <w:rPr>
          <w:lang w:eastAsia="zh-CN"/>
        </w:rPr>
        <w:t xml:space="preserve">that </w:t>
      </w:r>
      <w:r w:rsidRPr="00D62C71">
        <w:rPr>
          <w:lang w:eastAsia="zh-CN"/>
        </w:rPr>
        <w:t>difficulties and inconsistencies encountered in the application of the relevant provisions are collected and analy</w:t>
      </w:r>
      <w:r w:rsidR="00703DB4" w:rsidRPr="00D62C71">
        <w:rPr>
          <w:lang w:eastAsia="zh-CN"/>
        </w:rPr>
        <w:t>s</w:t>
      </w:r>
      <w:r w:rsidRPr="00D62C71">
        <w:rPr>
          <w:lang w:eastAsia="zh-CN"/>
        </w:rPr>
        <w:t xml:space="preserve">ed in Part 2 of the Report of the Director of </w:t>
      </w:r>
      <w:r w:rsidR="00F05468" w:rsidRPr="00D62C71">
        <w:rPr>
          <w:lang w:eastAsia="zh-CN"/>
        </w:rPr>
        <w:t xml:space="preserve">the </w:t>
      </w:r>
      <w:r w:rsidRPr="00D62C71">
        <w:rPr>
          <w:lang w:eastAsia="zh-CN"/>
        </w:rPr>
        <w:t>Radiocommunication Bureau (</w:t>
      </w:r>
      <w:hyperlink r:id="rId14" w:history="1">
        <w:r w:rsidR="000D7E34" w:rsidRPr="00D62C71">
          <w:rPr>
            <w:rStyle w:val="Hyperlink"/>
            <w:lang w:eastAsia="zh-CN"/>
          </w:rPr>
          <w:t>Doc. 4 Add.2</w:t>
        </w:r>
      </w:hyperlink>
      <w:r w:rsidRPr="00D62C71">
        <w:rPr>
          <w:lang w:eastAsia="zh-CN"/>
        </w:rPr>
        <w:t>), our views and proposals with respect to a number of items are summarized in this document dealing with the e</w:t>
      </w:r>
      <w:r w:rsidRPr="00D62C71">
        <w:t xml:space="preserve">xperience in the application of the radio regulatory procedures </w:t>
      </w:r>
      <w:r w:rsidR="00703DB4" w:rsidRPr="00D62C71">
        <w:t xml:space="preserve">under section </w:t>
      </w:r>
      <w:r w:rsidRPr="00D62C71">
        <w:t>3.</w:t>
      </w:r>
      <w:r w:rsidRPr="00D62C71">
        <w:rPr>
          <w:lang w:eastAsia="zh-CN"/>
        </w:rPr>
        <w:t>3</w:t>
      </w:r>
      <w:r w:rsidR="00703DB4" w:rsidRPr="00D62C71">
        <w:rPr>
          <w:lang w:eastAsia="zh-CN"/>
        </w:rPr>
        <w:t xml:space="preserve"> – </w:t>
      </w:r>
      <w:r w:rsidRPr="00D62C71">
        <w:rPr>
          <w:lang w:eastAsia="zh-CN"/>
        </w:rPr>
        <w:t>Resolutions</w:t>
      </w:r>
      <w:bookmarkEnd w:id="7"/>
      <w:r w:rsidR="00703DB4" w:rsidRPr="00D62C71">
        <w:rPr>
          <w:rFonts w:ascii="SimSun" w:hAnsi="SimSun" w:cs="SimSun"/>
          <w:lang w:eastAsia="zh-CN"/>
        </w:rPr>
        <w:t>.</w:t>
      </w:r>
    </w:p>
    <w:p w14:paraId="799D85EE" w14:textId="3310D8AD" w:rsidR="00D22889" w:rsidRPr="00D62C71" w:rsidRDefault="006F11FE" w:rsidP="00D22889">
      <w:pPr>
        <w:pStyle w:val="Headingb"/>
        <w:rPr>
          <w:lang w:val="en-GB" w:eastAsia="zh-CN"/>
        </w:rPr>
      </w:pPr>
      <w:r w:rsidRPr="00D62C71">
        <w:rPr>
          <w:lang w:val="en-GB" w:eastAsia="zh-CN"/>
        </w:rPr>
        <w:t>Proposals</w:t>
      </w:r>
    </w:p>
    <w:p w14:paraId="33C50F37" w14:textId="0D341E3A" w:rsidR="00241FA2" w:rsidRPr="00D62C71" w:rsidRDefault="006F11FE" w:rsidP="000D7E34">
      <w:pPr>
        <w:rPr>
          <w:lang w:eastAsia="zh-CN"/>
        </w:rPr>
      </w:pPr>
      <w:r w:rsidRPr="00D62C71">
        <w:rPr>
          <w:lang w:eastAsia="zh-CN"/>
        </w:rPr>
        <w:t>This administration</w:t>
      </w:r>
      <w:r w:rsidRPr="00D62C71">
        <w:t xml:space="preserve"> submits its views and proposals</w:t>
      </w:r>
      <w:r w:rsidRPr="00D62C71">
        <w:rPr>
          <w:lang w:eastAsia="zh-CN"/>
        </w:rPr>
        <w:t xml:space="preserve"> with respect to </w:t>
      </w:r>
      <w:proofErr w:type="gramStart"/>
      <w:r w:rsidRPr="00D62C71">
        <w:rPr>
          <w:lang w:eastAsia="zh-CN"/>
        </w:rPr>
        <w:t>a number of</w:t>
      </w:r>
      <w:proofErr w:type="gramEnd"/>
      <w:r w:rsidRPr="00D62C71">
        <w:rPr>
          <w:lang w:eastAsia="zh-CN"/>
        </w:rPr>
        <w:t xml:space="preserve"> items for further discussion by the Conference</w:t>
      </w:r>
      <w:r w:rsidR="00703DB4" w:rsidRPr="00D62C71">
        <w:rPr>
          <w:lang w:eastAsia="zh-CN"/>
        </w:rPr>
        <w:t>.</w:t>
      </w:r>
    </w:p>
    <w:p w14:paraId="29E59191" w14:textId="77777777" w:rsidR="00187BD9" w:rsidRPr="00D62C71" w:rsidRDefault="00187BD9" w:rsidP="00187BD9">
      <w:pPr>
        <w:tabs>
          <w:tab w:val="clear" w:pos="1134"/>
          <w:tab w:val="clear" w:pos="1871"/>
          <w:tab w:val="clear" w:pos="2268"/>
        </w:tabs>
        <w:overflowPunct/>
        <w:autoSpaceDE/>
        <w:autoSpaceDN/>
        <w:adjustRightInd/>
        <w:spacing w:before="0"/>
        <w:textAlignment w:val="auto"/>
        <w:rPr>
          <w:lang w:eastAsia="zh-CN"/>
        </w:rPr>
      </w:pPr>
      <w:r w:rsidRPr="00D62C71">
        <w:rPr>
          <w:lang w:eastAsia="zh-CN"/>
        </w:rPr>
        <w:br w:type="page"/>
      </w:r>
    </w:p>
    <w:p w14:paraId="23FACFEB" w14:textId="77777777" w:rsidR="00303E12" w:rsidRPr="00D62C71" w:rsidRDefault="00200C7E">
      <w:pPr>
        <w:pStyle w:val="Proposal"/>
      </w:pPr>
      <w:r w:rsidRPr="00D62C71">
        <w:lastRenderedPageBreak/>
        <w:tab/>
        <w:t>CHN/111A25A5/1</w:t>
      </w:r>
    </w:p>
    <w:p w14:paraId="6E01CFF1" w14:textId="3B7158DB" w:rsidR="00030A3C" w:rsidRPr="00D62C71" w:rsidRDefault="00030A3C" w:rsidP="00D62C71">
      <w:pPr>
        <w:pStyle w:val="Heading3"/>
        <w:rPr>
          <w:lang w:eastAsia="zh-CN"/>
        </w:rPr>
      </w:pPr>
      <w:bookmarkStart w:id="8" w:name="_Toc142664182"/>
      <w:bookmarkStart w:id="9" w:name="_Toc148362705"/>
      <w:r w:rsidRPr="00D62C71">
        <w:rPr>
          <w:lang w:eastAsia="zh-CN"/>
        </w:rPr>
        <w:t>3.3.3</w:t>
      </w:r>
      <w:r w:rsidRPr="00D62C71">
        <w:rPr>
          <w:lang w:eastAsia="zh-CN"/>
        </w:rPr>
        <w:tab/>
      </w:r>
      <w:r w:rsidR="00F05468" w:rsidRPr="00D62C71">
        <w:rPr>
          <w:lang w:eastAsia="zh-CN"/>
        </w:rPr>
        <w:t>Resolution 35 (</w:t>
      </w:r>
      <w:r w:rsidR="00F05468" w:rsidRPr="00D62C71">
        <w:rPr>
          <w:bCs/>
          <w:lang w:eastAsia="zh-CN"/>
        </w:rPr>
        <w:t>WRC-19)</w:t>
      </w:r>
      <w:bookmarkEnd w:id="8"/>
      <w:bookmarkEnd w:id="9"/>
    </w:p>
    <w:p w14:paraId="56934DFB" w14:textId="5598ACB7" w:rsidR="00030A3C" w:rsidRPr="00D62C71" w:rsidRDefault="00030A3C" w:rsidP="00D62C71">
      <w:pPr>
        <w:pStyle w:val="Heading4"/>
        <w:rPr>
          <w:lang w:eastAsia="zh-CN"/>
        </w:rPr>
      </w:pPr>
      <w:r w:rsidRPr="00D62C71">
        <w:rPr>
          <w:lang w:eastAsia="zh-CN"/>
        </w:rPr>
        <w:t>3.3.3.1</w:t>
      </w:r>
      <w:r w:rsidRPr="00D62C71">
        <w:rPr>
          <w:lang w:eastAsia="zh-CN"/>
        </w:rPr>
        <w:tab/>
      </w:r>
      <w:r w:rsidR="00B94C11" w:rsidRPr="00D62C71">
        <w:rPr>
          <w:lang w:eastAsia="ja-JP"/>
        </w:rPr>
        <w:t xml:space="preserve">Addition to the Table contained in </w:t>
      </w:r>
      <w:r w:rsidR="00B94C11" w:rsidRPr="00D62C71">
        <w:rPr>
          <w:i/>
          <w:iCs/>
          <w:lang w:eastAsia="ja-JP"/>
        </w:rPr>
        <w:t>resolves</w:t>
      </w:r>
      <w:r w:rsidR="00B94C11" w:rsidRPr="00D62C71">
        <w:rPr>
          <w:lang w:eastAsia="ja-JP"/>
        </w:rPr>
        <w:t xml:space="preserve"> </w:t>
      </w:r>
      <w:proofErr w:type="gramStart"/>
      <w:r w:rsidR="00B94C11" w:rsidRPr="00D62C71">
        <w:rPr>
          <w:lang w:eastAsia="ja-JP"/>
        </w:rPr>
        <w:t>1</w:t>
      </w:r>
      <w:proofErr w:type="gramEnd"/>
    </w:p>
    <w:p w14:paraId="6C2372B8" w14:textId="55E60C64" w:rsidR="00030A3C" w:rsidRPr="00D62C71" w:rsidRDefault="006F11FE" w:rsidP="000D7E34">
      <w:pPr>
        <w:pBdr>
          <w:top w:val="single" w:sz="4" w:space="1" w:color="auto"/>
          <w:left w:val="single" w:sz="4" w:space="4" w:color="auto"/>
          <w:bottom w:val="single" w:sz="4" w:space="1" w:color="auto"/>
          <w:right w:val="single" w:sz="4" w:space="4" w:color="auto"/>
        </w:pBdr>
        <w:rPr>
          <w:szCs w:val="24"/>
          <w:lang w:eastAsia="zh-CN"/>
        </w:rPr>
      </w:pPr>
      <w:r w:rsidRPr="00D62C71">
        <w:rPr>
          <w:szCs w:val="24"/>
        </w:rPr>
        <w:t>The Conference is invited to confirm the above-mentioned approach, or alternatively to consider if the mobile-satellite service should be added for the frequency bands 19.7-20.1 GHz and 29.5-29.9</w:t>
      </w:r>
      <w:r w:rsidR="000D7E34" w:rsidRPr="00D62C71">
        <w:rPr>
          <w:szCs w:val="24"/>
        </w:rPr>
        <w:t> </w:t>
      </w:r>
      <w:r w:rsidRPr="00D62C71">
        <w:rPr>
          <w:szCs w:val="24"/>
        </w:rPr>
        <w:t xml:space="preserve">GHz in Regions 1 and 3 in the </w:t>
      </w:r>
      <w:r w:rsidR="000D7E34" w:rsidRPr="00D62C71">
        <w:rPr>
          <w:szCs w:val="24"/>
        </w:rPr>
        <w:t xml:space="preserve">table </w:t>
      </w:r>
      <w:r w:rsidRPr="00D62C71">
        <w:rPr>
          <w:szCs w:val="24"/>
        </w:rPr>
        <w:t xml:space="preserve">in </w:t>
      </w:r>
      <w:r w:rsidRPr="00D62C71">
        <w:rPr>
          <w:i/>
          <w:iCs/>
          <w:szCs w:val="24"/>
        </w:rPr>
        <w:t>resolves</w:t>
      </w:r>
      <w:r w:rsidRPr="00D62C71">
        <w:rPr>
          <w:szCs w:val="24"/>
        </w:rPr>
        <w:t xml:space="preserve"> 1 of Resolution </w:t>
      </w:r>
      <w:bookmarkStart w:id="10" w:name="_Hlk149995292"/>
      <w:r w:rsidRPr="00D62C71">
        <w:rPr>
          <w:b/>
          <w:bCs/>
          <w:szCs w:val="24"/>
        </w:rPr>
        <w:t>35 (WRC-19)</w:t>
      </w:r>
      <w:bookmarkEnd w:id="10"/>
      <w:r w:rsidRPr="00D62C71">
        <w:rPr>
          <w:szCs w:val="24"/>
        </w:rPr>
        <w:t>.</w:t>
      </w:r>
    </w:p>
    <w:p w14:paraId="680733F3" w14:textId="6C429DC2" w:rsidR="00303E12" w:rsidRPr="00D62C71" w:rsidRDefault="006F11FE" w:rsidP="00030A3C">
      <w:pPr>
        <w:rPr>
          <w:lang w:eastAsia="zh-CN"/>
        </w:rPr>
      </w:pPr>
      <w:r w:rsidRPr="00D62C71">
        <w:rPr>
          <w:b/>
        </w:rPr>
        <w:t>Views and Proposal</w:t>
      </w:r>
      <w:r w:rsidRPr="00D62C71">
        <w:t xml:space="preserve">: </w:t>
      </w:r>
      <w:r w:rsidRPr="00D62C71">
        <w:rPr>
          <w:lang w:eastAsia="zh-CN"/>
        </w:rPr>
        <w:t>We</w:t>
      </w:r>
      <w:r w:rsidRPr="00D62C71">
        <w:t xml:space="preserve"> appreciate the </w:t>
      </w:r>
      <w:r w:rsidRPr="00D62C71">
        <w:rPr>
          <w:lang w:eastAsia="zh-CN"/>
        </w:rPr>
        <w:t>information</w:t>
      </w:r>
      <w:r w:rsidRPr="00D62C71">
        <w:t xml:space="preserve"> provided by </w:t>
      </w:r>
      <w:r w:rsidRPr="00D62C71">
        <w:rPr>
          <w:lang w:eastAsia="zh-CN"/>
        </w:rPr>
        <w:t>Di</w:t>
      </w:r>
      <w:r w:rsidRPr="00D62C71">
        <w:t xml:space="preserve">rector of BR, </w:t>
      </w:r>
      <w:r w:rsidRPr="00D62C71">
        <w:rPr>
          <w:lang w:eastAsia="zh-CN"/>
        </w:rPr>
        <w:t>b</w:t>
      </w:r>
      <w:r w:rsidRPr="00D62C71">
        <w:t xml:space="preserve">ut we believe that there are problems with the current approach. We are of view that </w:t>
      </w:r>
      <w:r w:rsidRPr="00D62C71">
        <w:rPr>
          <w:szCs w:val="24"/>
        </w:rPr>
        <w:t xml:space="preserve">the mobile-satellite service should be added for the frequency bands 19.7-20.1 GHz and 29.5-29.9 GHz in Regions 1 and 3 in the </w:t>
      </w:r>
      <w:r w:rsidR="000D7E34" w:rsidRPr="00D62C71">
        <w:rPr>
          <w:szCs w:val="24"/>
        </w:rPr>
        <w:t xml:space="preserve">table </w:t>
      </w:r>
      <w:r w:rsidRPr="00D62C71">
        <w:rPr>
          <w:szCs w:val="24"/>
        </w:rPr>
        <w:t xml:space="preserve">in </w:t>
      </w:r>
      <w:r w:rsidRPr="00D62C71">
        <w:rPr>
          <w:i/>
          <w:iCs/>
          <w:szCs w:val="24"/>
        </w:rPr>
        <w:t>resolves</w:t>
      </w:r>
      <w:r w:rsidRPr="00D62C71">
        <w:rPr>
          <w:szCs w:val="24"/>
        </w:rPr>
        <w:t xml:space="preserve"> 1 of Resolution </w:t>
      </w:r>
      <w:r w:rsidR="000D7E34" w:rsidRPr="00D62C71">
        <w:rPr>
          <w:b/>
          <w:bCs/>
          <w:szCs w:val="24"/>
        </w:rPr>
        <w:t>35 (WRC-19)</w:t>
      </w:r>
      <w:r w:rsidR="00703DB4" w:rsidRPr="00D62C71">
        <w:rPr>
          <w:lang w:eastAsia="zh-CN"/>
        </w:rPr>
        <w:t>.</w:t>
      </w:r>
    </w:p>
    <w:p w14:paraId="7760D95A" w14:textId="4C4488C5" w:rsidR="00303E12" w:rsidRPr="00D62C71" w:rsidRDefault="00200C7E">
      <w:pPr>
        <w:pStyle w:val="Reasons"/>
        <w:rPr>
          <w:lang w:eastAsia="zh-CN"/>
        </w:rPr>
      </w:pPr>
      <w:r w:rsidRPr="00D62C71">
        <w:rPr>
          <w:b/>
          <w:lang w:eastAsia="zh-CN"/>
        </w:rPr>
        <w:t>Reasons:</w:t>
      </w:r>
      <w:r w:rsidRPr="00D62C71">
        <w:rPr>
          <w:lang w:eastAsia="zh-CN"/>
        </w:rPr>
        <w:tab/>
      </w:r>
      <w:r w:rsidR="006F11FE" w:rsidRPr="00D62C71">
        <w:t>It will reduce complexity in the work of both administrations and BR.</w:t>
      </w:r>
    </w:p>
    <w:p w14:paraId="597F36FF" w14:textId="77777777" w:rsidR="00303E12" w:rsidRPr="00D62C71" w:rsidRDefault="00200C7E">
      <w:pPr>
        <w:pStyle w:val="Proposal"/>
        <w:rPr>
          <w:lang w:eastAsia="zh-CN"/>
        </w:rPr>
      </w:pPr>
      <w:r w:rsidRPr="00D62C71">
        <w:rPr>
          <w:lang w:eastAsia="zh-CN"/>
        </w:rPr>
        <w:tab/>
        <w:t>CHN/111A25A5/2</w:t>
      </w:r>
    </w:p>
    <w:p w14:paraId="2AF6BB2C" w14:textId="12953B0F" w:rsidR="00030A3C" w:rsidRPr="00D62C71" w:rsidRDefault="00030A3C" w:rsidP="00D62C71">
      <w:pPr>
        <w:pStyle w:val="Heading4"/>
        <w:rPr>
          <w:szCs w:val="24"/>
          <w:lang w:eastAsia="zh-CN"/>
        </w:rPr>
      </w:pPr>
      <w:r w:rsidRPr="00D62C71">
        <w:rPr>
          <w:caps/>
          <w:lang w:eastAsia="zh-CN"/>
        </w:rPr>
        <w:t>3.3.3.2</w:t>
      </w:r>
      <w:r w:rsidRPr="00D62C71">
        <w:rPr>
          <w:caps/>
          <w:lang w:eastAsia="zh-CN"/>
        </w:rPr>
        <w:tab/>
      </w:r>
      <w:r w:rsidR="006F11FE" w:rsidRPr="00D62C71">
        <w:rPr>
          <w:lang w:eastAsia="ja-JP"/>
        </w:rPr>
        <w:t xml:space="preserve">Modification of notified characteristics in accordance with </w:t>
      </w:r>
      <w:r w:rsidR="006F11FE" w:rsidRPr="00D62C71">
        <w:rPr>
          <w:i/>
          <w:iCs/>
          <w:lang w:eastAsia="ja-JP"/>
        </w:rPr>
        <w:t>resolves</w:t>
      </w:r>
      <w:r w:rsidR="006F11FE" w:rsidRPr="00D62C71">
        <w:rPr>
          <w:lang w:eastAsia="ja-JP"/>
        </w:rPr>
        <w:t xml:space="preserve"> 11</w:t>
      </w:r>
    </w:p>
    <w:p w14:paraId="5677434D" w14:textId="42B69BB8" w:rsidR="00030A3C" w:rsidRPr="00D62C71" w:rsidRDefault="006F11FE" w:rsidP="000D7E34">
      <w:pPr>
        <w:pBdr>
          <w:top w:val="single" w:sz="4" w:space="1" w:color="auto"/>
          <w:left w:val="single" w:sz="4" w:space="4" w:color="auto"/>
          <w:bottom w:val="single" w:sz="4" w:space="1" w:color="auto"/>
          <w:right w:val="single" w:sz="4" w:space="4" w:color="auto"/>
        </w:pBdr>
        <w:rPr>
          <w:lang w:eastAsia="zh-CN"/>
        </w:rPr>
      </w:pPr>
      <w:r w:rsidRPr="00D62C71">
        <w:rPr>
          <w:szCs w:val="24"/>
        </w:rPr>
        <w:t xml:space="preserve">The Conference is invited to note this aspect of implementation of </w:t>
      </w:r>
      <w:r w:rsidRPr="00D62C71">
        <w:rPr>
          <w:i/>
          <w:iCs/>
          <w:szCs w:val="24"/>
        </w:rPr>
        <w:t xml:space="preserve">resolves </w:t>
      </w:r>
      <w:r w:rsidRPr="00D62C71">
        <w:rPr>
          <w:szCs w:val="24"/>
        </w:rPr>
        <w:t xml:space="preserve">11 of Resolution </w:t>
      </w:r>
      <w:r w:rsidRPr="00D62C71">
        <w:rPr>
          <w:b/>
          <w:szCs w:val="24"/>
        </w:rPr>
        <w:t>35 (WRC-19)</w:t>
      </w:r>
      <w:r w:rsidRPr="00D62C71">
        <w:rPr>
          <w:bCs/>
          <w:szCs w:val="24"/>
        </w:rPr>
        <w:t>.</w:t>
      </w:r>
    </w:p>
    <w:p w14:paraId="006DC4A9" w14:textId="1A1F6A1E" w:rsidR="00303E12" w:rsidRPr="00D62C71" w:rsidRDefault="006F11FE" w:rsidP="00030A3C">
      <w:pPr>
        <w:rPr>
          <w:lang w:eastAsia="zh-CN"/>
        </w:rPr>
      </w:pPr>
      <w:r w:rsidRPr="00D62C71">
        <w:rPr>
          <w:b/>
          <w:bCs/>
        </w:rPr>
        <w:t>Views and Proposal:</w:t>
      </w:r>
      <w:r w:rsidRPr="00D62C71">
        <w:t xml:space="preserve"> </w:t>
      </w:r>
      <w:r w:rsidRPr="00D62C71">
        <w:rPr>
          <w:lang w:eastAsia="zh-CN"/>
        </w:rPr>
        <w:t>We</w:t>
      </w:r>
      <w:r w:rsidRPr="00D62C71">
        <w:t xml:space="preserve"> have noted and support the implementation </w:t>
      </w:r>
      <w:r w:rsidR="00026A3B" w:rsidRPr="00D62C71">
        <w:t xml:space="preserve">as </w:t>
      </w:r>
      <w:r w:rsidRPr="00D62C71">
        <w:t>clarified by BR</w:t>
      </w:r>
      <w:r w:rsidR="00B94C11" w:rsidRPr="00D62C71">
        <w:t>.</w:t>
      </w:r>
    </w:p>
    <w:p w14:paraId="0E1E29B7" w14:textId="34523776" w:rsidR="00303E12" w:rsidRPr="00D62C71" w:rsidRDefault="00200C7E" w:rsidP="00030A3C">
      <w:pPr>
        <w:pStyle w:val="Reasons"/>
        <w:rPr>
          <w:lang w:eastAsia="zh-CN"/>
        </w:rPr>
      </w:pPr>
      <w:r w:rsidRPr="00D62C71">
        <w:rPr>
          <w:b/>
          <w:bCs/>
          <w:lang w:eastAsia="zh-CN"/>
        </w:rPr>
        <w:t>Reasons:</w:t>
      </w:r>
      <w:r w:rsidRPr="00D62C71">
        <w:rPr>
          <w:lang w:eastAsia="zh-CN"/>
        </w:rPr>
        <w:tab/>
      </w:r>
      <w:r w:rsidR="00B94C11" w:rsidRPr="00D62C71">
        <w:rPr>
          <w:lang w:eastAsia="zh-CN"/>
        </w:rPr>
        <w:t>We believe that the implementation aligns with the actual operations of constellations. If the satellites used for the brin</w:t>
      </w:r>
      <w:r w:rsidR="00703DB4" w:rsidRPr="00D62C71">
        <w:rPr>
          <w:lang w:eastAsia="zh-CN"/>
        </w:rPr>
        <w:t>g</w:t>
      </w:r>
      <w:r w:rsidR="00B94C11" w:rsidRPr="00D62C71">
        <w:rPr>
          <w:lang w:eastAsia="zh-CN"/>
        </w:rPr>
        <w:t xml:space="preserve">ing into use or the completion of a previous milestone are still operational, they will be positioned or relocated within the new constellation configuration. In such cases, they will be counted during the following steps of Resolution </w:t>
      </w:r>
      <w:r w:rsidR="000D7E34" w:rsidRPr="00D62C71">
        <w:rPr>
          <w:b/>
          <w:bCs/>
          <w:szCs w:val="24"/>
        </w:rPr>
        <w:t>35 (WRC-19)</w:t>
      </w:r>
      <w:r w:rsidR="00B94C11" w:rsidRPr="00D62C71">
        <w:rPr>
          <w:lang w:eastAsia="zh-CN"/>
        </w:rPr>
        <w:t>. If they are not operational, they should not be counted.</w:t>
      </w:r>
    </w:p>
    <w:p w14:paraId="36330C4D" w14:textId="77777777" w:rsidR="00303E12" w:rsidRPr="00D62C71" w:rsidRDefault="00200C7E">
      <w:pPr>
        <w:pStyle w:val="Proposal"/>
        <w:rPr>
          <w:lang w:eastAsia="zh-CN"/>
        </w:rPr>
      </w:pPr>
      <w:r w:rsidRPr="00D62C71">
        <w:rPr>
          <w:lang w:eastAsia="zh-CN"/>
        </w:rPr>
        <w:tab/>
        <w:t>CHN/111A25A5/3</w:t>
      </w:r>
    </w:p>
    <w:p w14:paraId="139CE4E4" w14:textId="156D1E68" w:rsidR="00030A3C" w:rsidRPr="00D62C71" w:rsidRDefault="00030A3C" w:rsidP="00030A3C">
      <w:pPr>
        <w:pStyle w:val="Heading4"/>
        <w:rPr>
          <w:lang w:eastAsia="zh-CN"/>
        </w:rPr>
      </w:pPr>
      <w:r w:rsidRPr="00D62C71">
        <w:rPr>
          <w:lang w:eastAsia="zh-CN"/>
        </w:rPr>
        <w:t>3.3.3.3</w:t>
      </w:r>
      <w:r w:rsidRPr="00D62C71">
        <w:rPr>
          <w:lang w:eastAsia="zh-CN"/>
        </w:rPr>
        <w:tab/>
      </w:r>
      <w:r w:rsidR="00B94C11" w:rsidRPr="00D62C71">
        <w:rPr>
          <w:lang w:eastAsia="ja-JP"/>
        </w:rPr>
        <w:t xml:space="preserve">Changes to orbital parameters in accordance with </w:t>
      </w:r>
      <w:r w:rsidR="00B94C11" w:rsidRPr="00D62C71">
        <w:rPr>
          <w:i/>
          <w:iCs/>
          <w:lang w:eastAsia="ja-JP"/>
        </w:rPr>
        <w:t>resolves</w:t>
      </w:r>
      <w:r w:rsidR="00B94C11" w:rsidRPr="00D62C71">
        <w:rPr>
          <w:lang w:eastAsia="ja-JP"/>
        </w:rPr>
        <w:t xml:space="preserve"> 14</w:t>
      </w:r>
    </w:p>
    <w:p w14:paraId="0505C9E9" w14:textId="6BF0A502" w:rsidR="00030A3C" w:rsidRPr="00D62C71" w:rsidRDefault="00B94C11" w:rsidP="000D7E34">
      <w:pPr>
        <w:pBdr>
          <w:top w:val="single" w:sz="4" w:space="1" w:color="auto"/>
          <w:left w:val="single" w:sz="4" w:space="4" w:color="auto"/>
          <w:bottom w:val="single" w:sz="4" w:space="1" w:color="auto"/>
          <w:right w:val="single" w:sz="4" w:space="4" w:color="auto"/>
        </w:pBdr>
        <w:rPr>
          <w:szCs w:val="24"/>
          <w:lang w:eastAsia="zh-CN"/>
        </w:rPr>
      </w:pPr>
      <w:r w:rsidRPr="00D62C71">
        <w:rPr>
          <w:szCs w:val="24"/>
        </w:rPr>
        <w:t xml:space="preserve">The Conference is invited to clarify whether, in application of </w:t>
      </w:r>
      <w:r w:rsidRPr="00D62C71">
        <w:rPr>
          <w:i/>
          <w:iCs/>
          <w:szCs w:val="24"/>
        </w:rPr>
        <w:t>resolves</w:t>
      </w:r>
      <w:r w:rsidRPr="00D62C71">
        <w:rPr>
          <w:szCs w:val="24"/>
        </w:rPr>
        <w:t xml:space="preserve"> </w:t>
      </w:r>
      <w:r w:rsidRPr="00D62C71">
        <w:t>14,</w:t>
      </w:r>
      <w:r w:rsidRPr="00D62C71">
        <w:rPr>
          <w:szCs w:val="24"/>
        </w:rPr>
        <w:t xml:space="preserve"> the changes to RAAN are limited to the starting position of each plane while retaining the initial spacing between the consecutive orbital planes or whether such change may also aim at modifying such spacing.</w:t>
      </w:r>
    </w:p>
    <w:p w14:paraId="5F6BBB80" w14:textId="5A9036E2" w:rsidR="00303E12" w:rsidRPr="00D62C71" w:rsidRDefault="00B94C11" w:rsidP="00030A3C">
      <w:pPr>
        <w:rPr>
          <w:lang w:eastAsia="zh-CN"/>
        </w:rPr>
      </w:pPr>
      <w:r w:rsidRPr="00D62C71">
        <w:rPr>
          <w:b/>
        </w:rPr>
        <w:t>Views and Proposal</w:t>
      </w:r>
      <w:r w:rsidRPr="00D62C71">
        <w:t>: We</w:t>
      </w:r>
      <w:r w:rsidR="00F05468" w:rsidRPr="00D62C71">
        <w:t xml:space="preserve"> have</w:t>
      </w:r>
      <w:r w:rsidRPr="00D62C71">
        <w:t xml:space="preserve"> noted the issue raised by BR and are of </w:t>
      </w:r>
      <w:r w:rsidR="00F05468" w:rsidRPr="00D62C71">
        <w:t xml:space="preserve">the </w:t>
      </w:r>
      <w:r w:rsidRPr="00D62C71">
        <w:t>view that the changes to RAAN should include the starting position of each plane as well as the spacing between the consecutive orbital planes.</w:t>
      </w:r>
    </w:p>
    <w:p w14:paraId="430517A2" w14:textId="06667217" w:rsidR="00303E12" w:rsidRPr="00D62C71" w:rsidRDefault="00200C7E" w:rsidP="00030A3C">
      <w:pPr>
        <w:pStyle w:val="Reasons"/>
        <w:rPr>
          <w:lang w:eastAsia="zh-CN"/>
        </w:rPr>
      </w:pPr>
      <w:r w:rsidRPr="00D62C71">
        <w:rPr>
          <w:b/>
          <w:bCs/>
          <w:lang w:eastAsia="zh-CN"/>
        </w:rPr>
        <w:t>Reasons:</w:t>
      </w:r>
      <w:r w:rsidRPr="00D62C71">
        <w:rPr>
          <w:lang w:eastAsia="zh-CN"/>
        </w:rPr>
        <w:tab/>
      </w:r>
      <w:r w:rsidR="00B94C11" w:rsidRPr="00D62C71">
        <w:rPr>
          <w:lang w:eastAsia="zh-CN"/>
        </w:rPr>
        <w:t xml:space="preserve">In case of the reduction of the number of orbital planes, </w:t>
      </w:r>
      <w:r w:rsidR="00782F8F" w:rsidRPr="00D62C71">
        <w:rPr>
          <w:lang w:eastAsia="zh-CN"/>
        </w:rPr>
        <w:t xml:space="preserve">this </w:t>
      </w:r>
      <w:r w:rsidR="00B94C11" w:rsidRPr="00D62C71">
        <w:rPr>
          <w:lang w:eastAsia="zh-CN"/>
        </w:rPr>
        <w:t xml:space="preserve">often leads to changes </w:t>
      </w:r>
      <w:r w:rsidR="00782F8F" w:rsidRPr="00D62C71">
        <w:rPr>
          <w:lang w:eastAsia="zh-CN"/>
        </w:rPr>
        <w:t xml:space="preserve">in </w:t>
      </w:r>
      <w:r w:rsidR="00B94C11" w:rsidRPr="00D62C71">
        <w:rPr>
          <w:lang w:eastAsia="zh-CN"/>
        </w:rPr>
        <w:t xml:space="preserve">the spacing of RAAN </w:t>
      </w:r>
      <w:r w:rsidR="00B94C11" w:rsidRPr="00D62C71">
        <w:rPr>
          <w:szCs w:val="24"/>
        </w:rPr>
        <w:t>between the consecutive orbital planes.</w:t>
      </w:r>
    </w:p>
    <w:p w14:paraId="35687E8A" w14:textId="77777777" w:rsidR="00303E12" w:rsidRPr="00D62C71" w:rsidRDefault="00200C7E">
      <w:pPr>
        <w:pStyle w:val="Proposal"/>
        <w:rPr>
          <w:lang w:eastAsia="zh-CN"/>
        </w:rPr>
      </w:pPr>
      <w:r w:rsidRPr="00D62C71">
        <w:rPr>
          <w:lang w:eastAsia="zh-CN"/>
        </w:rPr>
        <w:tab/>
        <w:t>CHN/111A25A5/4</w:t>
      </w:r>
    </w:p>
    <w:p w14:paraId="3C2280A4" w14:textId="7B811F55" w:rsidR="00030A3C" w:rsidRPr="00D62C71" w:rsidRDefault="00030A3C" w:rsidP="00030A3C">
      <w:pPr>
        <w:pStyle w:val="Heading4"/>
        <w:rPr>
          <w:lang w:eastAsia="zh-CN"/>
        </w:rPr>
      </w:pPr>
      <w:r w:rsidRPr="00D62C71">
        <w:rPr>
          <w:lang w:eastAsia="zh-CN"/>
        </w:rPr>
        <w:t>3.3.3.4</w:t>
      </w:r>
      <w:r w:rsidRPr="00D62C71">
        <w:rPr>
          <w:lang w:eastAsia="zh-CN"/>
        </w:rPr>
        <w:tab/>
      </w:r>
      <w:r w:rsidR="00B94C11" w:rsidRPr="00D62C71">
        <w:t xml:space="preserve">Application of </w:t>
      </w:r>
      <w:r w:rsidR="00B94C11" w:rsidRPr="00D62C71">
        <w:rPr>
          <w:i/>
          <w:iCs/>
        </w:rPr>
        <w:t>resolves</w:t>
      </w:r>
      <w:r w:rsidR="00B94C11" w:rsidRPr="00D62C71">
        <w:t xml:space="preserve"> 17 </w:t>
      </w:r>
      <w:r w:rsidR="00B94C11" w:rsidRPr="00D62C71">
        <w:rPr>
          <w:i/>
          <w:iCs/>
        </w:rPr>
        <w:t>b)</w:t>
      </w:r>
    </w:p>
    <w:p w14:paraId="12ADEC99" w14:textId="50A7FF03" w:rsidR="00030A3C" w:rsidRPr="00D62C71" w:rsidRDefault="00B94C11" w:rsidP="000D7E34">
      <w:pPr>
        <w:pBdr>
          <w:top w:val="single" w:sz="4" w:space="1" w:color="auto"/>
          <w:left w:val="single" w:sz="4" w:space="4" w:color="auto"/>
          <w:bottom w:val="single" w:sz="4" w:space="1" w:color="auto"/>
          <w:right w:val="single" w:sz="4" w:space="4" w:color="auto"/>
        </w:pBdr>
        <w:rPr>
          <w:szCs w:val="24"/>
          <w:lang w:eastAsia="zh-CN"/>
        </w:rPr>
      </w:pPr>
      <w:r w:rsidRPr="00D62C71">
        <w:rPr>
          <w:szCs w:val="24"/>
        </w:rPr>
        <w:t xml:space="preserve">The Conference is invited to note the Bureau’s course of action in implementing </w:t>
      </w:r>
      <w:r w:rsidRPr="00D62C71">
        <w:rPr>
          <w:i/>
          <w:iCs/>
          <w:szCs w:val="24"/>
        </w:rPr>
        <w:t xml:space="preserve">resolves </w:t>
      </w:r>
      <w:r w:rsidRPr="00D62C71">
        <w:rPr>
          <w:szCs w:val="24"/>
        </w:rPr>
        <w:t xml:space="preserve">17 of Resolution </w:t>
      </w:r>
      <w:r w:rsidRPr="00D62C71">
        <w:rPr>
          <w:b/>
          <w:szCs w:val="24"/>
        </w:rPr>
        <w:t>35 (WRC-19)</w:t>
      </w:r>
      <w:r w:rsidRPr="00D62C71">
        <w:rPr>
          <w:bCs/>
          <w:szCs w:val="24"/>
        </w:rPr>
        <w:t>.</w:t>
      </w:r>
    </w:p>
    <w:p w14:paraId="04CB4210" w14:textId="1ED613DE" w:rsidR="00303E12" w:rsidRPr="00D62C71" w:rsidRDefault="006819FA" w:rsidP="00030A3C">
      <w:pPr>
        <w:rPr>
          <w:lang w:eastAsia="zh-CN"/>
        </w:rPr>
      </w:pPr>
      <w:r w:rsidRPr="00D62C71">
        <w:rPr>
          <w:b/>
          <w:bCs/>
        </w:rPr>
        <w:t>Views and Proposal:</w:t>
      </w:r>
      <w:r w:rsidRPr="00D62C71">
        <w:t xml:space="preserve"> </w:t>
      </w:r>
      <w:r w:rsidRPr="00D62C71">
        <w:rPr>
          <w:lang w:eastAsia="zh-CN"/>
        </w:rPr>
        <w:t>We</w:t>
      </w:r>
      <w:r w:rsidRPr="00D62C71">
        <w:t xml:space="preserve"> have noted and support the BR’s course of action in implementing the </w:t>
      </w:r>
      <w:r w:rsidRPr="00D62C71">
        <w:rPr>
          <w:i/>
          <w:iCs/>
        </w:rPr>
        <w:t>resolves</w:t>
      </w:r>
      <w:r w:rsidRPr="00D62C71">
        <w:t xml:space="preserve"> </w:t>
      </w:r>
      <w:r w:rsidR="00F05468" w:rsidRPr="00D62C71">
        <w:t xml:space="preserve">provision </w:t>
      </w:r>
      <w:r w:rsidRPr="00D62C71">
        <w:t>mentioned above.</w:t>
      </w:r>
    </w:p>
    <w:p w14:paraId="04B20FB2" w14:textId="23338A5D" w:rsidR="00303E12" w:rsidRPr="00D62C71" w:rsidRDefault="00200C7E" w:rsidP="00030A3C">
      <w:pPr>
        <w:pStyle w:val="Reasons"/>
        <w:tabs>
          <w:tab w:val="clear" w:pos="1588"/>
          <w:tab w:val="clear" w:pos="1985"/>
          <w:tab w:val="left" w:pos="1871"/>
        </w:tabs>
        <w:rPr>
          <w:lang w:eastAsia="zh-CN"/>
        </w:rPr>
      </w:pPr>
      <w:r w:rsidRPr="00D62C71">
        <w:rPr>
          <w:b/>
        </w:rPr>
        <w:t>Reasons:</w:t>
      </w:r>
      <w:r w:rsidRPr="00D62C71">
        <w:tab/>
      </w:r>
      <w:r w:rsidR="006819FA" w:rsidRPr="00D62C71">
        <w:rPr>
          <w:lang w:eastAsia="zh-CN"/>
        </w:rPr>
        <w:t>This course of action is logical and sound</w:t>
      </w:r>
      <w:r w:rsidR="00F05468" w:rsidRPr="00D62C71">
        <w:rPr>
          <w:lang w:eastAsia="zh-CN"/>
        </w:rPr>
        <w:t>.</w:t>
      </w:r>
    </w:p>
    <w:sectPr w:rsidR="00303E12" w:rsidRPr="00D62C71"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D6F6" w14:textId="77777777" w:rsidR="00A05D51" w:rsidRDefault="00A05D51">
      <w:r>
        <w:separator/>
      </w:r>
    </w:p>
  </w:endnote>
  <w:endnote w:type="continuationSeparator" w:id="0">
    <w:p w14:paraId="10B2494F" w14:textId="77777777" w:rsidR="00A05D51" w:rsidRDefault="00A0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37DA" w14:textId="77777777" w:rsidR="00E45D05" w:rsidRDefault="00E45D05">
    <w:pPr>
      <w:framePr w:wrap="around" w:vAnchor="text" w:hAnchor="margin" w:xAlign="right" w:y="1"/>
    </w:pPr>
    <w:r>
      <w:fldChar w:fldCharType="begin"/>
    </w:r>
    <w:r>
      <w:instrText xml:space="preserve">PAGE  </w:instrText>
    </w:r>
    <w:r>
      <w:fldChar w:fldCharType="end"/>
    </w:r>
  </w:p>
  <w:p w14:paraId="69977398" w14:textId="5B3CE4B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8755E">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0564" w14:textId="0B4FD97F" w:rsidR="00200C7E" w:rsidRPr="00855FB4" w:rsidRDefault="00855FB4" w:rsidP="00200C7E">
    <w:pPr>
      <w:pStyle w:val="Footer"/>
      <w:rPr>
        <w:lang w:val="pt-PT"/>
      </w:rPr>
    </w:pPr>
    <w:r>
      <w:fldChar w:fldCharType="begin"/>
    </w:r>
    <w:r w:rsidRPr="00855FB4">
      <w:rPr>
        <w:lang w:val="pt-PT"/>
      </w:rPr>
      <w:instrText xml:space="preserve"> FILENAME \p  \* MERGEFORMAT </w:instrText>
    </w:r>
    <w:r>
      <w:fldChar w:fldCharType="separate"/>
    </w:r>
    <w:r w:rsidR="00FA6391" w:rsidRPr="00855FB4">
      <w:rPr>
        <w:lang w:val="pt-PT"/>
      </w:rPr>
      <w:t>P:\TRAD\E\ITU-R\CONF-R\CMR23\100\111ADD25ADD05E.docx</w:t>
    </w:r>
    <w:r>
      <w:fldChar w:fldCharType="end"/>
    </w:r>
    <w:r w:rsidR="00200C7E" w:rsidRPr="00855FB4">
      <w:rPr>
        <w:lang w:val="pt-PT"/>
      </w:rPr>
      <w:t xml:space="preserve"> (530549)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8897" w14:textId="11578A19" w:rsidR="00200C7E" w:rsidRPr="00855FB4" w:rsidRDefault="00D62C71" w:rsidP="00200C7E">
    <w:pPr>
      <w:pStyle w:val="Footer"/>
      <w:rPr>
        <w:lang w:val="pt-PT"/>
      </w:rPr>
    </w:pPr>
    <w:r>
      <w:fldChar w:fldCharType="begin"/>
    </w:r>
    <w:r w:rsidRPr="00855FB4">
      <w:rPr>
        <w:lang w:val="pt-PT"/>
      </w:rPr>
      <w:instrText xml:space="preserve"> FILENAME \p  \* MERGEFORMAT </w:instrText>
    </w:r>
    <w:r>
      <w:fldChar w:fldCharType="separate"/>
    </w:r>
    <w:r w:rsidR="00FA6391" w:rsidRPr="00855FB4">
      <w:rPr>
        <w:lang w:val="pt-PT"/>
      </w:rPr>
      <w:t>P:\TRAD\E\ITU-R\CONF-R\CMR23\100\111ADD25ADD05E.docx</w:t>
    </w:r>
    <w:r>
      <w:fldChar w:fldCharType="end"/>
    </w:r>
    <w:r w:rsidR="00200C7E" w:rsidRPr="00855FB4">
      <w:rPr>
        <w:lang w:val="pt-PT"/>
      </w:rPr>
      <w:t xml:space="preserve"> (530549)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9038" w14:textId="77777777" w:rsidR="00A05D51" w:rsidRDefault="00A05D51">
      <w:r>
        <w:rPr>
          <w:b/>
        </w:rPr>
        <w:t>_______________</w:t>
      </w:r>
    </w:p>
  </w:footnote>
  <w:footnote w:type="continuationSeparator" w:id="0">
    <w:p w14:paraId="716473B9" w14:textId="77777777" w:rsidR="00A05D51" w:rsidRDefault="00A05D51">
      <w:r>
        <w:continuationSeparator/>
      </w:r>
    </w:p>
  </w:footnote>
  <w:footnote w:id="1">
    <w:p w14:paraId="2BB920C2" w14:textId="77777777" w:rsidR="00200C7E" w:rsidRDefault="00200C7E"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D2B5"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89B3415" w14:textId="77777777" w:rsidR="00A066F1" w:rsidRPr="00A066F1" w:rsidRDefault="00BC75DE" w:rsidP="00241FA2">
    <w:pPr>
      <w:pStyle w:val="Header"/>
    </w:pPr>
    <w:r>
      <w:t>WRC</w:t>
    </w:r>
    <w:r w:rsidR="006D70B0">
      <w:t>23</w:t>
    </w:r>
    <w:r w:rsidR="00A066F1">
      <w:t>/</w:t>
    </w:r>
    <w:bookmarkStart w:id="11" w:name="OLE_LINK1"/>
    <w:bookmarkStart w:id="12" w:name="OLE_LINK2"/>
    <w:bookmarkStart w:id="13" w:name="OLE_LINK3"/>
    <w:r w:rsidR="00EB55C6">
      <w:t>111(Add.</w:t>
    </w:r>
    <w:proofErr w:type="gramStart"/>
    <w:r w:rsidR="00EB55C6">
      <w:t>25)(</w:t>
    </w:r>
    <w:proofErr w:type="gramEnd"/>
    <w:r w:rsidR="00EB55C6">
      <w:t>Add.5)</w:t>
    </w:r>
    <w:bookmarkEnd w:id="11"/>
    <w:bookmarkEnd w:id="12"/>
    <w:bookmarkEnd w:id="13"/>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34287801">
    <w:abstractNumId w:val="0"/>
  </w:num>
  <w:num w:numId="2" w16cid:durableId="10777491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A3B"/>
    <w:rsid w:val="00030A3C"/>
    <w:rsid w:val="000355FD"/>
    <w:rsid w:val="00051E39"/>
    <w:rsid w:val="000705F2"/>
    <w:rsid w:val="00077239"/>
    <w:rsid w:val="0007795D"/>
    <w:rsid w:val="00086491"/>
    <w:rsid w:val="00091346"/>
    <w:rsid w:val="0009706C"/>
    <w:rsid w:val="000D154B"/>
    <w:rsid w:val="000D2DAF"/>
    <w:rsid w:val="000D7E34"/>
    <w:rsid w:val="000E463E"/>
    <w:rsid w:val="000F73FF"/>
    <w:rsid w:val="00114CF7"/>
    <w:rsid w:val="00116C7A"/>
    <w:rsid w:val="00123B68"/>
    <w:rsid w:val="00126F2E"/>
    <w:rsid w:val="00146F6F"/>
    <w:rsid w:val="00161F26"/>
    <w:rsid w:val="00187BD9"/>
    <w:rsid w:val="00190B55"/>
    <w:rsid w:val="001C3B5F"/>
    <w:rsid w:val="001D058F"/>
    <w:rsid w:val="002009EA"/>
    <w:rsid w:val="00200C7E"/>
    <w:rsid w:val="00202756"/>
    <w:rsid w:val="00202CA0"/>
    <w:rsid w:val="00216B6D"/>
    <w:rsid w:val="0022757F"/>
    <w:rsid w:val="00241FA2"/>
    <w:rsid w:val="00271316"/>
    <w:rsid w:val="00271AB7"/>
    <w:rsid w:val="002B349C"/>
    <w:rsid w:val="002D58BE"/>
    <w:rsid w:val="002F4747"/>
    <w:rsid w:val="00302605"/>
    <w:rsid w:val="00303E12"/>
    <w:rsid w:val="00352947"/>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8755E"/>
    <w:rsid w:val="005964AB"/>
    <w:rsid w:val="005C099A"/>
    <w:rsid w:val="005C31A5"/>
    <w:rsid w:val="005E10C9"/>
    <w:rsid w:val="005E290B"/>
    <w:rsid w:val="005E61DD"/>
    <w:rsid w:val="005F04D8"/>
    <w:rsid w:val="006023DF"/>
    <w:rsid w:val="00615426"/>
    <w:rsid w:val="00616219"/>
    <w:rsid w:val="00645B7D"/>
    <w:rsid w:val="00657DE0"/>
    <w:rsid w:val="006819FA"/>
    <w:rsid w:val="00685313"/>
    <w:rsid w:val="00692833"/>
    <w:rsid w:val="006A6E9B"/>
    <w:rsid w:val="006B7C2A"/>
    <w:rsid w:val="006C23DA"/>
    <w:rsid w:val="006D70B0"/>
    <w:rsid w:val="006E3D45"/>
    <w:rsid w:val="006F11FE"/>
    <w:rsid w:val="00703DB4"/>
    <w:rsid w:val="0070607A"/>
    <w:rsid w:val="007149F9"/>
    <w:rsid w:val="00733A30"/>
    <w:rsid w:val="00745AEE"/>
    <w:rsid w:val="00750A50"/>
    <w:rsid w:val="00750F10"/>
    <w:rsid w:val="007742CA"/>
    <w:rsid w:val="007822E9"/>
    <w:rsid w:val="00782F8F"/>
    <w:rsid w:val="00790D70"/>
    <w:rsid w:val="007A6F1F"/>
    <w:rsid w:val="007D5320"/>
    <w:rsid w:val="007F7671"/>
    <w:rsid w:val="00800972"/>
    <w:rsid w:val="00804475"/>
    <w:rsid w:val="00811633"/>
    <w:rsid w:val="00814037"/>
    <w:rsid w:val="00823A17"/>
    <w:rsid w:val="00841216"/>
    <w:rsid w:val="00842AF0"/>
    <w:rsid w:val="00855FB4"/>
    <w:rsid w:val="0086171E"/>
    <w:rsid w:val="00872FC8"/>
    <w:rsid w:val="008845D0"/>
    <w:rsid w:val="00884D60"/>
    <w:rsid w:val="00896E56"/>
    <w:rsid w:val="008B43F2"/>
    <w:rsid w:val="008B6CFF"/>
    <w:rsid w:val="009274B4"/>
    <w:rsid w:val="00934EA2"/>
    <w:rsid w:val="00944A5C"/>
    <w:rsid w:val="00952A66"/>
    <w:rsid w:val="009B1EA1"/>
    <w:rsid w:val="009B7C9A"/>
    <w:rsid w:val="009C56E5"/>
    <w:rsid w:val="009C7716"/>
    <w:rsid w:val="009E5FC8"/>
    <w:rsid w:val="009E687A"/>
    <w:rsid w:val="009F236F"/>
    <w:rsid w:val="00A05D51"/>
    <w:rsid w:val="00A066F1"/>
    <w:rsid w:val="00A141AF"/>
    <w:rsid w:val="00A16D29"/>
    <w:rsid w:val="00A30305"/>
    <w:rsid w:val="00A31D2D"/>
    <w:rsid w:val="00A4600A"/>
    <w:rsid w:val="00A538A6"/>
    <w:rsid w:val="00A54C25"/>
    <w:rsid w:val="00A6716B"/>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94C11"/>
    <w:rsid w:val="00BB3A95"/>
    <w:rsid w:val="00BC75DE"/>
    <w:rsid w:val="00BD6CCE"/>
    <w:rsid w:val="00C0018F"/>
    <w:rsid w:val="00C16A5A"/>
    <w:rsid w:val="00C20466"/>
    <w:rsid w:val="00C214ED"/>
    <w:rsid w:val="00C234E6"/>
    <w:rsid w:val="00C324A8"/>
    <w:rsid w:val="00C54517"/>
    <w:rsid w:val="00C56F70"/>
    <w:rsid w:val="00C57B91"/>
    <w:rsid w:val="00C60189"/>
    <w:rsid w:val="00C64CD8"/>
    <w:rsid w:val="00C82695"/>
    <w:rsid w:val="00C97C68"/>
    <w:rsid w:val="00CA1A47"/>
    <w:rsid w:val="00CA3DFC"/>
    <w:rsid w:val="00CB44E5"/>
    <w:rsid w:val="00CC247A"/>
    <w:rsid w:val="00CE388F"/>
    <w:rsid w:val="00CE5E47"/>
    <w:rsid w:val="00CF020F"/>
    <w:rsid w:val="00CF2B5B"/>
    <w:rsid w:val="00D14CE0"/>
    <w:rsid w:val="00D22889"/>
    <w:rsid w:val="00D255D4"/>
    <w:rsid w:val="00D268B3"/>
    <w:rsid w:val="00D52FD6"/>
    <w:rsid w:val="00D54009"/>
    <w:rsid w:val="00D5651D"/>
    <w:rsid w:val="00D57A34"/>
    <w:rsid w:val="00D62C71"/>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468"/>
    <w:rsid w:val="00F05BD4"/>
    <w:rsid w:val="00F06473"/>
    <w:rsid w:val="00F320AA"/>
    <w:rsid w:val="00F6155B"/>
    <w:rsid w:val="00F65C19"/>
    <w:rsid w:val="00F822B0"/>
    <w:rsid w:val="00FA6391"/>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422A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qFormat/>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qFormat/>
    <w:rPr>
      <w:color w:val="0000FF" w:themeColor="hyperlink"/>
      <w:u w:val="single"/>
    </w:rPr>
  </w:style>
  <w:style w:type="paragraph" w:styleId="Revision">
    <w:name w:val="Revision"/>
    <w:hidden/>
    <w:uiPriority w:val="99"/>
    <w:semiHidden/>
    <w:rsid w:val="00703DB4"/>
    <w:rPr>
      <w:rFonts w:ascii="Times New Roman" w:hAnsi="Times New Roman"/>
      <w:sz w:val="24"/>
      <w:lang w:val="en-GB" w:eastAsia="en-US"/>
    </w:rPr>
  </w:style>
  <w:style w:type="character" w:styleId="FollowedHyperlink">
    <w:name w:val="FollowedHyperlink"/>
    <w:basedOn w:val="DefaultParagraphFont"/>
    <w:semiHidden/>
    <w:unhideWhenUsed/>
    <w:rsid w:val="00703D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3-WRC23-C-000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R23-WRC23-C-0111!A25-A5!MSW-E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CA00-8362-44B5-8B15-391F27CB928E}">
  <ds:schemaRefs>
    <ds:schemaRef ds:uri="http://schemas.microsoft.com/office/2006/metadata/properties"/>
    <ds:schemaRef ds:uri="http://schemas.microsoft.com/office/infopath/2007/PartnerControls"/>
    <ds:schemaRef ds:uri="76b7d054-b29f-418b-b414-6b742f999448"/>
  </ds:schemaRefs>
</ds:datastoreItem>
</file>

<file path=customXml/itemProps2.xml><?xml version="1.0" encoding="utf-8"?>
<ds:datastoreItem xmlns:ds="http://schemas.openxmlformats.org/officeDocument/2006/customXml" ds:itemID="{84BFE1E7-10E7-4AC7-85D7-6DC272F09078}">
  <ds:schemaRefs>
    <ds:schemaRef ds:uri="http://schemas.microsoft.com/sharepoint/v3/contenttype/forms"/>
  </ds:schemaRefs>
</ds:datastoreItem>
</file>

<file path=customXml/itemProps3.xml><?xml version="1.0" encoding="utf-8"?>
<ds:datastoreItem xmlns:ds="http://schemas.openxmlformats.org/officeDocument/2006/customXml" ds:itemID="{12448777-EB97-4B64-A26C-479F2ED13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A6B1E-AD8B-4646-A362-F6AFA0FD3A69}">
  <ds:schemaRefs>
    <ds:schemaRef ds:uri="http://schemas.microsoft.com/sharepoint/events"/>
  </ds:schemaRefs>
</ds:datastoreItem>
</file>

<file path=customXml/itemProps5.xml><?xml version="1.0" encoding="utf-8"?>
<ds:datastoreItem xmlns:ds="http://schemas.openxmlformats.org/officeDocument/2006/customXml" ds:itemID="{EFE5E2A9-305D-45F7-A285-59A8CFD5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R23-WRC23-C-0111!A25-A5!MSW-E</vt:lpstr>
    </vt:vector>
  </TitlesOfParts>
  <Manager>General Secretariat - Pool</Manager>
  <Company>International Telecommunication Union (ITU)</Company>
  <LinksUpToDate>false</LinksUpToDate>
  <CharactersWithSpaces>3856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R23-WRC23-C-0111!A25-A5!MSW-E</dc:title>
  <dc:subject>World Radiocommunication Conference - 2023</dc:subject>
  <dc:creator>Documents Proposals Manager (DPM)</dc:creator>
  <cp:keywords>DPM_v2023.8.1.1_prod</cp:keywords>
  <dc:description>Uploaded on 2015.07.06</dc:description>
  <cp:lastModifiedBy>Xue, Kun</cp:lastModifiedBy>
  <cp:revision>3</cp:revision>
  <cp:lastPrinted>2017-02-10T08:23:00Z</cp:lastPrinted>
  <dcterms:created xsi:type="dcterms:W3CDTF">2023-11-06T12:13:00Z</dcterms:created>
  <dcterms:modified xsi:type="dcterms:W3CDTF">2023-11-06T12:14:00Z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