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99313A" w14:paraId="04E2A6D9" w14:textId="77777777" w:rsidTr="0080079E">
        <w:trPr>
          <w:cantSplit/>
        </w:trPr>
        <w:tc>
          <w:tcPr>
            <w:tcW w:w="1418" w:type="dxa"/>
            <w:vAlign w:val="center"/>
          </w:tcPr>
          <w:p w14:paraId="41A33ED7" w14:textId="77777777" w:rsidR="0080079E" w:rsidRPr="0099313A" w:rsidRDefault="0080079E" w:rsidP="0080079E">
            <w:pPr>
              <w:spacing w:before="0" w:line="240" w:lineRule="atLeast"/>
              <w:rPr>
                <w:rFonts w:ascii="Verdana" w:hAnsi="Verdana"/>
                <w:position w:val="6"/>
                <w:lang w:val="es-ES"/>
              </w:rPr>
            </w:pPr>
            <w:r w:rsidRPr="0099313A">
              <w:rPr>
                <w:noProof/>
                <w:lang w:val="es-ES" w:eastAsia="es-ES"/>
              </w:rPr>
              <w:drawing>
                <wp:inline distT="0" distB="0" distL="0" distR="0" wp14:anchorId="324ACBEA" wp14:editId="7A7D8C7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EAE8836" w14:textId="77777777" w:rsidR="0080079E" w:rsidRPr="0099313A" w:rsidRDefault="0080079E" w:rsidP="00C44E9E">
            <w:pPr>
              <w:spacing w:before="400" w:after="48" w:line="240" w:lineRule="atLeast"/>
              <w:rPr>
                <w:rFonts w:ascii="Verdana" w:hAnsi="Verdana"/>
                <w:position w:val="6"/>
                <w:lang w:val="es-ES"/>
              </w:rPr>
            </w:pPr>
            <w:r w:rsidRPr="0099313A">
              <w:rPr>
                <w:rFonts w:ascii="Verdana" w:hAnsi="Verdana" w:cs="Times"/>
                <w:b/>
                <w:position w:val="6"/>
                <w:sz w:val="20"/>
                <w:lang w:val="es-ES"/>
              </w:rPr>
              <w:t>Conferencia Mundial de Radiocomunicaciones (CMR-23)</w:t>
            </w:r>
            <w:r w:rsidRPr="0099313A">
              <w:rPr>
                <w:rFonts w:ascii="Verdana" w:hAnsi="Verdana" w:cs="Times"/>
                <w:b/>
                <w:position w:val="6"/>
                <w:sz w:val="20"/>
                <w:lang w:val="es-ES"/>
              </w:rPr>
              <w:br/>
            </w:r>
            <w:r w:rsidRPr="0099313A">
              <w:rPr>
                <w:rFonts w:ascii="Verdana" w:hAnsi="Verdana" w:cs="Times"/>
                <w:b/>
                <w:position w:val="6"/>
                <w:sz w:val="18"/>
                <w:szCs w:val="18"/>
                <w:lang w:val="es-ES"/>
              </w:rPr>
              <w:t>Dubái, 20 de noviembre - 15 de diciembre de 2023</w:t>
            </w:r>
          </w:p>
        </w:tc>
        <w:tc>
          <w:tcPr>
            <w:tcW w:w="1809" w:type="dxa"/>
            <w:vAlign w:val="center"/>
          </w:tcPr>
          <w:p w14:paraId="78AC4BBE" w14:textId="77777777" w:rsidR="0080079E" w:rsidRPr="0099313A" w:rsidRDefault="0080079E" w:rsidP="0080079E">
            <w:pPr>
              <w:spacing w:before="0" w:line="240" w:lineRule="atLeast"/>
              <w:rPr>
                <w:lang w:val="es-ES"/>
              </w:rPr>
            </w:pPr>
            <w:bookmarkStart w:id="0" w:name="ditulogo"/>
            <w:bookmarkEnd w:id="0"/>
            <w:r w:rsidRPr="0099313A">
              <w:rPr>
                <w:noProof/>
                <w:lang w:val="es-ES" w:eastAsia="es-ES"/>
              </w:rPr>
              <w:drawing>
                <wp:inline distT="0" distB="0" distL="0" distR="0" wp14:anchorId="3D82EE33" wp14:editId="62F8F843">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99313A" w14:paraId="0F73DF96" w14:textId="77777777" w:rsidTr="0050008E">
        <w:trPr>
          <w:cantSplit/>
        </w:trPr>
        <w:tc>
          <w:tcPr>
            <w:tcW w:w="6911" w:type="dxa"/>
            <w:gridSpan w:val="2"/>
            <w:tcBorders>
              <w:bottom w:val="single" w:sz="12" w:space="0" w:color="auto"/>
            </w:tcBorders>
          </w:tcPr>
          <w:p w14:paraId="062778D3" w14:textId="77777777" w:rsidR="0090121B" w:rsidRPr="0099313A"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3352EDA7" w14:textId="77777777" w:rsidR="0090121B" w:rsidRPr="0099313A" w:rsidRDefault="0090121B" w:rsidP="0090121B">
            <w:pPr>
              <w:spacing w:before="0" w:line="240" w:lineRule="atLeast"/>
              <w:rPr>
                <w:rFonts w:ascii="Verdana" w:hAnsi="Verdana"/>
                <w:szCs w:val="24"/>
                <w:lang w:val="es-ES"/>
              </w:rPr>
            </w:pPr>
          </w:p>
        </w:tc>
      </w:tr>
      <w:tr w:rsidR="0090121B" w:rsidRPr="0099313A" w14:paraId="07604510" w14:textId="77777777" w:rsidTr="0090121B">
        <w:trPr>
          <w:cantSplit/>
        </w:trPr>
        <w:tc>
          <w:tcPr>
            <w:tcW w:w="6911" w:type="dxa"/>
            <w:gridSpan w:val="2"/>
            <w:tcBorders>
              <w:top w:val="single" w:sz="12" w:space="0" w:color="auto"/>
            </w:tcBorders>
          </w:tcPr>
          <w:p w14:paraId="6B552EA5" w14:textId="77777777" w:rsidR="0090121B" w:rsidRPr="0099313A"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3DEB4FC6" w14:textId="77777777" w:rsidR="0090121B" w:rsidRPr="0099313A" w:rsidRDefault="0090121B" w:rsidP="0090121B">
            <w:pPr>
              <w:spacing w:before="0" w:line="240" w:lineRule="atLeast"/>
              <w:rPr>
                <w:rFonts w:ascii="Verdana" w:hAnsi="Verdana"/>
                <w:sz w:val="20"/>
                <w:lang w:val="es-ES"/>
              </w:rPr>
            </w:pPr>
          </w:p>
        </w:tc>
      </w:tr>
      <w:tr w:rsidR="0090121B" w:rsidRPr="0099313A" w14:paraId="4AAAA0B3" w14:textId="77777777" w:rsidTr="0090121B">
        <w:trPr>
          <w:cantSplit/>
        </w:trPr>
        <w:tc>
          <w:tcPr>
            <w:tcW w:w="6911" w:type="dxa"/>
            <w:gridSpan w:val="2"/>
          </w:tcPr>
          <w:p w14:paraId="13461A08" w14:textId="77777777" w:rsidR="0090121B" w:rsidRPr="0099313A" w:rsidRDefault="001E7D42" w:rsidP="00EA77F0">
            <w:pPr>
              <w:pStyle w:val="Committee"/>
              <w:framePr w:hSpace="0" w:wrap="auto" w:hAnchor="text" w:yAlign="inline"/>
              <w:rPr>
                <w:sz w:val="18"/>
                <w:szCs w:val="18"/>
                <w:lang w:val="es-ES"/>
              </w:rPr>
            </w:pPr>
            <w:r w:rsidRPr="0099313A">
              <w:rPr>
                <w:sz w:val="18"/>
                <w:szCs w:val="18"/>
                <w:lang w:val="es-ES"/>
              </w:rPr>
              <w:t>SESIÓN PLENARIA</w:t>
            </w:r>
          </w:p>
        </w:tc>
        <w:tc>
          <w:tcPr>
            <w:tcW w:w="3120" w:type="dxa"/>
            <w:gridSpan w:val="2"/>
          </w:tcPr>
          <w:p w14:paraId="0361669F" w14:textId="77777777" w:rsidR="0090121B" w:rsidRPr="0099313A" w:rsidRDefault="00AE658F" w:rsidP="0045384C">
            <w:pPr>
              <w:spacing w:before="0"/>
              <w:rPr>
                <w:rFonts w:ascii="Verdana" w:hAnsi="Verdana"/>
                <w:sz w:val="18"/>
                <w:szCs w:val="18"/>
                <w:lang w:val="es-ES"/>
              </w:rPr>
            </w:pPr>
            <w:r w:rsidRPr="0099313A">
              <w:rPr>
                <w:rFonts w:ascii="Verdana" w:hAnsi="Verdana"/>
                <w:b/>
                <w:sz w:val="18"/>
                <w:szCs w:val="18"/>
                <w:lang w:val="es-ES"/>
              </w:rPr>
              <w:t>Addéndum 4 al</w:t>
            </w:r>
            <w:r w:rsidRPr="0099313A">
              <w:rPr>
                <w:rFonts w:ascii="Verdana" w:hAnsi="Verdana"/>
                <w:b/>
                <w:sz w:val="18"/>
                <w:szCs w:val="18"/>
                <w:lang w:val="es-ES"/>
              </w:rPr>
              <w:br/>
              <w:t>Documento 111(Add.25)</w:t>
            </w:r>
            <w:r w:rsidR="0090121B" w:rsidRPr="0099313A">
              <w:rPr>
                <w:rFonts w:ascii="Verdana" w:hAnsi="Verdana"/>
                <w:b/>
                <w:sz w:val="18"/>
                <w:szCs w:val="18"/>
                <w:lang w:val="es-ES"/>
              </w:rPr>
              <w:t>-</w:t>
            </w:r>
            <w:r w:rsidRPr="0099313A">
              <w:rPr>
                <w:rFonts w:ascii="Verdana" w:hAnsi="Verdana"/>
                <w:b/>
                <w:sz w:val="18"/>
                <w:szCs w:val="18"/>
                <w:lang w:val="es-ES"/>
              </w:rPr>
              <w:t>S</w:t>
            </w:r>
          </w:p>
        </w:tc>
      </w:tr>
      <w:bookmarkEnd w:id="1"/>
      <w:tr w:rsidR="000A5B9A" w:rsidRPr="0099313A" w14:paraId="65FCBCD0" w14:textId="77777777" w:rsidTr="0090121B">
        <w:trPr>
          <w:cantSplit/>
        </w:trPr>
        <w:tc>
          <w:tcPr>
            <w:tcW w:w="6911" w:type="dxa"/>
            <w:gridSpan w:val="2"/>
          </w:tcPr>
          <w:p w14:paraId="0EE3E30C" w14:textId="77777777" w:rsidR="000A5B9A" w:rsidRPr="0099313A" w:rsidRDefault="000A5B9A" w:rsidP="0045384C">
            <w:pPr>
              <w:spacing w:before="0" w:after="48"/>
              <w:rPr>
                <w:rFonts w:ascii="Verdana" w:hAnsi="Verdana"/>
                <w:b/>
                <w:smallCaps/>
                <w:sz w:val="18"/>
                <w:szCs w:val="18"/>
                <w:lang w:val="es-ES"/>
              </w:rPr>
            </w:pPr>
          </w:p>
        </w:tc>
        <w:tc>
          <w:tcPr>
            <w:tcW w:w="3120" w:type="dxa"/>
            <w:gridSpan w:val="2"/>
          </w:tcPr>
          <w:p w14:paraId="578A0C0A" w14:textId="77777777" w:rsidR="000A5B9A" w:rsidRPr="0099313A" w:rsidRDefault="000A5B9A" w:rsidP="0045384C">
            <w:pPr>
              <w:spacing w:before="0"/>
              <w:rPr>
                <w:rFonts w:ascii="Verdana" w:hAnsi="Verdana"/>
                <w:b/>
                <w:sz w:val="18"/>
                <w:szCs w:val="18"/>
                <w:lang w:val="es-ES"/>
              </w:rPr>
            </w:pPr>
            <w:r w:rsidRPr="0099313A">
              <w:rPr>
                <w:rFonts w:ascii="Verdana" w:hAnsi="Verdana"/>
                <w:b/>
                <w:sz w:val="18"/>
                <w:szCs w:val="18"/>
                <w:lang w:val="es-ES"/>
              </w:rPr>
              <w:t>30 de octubre de 2023</w:t>
            </w:r>
          </w:p>
        </w:tc>
      </w:tr>
      <w:tr w:rsidR="000A5B9A" w:rsidRPr="0099313A" w14:paraId="43D502D6" w14:textId="77777777" w:rsidTr="0090121B">
        <w:trPr>
          <w:cantSplit/>
        </w:trPr>
        <w:tc>
          <w:tcPr>
            <w:tcW w:w="6911" w:type="dxa"/>
            <w:gridSpan w:val="2"/>
          </w:tcPr>
          <w:p w14:paraId="2BE467F5" w14:textId="77777777" w:rsidR="000A5B9A" w:rsidRPr="0099313A" w:rsidRDefault="000A5B9A" w:rsidP="0045384C">
            <w:pPr>
              <w:spacing w:before="0" w:after="48"/>
              <w:rPr>
                <w:rFonts w:ascii="Verdana" w:hAnsi="Verdana"/>
                <w:b/>
                <w:smallCaps/>
                <w:sz w:val="18"/>
                <w:szCs w:val="18"/>
                <w:lang w:val="es-ES"/>
              </w:rPr>
            </w:pPr>
          </w:p>
        </w:tc>
        <w:tc>
          <w:tcPr>
            <w:tcW w:w="3120" w:type="dxa"/>
            <w:gridSpan w:val="2"/>
          </w:tcPr>
          <w:p w14:paraId="7474E729" w14:textId="77777777" w:rsidR="000A5B9A" w:rsidRPr="0099313A" w:rsidRDefault="000A5B9A" w:rsidP="0045384C">
            <w:pPr>
              <w:spacing w:before="0"/>
              <w:rPr>
                <w:rFonts w:ascii="Verdana" w:hAnsi="Verdana"/>
                <w:b/>
                <w:sz w:val="18"/>
                <w:szCs w:val="18"/>
                <w:lang w:val="es-ES"/>
              </w:rPr>
            </w:pPr>
            <w:r w:rsidRPr="0099313A">
              <w:rPr>
                <w:rFonts w:ascii="Verdana" w:hAnsi="Verdana"/>
                <w:b/>
                <w:sz w:val="18"/>
                <w:szCs w:val="18"/>
                <w:lang w:val="es-ES"/>
              </w:rPr>
              <w:t>Original: chino</w:t>
            </w:r>
          </w:p>
        </w:tc>
      </w:tr>
      <w:tr w:rsidR="000A5B9A" w:rsidRPr="0099313A" w14:paraId="25FE2E99" w14:textId="77777777" w:rsidTr="006744FC">
        <w:trPr>
          <w:cantSplit/>
        </w:trPr>
        <w:tc>
          <w:tcPr>
            <w:tcW w:w="10031" w:type="dxa"/>
            <w:gridSpan w:val="4"/>
          </w:tcPr>
          <w:p w14:paraId="5DDA97CB" w14:textId="77777777" w:rsidR="000A5B9A" w:rsidRPr="0099313A" w:rsidRDefault="000A5B9A" w:rsidP="0045384C">
            <w:pPr>
              <w:spacing w:before="0"/>
              <w:rPr>
                <w:rFonts w:ascii="Verdana" w:hAnsi="Verdana"/>
                <w:b/>
                <w:sz w:val="18"/>
                <w:szCs w:val="22"/>
                <w:lang w:val="es-ES"/>
              </w:rPr>
            </w:pPr>
          </w:p>
        </w:tc>
      </w:tr>
      <w:tr w:rsidR="000A5B9A" w:rsidRPr="0099313A" w14:paraId="13C43A34" w14:textId="77777777" w:rsidTr="0050008E">
        <w:trPr>
          <w:cantSplit/>
        </w:trPr>
        <w:tc>
          <w:tcPr>
            <w:tcW w:w="10031" w:type="dxa"/>
            <w:gridSpan w:val="4"/>
          </w:tcPr>
          <w:p w14:paraId="234E73FB" w14:textId="77777777" w:rsidR="000A5B9A" w:rsidRPr="0099313A" w:rsidRDefault="000A5B9A" w:rsidP="000A5B9A">
            <w:pPr>
              <w:pStyle w:val="Source"/>
              <w:rPr>
                <w:lang w:val="es-ES"/>
              </w:rPr>
            </w:pPr>
            <w:bookmarkStart w:id="2" w:name="dsource" w:colFirst="0" w:colLast="0"/>
            <w:r w:rsidRPr="0099313A">
              <w:rPr>
                <w:lang w:val="es-ES"/>
              </w:rPr>
              <w:t>China (República Popular de)</w:t>
            </w:r>
          </w:p>
        </w:tc>
      </w:tr>
      <w:tr w:rsidR="000A5B9A" w:rsidRPr="0099313A" w14:paraId="2926952A" w14:textId="77777777" w:rsidTr="0050008E">
        <w:trPr>
          <w:cantSplit/>
        </w:trPr>
        <w:tc>
          <w:tcPr>
            <w:tcW w:w="10031" w:type="dxa"/>
            <w:gridSpan w:val="4"/>
          </w:tcPr>
          <w:p w14:paraId="69F9A472" w14:textId="34285F47" w:rsidR="000A5B9A" w:rsidRPr="0099313A" w:rsidRDefault="0024717A" w:rsidP="0024717A">
            <w:pPr>
              <w:pStyle w:val="Title1"/>
              <w:rPr>
                <w:lang w:val="es-ES"/>
              </w:rPr>
            </w:pPr>
            <w:bookmarkStart w:id="3" w:name="dtitle1" w:colFirst="0" w:colLast="0"/>
            <w:bookmarkEnd w:id="2"/>
            <w:r w:rsidRPr="0099313A">
              <w:rPr>
                <w:lang w:val="es-ES"/>
              </w:rPr>
              <w:t>PROPUESTAS PARA LOS TRABAJOS DE LA CONFERENCIA</w:t>
            </w:r>
          </w:p>
        </w:tc>
      </w:tr>
      <w:tr w:rsidR="000A5B9A" w:rsidRPr="0099313A" w14:paraId="3A3473C7" w14:textId="77777777" w:rsidTr="0050008E">
        <w:trPr>
          <w:cantSplit/>
        </w:trPr>
        <w:tc>
          <w:tcPr>
            <w:tcW w:w="10031" w:type="dxa"/>
            <w:gridSpan w:val="4"/>
          </w:tcPr>
          <w:p w14:paraId="48352760" w14:textId="77777777" w:rsidR="000A5B9A" w:rsidRPr="0099313A" w:rsidRDefault="000A5B9A" w:rsidP="000A5B9A">
            <w:pPr>
              <w:pStyle w:val="Title2"/>
              <w:rPr>
                <w:lang w:val="es-ES"/>
              </w:rPr>
            </w:pPr>
            <w:bookmarkStart w:id="4" w:name="dtitle2" w:colFirst="0" w:colLast="0"/>
            <w:bookmarkEnd w:id="3"/>
          </w:p>
        </w:tc>
      </w:tr>
      <w:tr w:rsidR="000A5B9A" w:rsidRPr="0099313A" w14:paraId="085DAEF5" w14:textId="77777777" w:rsidTr="0050008E">
        <w:trPr>
          <w:cantSplit/>
        </w:trPr>
        <w:tc>
          <w:tcPr>
            <w:tcW w:w="10031" w:type="dxa"/>
            <w:gridSpan w:val="4"/>
          </w:tcPr>
          <w:p w14:paraId="094A7456" w14:textId="77777777" w:rsidR="000A5B9A" w:rsidRPr="0099313A" w:rsidRDefault="000A5B9A" w:rsidP="000A5B9A">
            <w:pPr>
              <w:pStyle w:val="Agendaitem"/>
              <w:rPr>
                <w:lang w:val="es-ES"/>
              </w:rPr>
            </w:pPr>
            <w:bookmarkStart w:id="5" w:name="dtitle3" w:colFirst="0" w:colLast="0"/>
            <w:bookmarkEnd w:id="4"/>
            <w:r w:rsidRPr="0099313A">
              <w:rPr>
                <w:lang w:val="es-ES"/>
              </w:rPr>
              <w:t>Punto 9.2 del orden del día</w:t>
            </w:r>
          </w:p>
        </w:tc>
      </w:tr>
    </w:tbl>
    <w:bookmarkEnd w:id="5"/>
    <w:p w14:paraId="0D0DAAD3" w14:textId="77777777" w:rsidR="00CA2965" w:rsidRPr="0099313A" w:rsidRDefault="00A05E7F" w:rsidP="004C0282">
      <w:pPr>
        <w:pStyle w:val="Normalaftertitle"/>
        <w:rPr>
          <w:lang w:val="es-ES"/>
        </w:rPr>
      </w:pPr>
      <w:r w:rsidRPr="0099313A">
        <w:rPr>
          <w:lang w:val="es-ES"/>
        </w:rPr>
        <w:t>9</w:t>
      </w:r>
      <w:r w:rsidRPr="0099313A">
        <w:rPr>
          <w:lang w:val="es-ES"/>
        </w:rPr>
        <w:tab/>
        <w:t>examinar y aprobar el Informe del Director de la Oficina de Radiocomunicaciones, de conformidad con el Artículo 7 del Convenio de la UIT:</w:t>
      </w:r>
    </w:p>
    <w:p w14:paraId="605F0E82" w14:textId="77777777" w:rsidR="00CA2965" w:rsidRPr="0099313A" w:rsidRDefault="00A05E7F" w:rsidP="00822E96">
      <w:pPr>
        <w:rPr>
          <w:lang w:val="es-ES"/>
        </w:rPr>
      </w:pPr>
      <w:r w:rsidRPr="0099313A">
        <w:rPr>
          <w:lang w:val="es-ES"/>
        </w:rPr>
        <w:t>9.2</w:t>
      </w:r>
      <w:r w:rsidRPr="0099313A">
        <w:rPr>
          <w:lang w:val="es-ES"/>
        </w:rPr>
        <w:tab/>
        <w:t>sobre las dificultades o incoherencias observadas en la aplicación del Reglamento de Radiocomunicaciones;</w:t>
      </w:r>
      <w:r w:rsidRPr="0099313A">
        <w:rPr>
          <w:rStyle w:val="FootnoteReference"/>
          <w:lang w:val="es-ES"/>
        </w:rPr>
        <w:footnoteReference w:customMarkFollows="1" w:id="1"/>
        <w:t>1</w:t>
      </w:r>
      <w:r w:rsidRPr="0099313A">
        <w:rPr>
          <w:lang w:val="es-ES"/>
        </w:rPr>
        <w:t xml:space="preserve"> y</w:t>
      </w:r>
    </w:p>
    <w:p w14:paraId="50208535" w14:textId="057F8FC5" w:rsidR="0024717A" w:rsidRPr="0024717A" w:rsidRDefault="0024717A" w:rsidP="004C0282">
      <w:pPr>
        <w:pStyle w:val="Title4"/>
        <w:rPr>
          <w:rFonts w:eastAsiaTheme="minorEastAsia"/>
          <w:lang w:val="es-ES"/>
        </w:rPr>
      </w:pPr>
      <w:r w:rsidRPr="0099313A">
        <w:rPr>
          <w:rFonts w:eastAsiaTheme="minorEastAsia"/>
          <w:lang w:val="es-ES"/>
        </w:rPr>
        <w:t xml:space="preserve">Experiencia en la aplicación de los </w:t>
      </w:r>
      <w:r w:rsidRPr="004C0282">
        <w:rPr>
          <w:rFonts w:eastAsiaTheme="minorEastAsia"/>
        </w:rPr>
        <w:t>procedimientos</w:t>
      </w:r>
      <w:r w:rsidRPr="0099313A">
        <w:rPr>
          <w:rFonts w:eastAsiaTheme="minorEastAsia"/>
          <w:lang w:val="es-ES"/>
        </w:rPr>
        <w:t xml:space="preserve"> del Reglamento de Radiocomunicaciones</w:t>
      </w:r>
    </w:p>
    <w:p w14:paraId="0AA328E9" w14:textId="016E247C" w:rsidR="0024717A" w:rsidRPr="0024717A" w:rsidRDefault="0024717A" w:rsidP="004C0282">
      <w:pPr>
        <w:pStyle w:val="Section1"/>
        <w:rPr>
          <w:rFonts w:eastAsiaTheme="minorEastAsia"/>
          <w:lang w:val="es-ES" w:eastAsia="zh-CN"/>
        </w:rPr>
      </w:pPr>
      <w:r w:rsidRPr="0099313A">
        <w:rPr>
          <w:rFonts w:eastAsiaTheme="minorEastAsia"/>
          <w:lang w:val="es-ES"/>
        </w:rPr>
        <w:t>Sección</w:t>
      </w:r>
      <w:r w:rsidRPr="0024717A">
        <w:rPr>
          <w:rFonts w:eastAsiaTheme="minorEastAsia"/>
          <w:lang w:val="es-ES"/>
        </w:rPr>
        <w:t xml:space="preserve"> 3.2 – </w:t>
      </w:r>
      <w:r w:rsidRPr="0099313A">
        <w:rPr>
          <w:rFonts w:eastAsiaTheme="minorEastAsia"/>
          <w:lang w:val="es-ES"/>
        </w:rPr>
        <w:t>Apéndices</w:t>
      </w:r>
      <w:r w:rsidRPr="0024717A">
        <w:rPr>
          <w:rFonts w:eastAsiaTheme="minorEastAsia"/>
          <w:lang w:val="es-ES"/>
        </w:rPr>
        <w:t xml:space="preserve"> </w:t>
      </w:r>
      <w:r w:rsidRPr="0099313A">
        <w:rPr>
          <w:rFonts w:eastAsiaTheme="minorEastAsia"/>
          <w:lang w:val="es-ES"/>
        </w:rPr>
        <w:t>del Reglamento de Radiocomunicaciones</w:t>
      </w:r>
    </w:p>
    <w:p w14:paraId="30652047" w14:textId="09D234B9" w:rsidR="0024717A" w:rsidRPr="0024717A" w:rsidRDefault="0024717A" w:rsidP="004C0282">
      <w:pPr>
        <w:pStyle w:val="Headingb"/>
        <w:rPr>
          <w:rFonts w:eastAsiaTheme="minorEastAsia"/>
          <w:lang w:val="es-ES" w:eastAsia="zh-CN"/>
        </w:rPr>
      </w:pPr>
      <w:r w:rsidRPr="004C0282">
        <w:rPr>
          <w:rFonts w:eastAsia="SimSun"/>
        </w:rPr>
        <w:t>Introducción</w:t>
      </w:r>
    </w:p>
    <w:p w14:paraId="1C578F69" w14:textId="2DD9FBBF" w:rsidR="0024717A" w:rsidRPr="004C0282" w:rsidRDefault="0024717A" w:rsidP="004C0282">
      <w:pPr>
        <w:rPr>
          <w:rFonts w:eastAsiaTheme="minorEastAsia"/>
        </w:rPr>
      </w:pPr>
      <w:bookmarkStart w:id="6" w:name="_Hlk142957965"/>
      <w:r w:rsidRPr="00017206">
        <w:t>Teniendo</w:t>
      </w:r>
      <w:r w:rsidRPr="004C0282">
        <w:rPr>
          <w:rFonts w:eastAsiaTheme="minorEastAsia"/>
        </w:rPr>
        <w:t xml:space="preserve"> en cuenta que las dificultades y las incoherencias que surgen en la aplicación de las disposiciones relevantes se recopilan y analizan en la Parte 2 del Informe del Director de la Oficina de Radiocomunicaciones (</w:t>
      </w:r>
      <w:hyperlink r:id="rId14">
        <w:r w:rsidRPr="004C0282">
          <w:rPr>
            <w:rStyle w:val="Hyperlink"/>
            <w:rFonts w:eastAsiaTheme="minorEastAsia"/>
          </w:rPr>
          <w:t>Doc. 4 Add.2</w:t>
        </w:r>
      </w:hyperlink>
      <w:r w:rsidRPr="004C0282">
        <w:rPr>
          <w:rFonts w:eastAsiaTheme="minorEastAsia"/>
        </w:rPr>
        <w:t>), en este documento se recogen las opiniones y las propuestas de esta Administración en relación con varios puntos centrados en la Experiencia en la aplicación de los procedimientos del Reglamento de Radiocomunicaciones en la Sección 3.2 - Apéndices del Reglamento de Radiocomunicaciones.</w:t>
      </w:r>
      <w:bookmarkEnd w:id="6"/>
    </w:p>
    <w:p w14:paraId="3BA0F92D" w14:textId="77777777" w:rsidR="0024717A" w:rsidRPr="0099313A" w:rsidRDefault="0024717A" w:rsidP="004C0282">
      <w:pPr>
        <w:pStyle w:val="Headingb"/>
        <w:rPr>
          <w:rFonts w:eastAsia="SimSun"/>
          <w:lang w:val="es-ES" w:eastAsia="zh-CN"/>
        </w:rPr>
      </w:pPr>
      <w:r w:rsidRPr="0099313A">
        <w:rPr>
          <w:lang w:val="es-ES" w:eastAsia="zh-CN"/>
        </w:rPr>
        <w:lastRenderedPageBreak/>
        <w:t>Propuestas</w:t>
      </w:r>
    </w:p>
    <w:p w14:paraId="0B9D4861" w14:textId="1E7E4F42" w:rsidR="0024717A" w:rsidRPr="0024717A" w:rsidRDefault="0024717A" w:rsidP="0024717A">
      <w:pPr>
        <w:rPr>
          <w:rFonts w:eastAsiaTheme="minorEastAsia"/>
          <w:lang w:val="es-ES" w:eastAsia="zh-CN"/>
        </w:rPr>
      </w:pPr>
      <w:r w:rsidRPr="004C0282">
        <w:rPr>
          <w:rFonts w:eastAsia="SimSun"/>
        </w:rPr>
        <w:t>Esta Administración presenta sus opiniones y propuestas en relación con varios puntos para su debate durante la Conferencia</w:t>
      </w:r>
      <w:r w:rsidRPr="0099313A">
        <w:rPr>
          <w:rFonts w:eastAsia="SimSun"/>
          <w:lang w:val="es-ES" w:eastAsia="zh-CN"/>
        </w:rPr>
        <w:t>.</w:t>
      </w:r>
      <w:r w:rsidRPr="0024717A">
        <w:rPr>
          <w:rFonts w:eastAsiaTheme="minorEastAsia"/>
          <w:lang w:val="es-ES" w:eastAsia="zh-CN"/>
        </w:rPr>
        <w:br w:type="page"/>
      </w:r>
    </w:p>
    <w:p w14:paraId="2BEE60BF" w14:textId="77777777" w:rsidR="0024717A" w:rsidRPr="004C0282" w:rsidRDefault="0024717A" w:rsidP="004C0282">
      <w:pPr>
        <w:pStyle w:val="Proposal"/>
        <w:rPr>
          <w:rFonts w:eastAsiaTheme="minorEastAsia"/>
        </w:rPr>
      </w:pPr>
      <w:r w:rsidRPr="0024717A">
        <w:rPr>
          <w:rFonts w:eastAsiaTheme="minorEastAsia"/>
          <w:lang w:val="es-ES"/>
        </w:rPr>
        <w:lastRenderedPageBreak/>
        <w:tab/>
      </w:r>
      <w:r w:rsidRPr="004C0282">
        <w:rPr>
          <w:rFonts w:eastAsiaTheme="minorEastAsia"/>
        </w:rPr>
        <w:t>CHN/111A25A4/1</w:t>
      </w:r>
    </w:p>
    <w:p w14:paraId="0CC911FD" w14:textId="7C58F688" w:rsidR="004A34FC" w:rsidRDefault="0024717A" w:rsidP="00017206">
      <w:pPr>
        <w:pStyle w:val="Heading4"/>
        <w:spacing w:after="100" w:afterAutospacing="1"/>
        <w:rPr>
          <w:rFonts w:eastAsiaTheme="minorEastAsia"/>
          <w:lang w:val="es-ES" w:eastAsia="zh-CN"/>
        </w:rPr>
      </w:pPr>
      <w:r w:rsidRPr="0024717A">
        <w:rPr>
          <w:rFonts w:eastAsiaTheme="minorEastAsia"/>
          <w:lang w:val="es-ES" w:eastAsia="zh-CN"/>
        </w:rPr>
        <w:t>3.2.1.6</w:t>
      </w:r>
      <w:r w:rsidRPr="0024717A">
        <w:rPr>
          <w:rFonts w:eastAsiaTheme="minorEastAsia"/>
          <w:lang w:val="es-ES" w:eastAsia="zh-CN"/>
        </w:rPr>
        <w:tab/>
      </w:r>
      <w:r w:rsidRPr="0099313A">
        <w:rPr>
          <w:rFonts w:eastAsiaTheme="minorEastAsia"/>
          <w:lang w:val="es-ES" w:eastAsia="zh-CN"/>
        </w:rPr>
        <w:t>Nuevos parámetros de degradación orbital</w:t>
      </w:r>
    </w:p>
    <w:p w14:paraId="2B6B9BCD" w14:textId="0EB3D245" w:rsidR="004A34FC" w:rsidRDefault="004A34FC" w:rsidP="00017206">
      <w:pPr>
        <w:pBdr>
          <w:top w:val="single" w:sz="4" w:space="7" w:color="auto"/>
          <w:left w:val="single" w:sz="4" w:space="4" w:color="auto"/>
          <w:bottom w:val="single" w:sz="4" w:space="1" w:color="auto"/>
          <w:right w:val="single" w:sz="4" w:space="4" w:color="auto"/>
        </w:pBdr>
        <w:spacing w:before="0" w:after="120"/>
        <w:rPr>
          <w:rFonts w:eastAsiaTheme="minorEastAsia"/>
          <w:lang w:val="es-ES" w:eastAsia="zh-CN"/>
        </w:rPr>
      </w:pPr>
      <w:r w:rsidRPr="0099313A">
        <w:rPr>
          <w:rFonts w:eastAsiaTheme="minorEastAsia"/>
          <w:lang w:val="es-ES" w:eastAsia="zh-CN"/>
        </w:rPr>
        <w:t>Algunos satélites no OSG permanecen activos hasta que vuelven a entrar en la atmósfera debido a la degradación natural o a maniobras de liberación de la órbita</w:t>
      </w:r>
      <w:r w:rsidRPr="0024717A">
        <w:rPr>
          <w:rFonts w:eastAsiaTheme="minorEastAsia"/>
          <w:lang w:val="es-ES" w:eastAsia="zh-CN"/>
        </w:rPr>
        <w:t xml:space="preserve">. </w:t>
      </w:r>
      <w:r w:rsidRPr="0099313A">
        <w:rPr>
          <w:rFonts w:eastAsiaTheme="minorEastAsia"/>
          <w:lang w:val="es-ES"/>
        </w:rPr>
        <w:t xml:space="preserve">La Oficina constata que los parámetros disponibles en el Apéndice </w:t>
      </w:r>
      <w:r w:rsidRPr="0099313A">
        <w:rPr>
          <w:rFonts w:eastAsiaTheme="minorEastAsia"/>
          <w:b/>
          <w:lang w:val="es-ES"/>
        </w:rPr>
        <w:t>4</w:t>
      </w:r>
      <w:r w:rsidRPr="0099313A">
        <w:rPr>
          <w:rFonts w:eastAsiaTheme="minorEastAsia"/>
          <w:lang w:val="es-ES"/>
        </w:rPr>
        <w:t xml:space="preserve"> en la fase actual no permiten a las administraciones reflejar claramente y en detalle la degradación orbital de una notificación. Para reflejar los cambios de altitud de apogeo y/o perigeo, las administraciones deben seguir el procedimiento del número </w:t>
      </w:r>
      <w:r w:rsidRPr="0099313A">
        <w:rPr>
          <w:rFonts w:eastAsiaTheme="minorEastAsia"/>
          <w:b/>
          <w:lang w:val="es-ES"/>
        </w:rPr>
        <w:t>11.43B</w:t>
      </w:r>
      <w:r w:rsidRPr="0099313A">
        <w:rPr>
          <w:rFonts w:eastAsiaTheme="minorEastAsia"/>
          <w:lang w:val="es-ES"/>
        </w:rPr>
        <w:t>. Considerando las dificultades de este procedimiento, la Oficina está adoptando la siguiente práctica para representar las notificaciones de tales sistemas</w:t>
      </w:r>
      <w:r w:rsidRPr="00931B79">
        <w:rPr>
          <w:rFonts w:ascii="SimSun" w:eastAsia="SimSun" w:hAnsi="SimSun" w:cs="SimSun"/>
          <w:lang w:eastAsia="zh-CN"/>
        </w:rPr>
        <w:t>：</w:t>
      </w:r>
    </w:p>
    <w:p w14:paraId="15B0279C" w14:textId="18C3D268" w:rsidR="00FD09D5" w:rsidRPr="0099313A" w:rsidRDefault="00FD09D5" w:rsidP="00017206">
      <w:pPr>
        <w:pBdr>
          <w:top w:val="single" w:sz="4" w:space="7" w:color="auto"/>
          <w:left w:val="single" w:sz="4" w:space="4" w:color="auto"/>
          <w:bottom w:val="single" w:sz="4" w:space="1" w:color="auto"/>
          <w:right w:val="single" w:sz="4" w:space="4" w:color="auto"/>
        </w:pBdr>
        <w:tabs>
          <w:tab w:val="clear" w:pos="2268"/>
          <w:tab w:val="left" w:pos="2608"/>
          <w:tab w:val="left" w:pos="3345"/>
        </w:tabs>
        <w:spacing w:before="80"/>
        <w:ind w:left="1134" w:hanging="1134"/>
        <w:rPr>
          <w:rFonts w:eastAsiaTheme="minorEastAsia"/>
          <w:lang w:val="es-ES" w:eastAsia="zh-CN"/>
        </w:rPr>
      </w:pPr>
      <w:r w:rsidRPr="0099313A">
        <w:rPr>
          <w:rFonts w:eastAsiaTheme="minorEastAsia"/>
          <w:lang w:val="es-ES" w:eastAsia="zh-CN"/>
        </w:rPr>
        <w:t>a)</w:t>
      </w:r>
      <w:r w:rsidRPr="0099313A">
        <w:rPr>
          <w:rFonts w:eastAsiaTheme="minorEastAsia"/>
          <w:lang w:val="es-ES" w:eastAsia="zh-CN"/>
        </w:rPr>
        <w:tab/>
        <w:t xml:space="preserve">las altitudes del apogeo y del perigeo de la estación espacial </w:t>
      </w:r>
      <w:r w:rsidR="00D847B2" w:rsidRPr="0099313A">
        <w:rPr>
          <w:rFonts w:eastAsiaTheme="minorEastAsia"/>
          <w:lang w:val="es-ES" w:eastAsia="zh-CN"/>
        </w:rPr>
        <w:t>indican</w:t>
      </w:r>
      <w:r w:rsidRPr="0099313A">
        <w:rPr>
          <w:rFonts w:eastAsiaTheme="minorEastAsia"/>
          <w:lang w:val="es-ES" w:eastAsia="zh-CN"/>
        </w:rPr>
        <w:t xml:space="preserve"> los parámetros orbitales iniciales en el momento de la puesta en servicio</w:t>
      </w:r>
      <w:r w:rsidR="00D847B2" w:rsidRPr="0099313A">
        <w:rPr>
          <w:rFonts w:eastAsiaTheme="minorEastAsia"/>
          <w:lang w:val="es-ES" w:eastAsia="zh-CN"/>
        </w:rPr>
        <w:t>;</w:t>
      </w:r>
    </w:p>
    <w:p w14:paraId="21EC3D47" w14:textId="2646F0FC" w:rsidR="00FD09D5" w:rsidRPr="0099313A" w:rsidRDefault="00FD09D5" w:rsidP="00017206">
      <w:pPr>
        <w:pBdr>
          <w:top w:val="single" w:sz="4" w:space="7" w:color="auto"/>
          <w:left w:val="single" w:sz="4" w:space="4" w:color="auto"/>
          <w:bottom w:val="single" w:sz="4" w:space="1" w:color="auto"/>
          <w:right w:val="single" w:sz="4" w:space="4" w:color="auto"/>
        </w:pBdr>
        <w:tabs>
          <w:tab w:val="clear" w:pos="2268"/>
          <w:tab w:val="left" w:pos="2608"/>
          <w:tab w:val="left" w:pos="3345"/>
        </w:tabs>
        <w:spacing w:before="80"/>
        <w:ind w:left="1134" w:hanging="1134"/>
        <w:rPr>
          <w:rFonts w:eastAsiaTheme="minorEastAsia"/>
          <w:lang w:val="es-ES" w:eastAsia="zh-CN"/>
        </w:rPr>
      </w:pPr>
      <w:r w:rsidRPr="0099313A">
        <w:rPr>
          <w:rFonts w:eastAsiaTheme="minorEastAsia"/>
          <w:lang w:val="es-ES" w:eastAsia="zh-CN"/>
        </w:rPr>
        <w:t>b)</w:t>
      </w:r>
      <w:r w:rsidRPr="0099313A">
        <w:rPr>
          <w:rFonts w:eastAsiaTheme="minorEastAsia"/>
          <w:lang w:val="es-ES" w:eastAsia="zh-CN"/>
        </w:rPr>
        <w:tab/>
        <w:t xml:space="preserve">la altitud mínima de la estación espacial por encima de la superficie de la Tierra a la que transmite cualquier satélite (punto </w:t>
      </w:r>
      <w:r w:rsidRPr="0099313A">
        <w:rPr>
          <w:rFonts w:eastAsiaTheme="minorEastAsia"/>
          <w:bCs/>
          <w:lang w:val="es-ES" w:eastAsia="zh-CN"/>
        </w:rPr>
        <w:t>A.4.b.4.f</w:t>
      </w:r>
      <w:r w:rsidRPr="0099313A">
        <w:rPr>
          <w:rFonts w:eastAsiaTheme="minorEastAsia"/>
          <w:lang w:val="es-ES" w:eastAsia="zh-CN"/>
        </w:rPr>
        <w:t xml:space="preserve"> del Apéndice </w:t>
      </w:r>
      <w:r w:rsidRPr="0099313A">
        <w:rPr>
          <w:rFonts w:eastAsiaTheme="minorEastAsia"/>
          <w:b/>
          <w:bCs/>
          <w:lang w:val="es-ES" w:eastAsia="zh-CN"/>
        </w:rPr>
        <w:t>4</w:t>
      </w:r>
      <w:r w:rsidRPr="0099313A">
        <w:rPr>
          <w:rFonts w:eastAsiaTheme="minorEastAsia"/>
          <w:lang w:val="es-ES" w:eastAsia="zh-CN"/>
        </w:rPr>
        <w:t xml:space="preserve">) </w:t>
      </w:r>
      <w:r w:rsidR="00D847B2" w:rsidRPr="0099313A">
        <w:rPr>
          <w:rFonts w:eastAsiaTheme="minorEastAsia"/>
          <w:lang w:val="es-ES" w:eastAsia="zh-CN"/>
        </w:rPr>
        <w:t>indica</w:t>
      </w:r>
      <w:r w:rsidRPr="0099313A">
        <w:rPr>
          <w:rFonts w:eastAsiaTheme="minorEastAsia"/>
          <w:lang w:val="es-ES" w:eastAsia="zh-CN"/>
        </w:rPr>
        <w:t xml:space="preserve"> la altitud mínima a la que el satélite permanece operativo durante toda su vida útil</w:t>
      </w:r>
      <w:r w:rsidR="00D847B2" w:rsidRPr="0099313A">
        <w:rPr>
          <w:rFonts w:eastAsiaTheme="minorEastAsia"/>
          <w:lang w:val="es-ES" w:eastAsia="zh-CN"/>
        </w:rPr>
        <w:t>;</w:t>
      </w:r>
    </w:p>
    <w:p w14:paraId="7EF789B5" w14:textId="645F2F53" w:rsidR="00FD09D5" w:rsidRPr="0099313A" w:rsidRDefault="00FD09D5" w:rsidP="00017206">
      <w:pPr>
        <w:pBdr>
          <w:top w:val="single" w:sz="4" w:space="7" w:color="auto"/>
          <w:left w:val="single" w:sz="4" w:space="4" w:color="auto"/>
          <w:bottom w:val="single" w:sz="4" w:space="1" w:color="auto"/>
          <w:right w:val="single" w:sz="4" w:space="4" w:color="auto"/>
        </w:pBdr>
        <w:tabs>
          <w:tab w:val="clear" w:pos="2268"/>
          <w:tab w:val="left" w:pos="2608"/>
          <w:tab w:val="left" w:pos="3345"/>
        </w:tabs>
        <w:spacing w:before="80"/>
        <w:ind w:left="1134" w:hanging="1134"/>
        <w:rPr>
          <w:rFonts w:eastAsiaTheme="minorEastAsia"/>
          <w:lang w:val="es-ES" w:eastAsia="zh-CN"/>
        </w:rPr>
      </w:pPr>
      <w:r w:rsidRPr="0099313A">
        <w:rPr>
          <w:rFonts w:eastAsiaTheme="minorEastAsia"/>
          <w:lang w:val="es-ES" w:eastAsia="zh-CN"/>
        </w:rPr>
        <w:t>c)</w:t>
      </w:r>
      <w:r w:rsidRPr="0099313A">
        <w:rPr>
          <w:rFonts w:eastAsiaTheme="minorEastAsia"/>
          <w:lang w:val="es-ES" w:eastAsia="zh-CN"/>
        </w:rPr>
        <w:tab/>
        <w:t xml:space="preserve">una red de satélites de este tipo está protegida con los parámetros orbitales iniciales (apogeo y perigeo, que pueden </w:t>
      </w:r>
      <w:r w:rsidR="0099313A" w:rsidRPr="0099313A">
        <w:rPr>
          <w:rFonts w:eastAsiaTheme="minorEastAsia"/>
          <w:lang w:val="es-ES" w:eastAsia="zh-CN"/>
        </w:rPr>
        <w:t xml:space="preserve">no </w:t>
      </w:r>
      <w:r w:rsidRPr="0099313A">
        <w:rPr>
          <w:rFonts w:eastAsiaTheme="minorEastAsia"/>
          <w:lang w:val="es-ES" w:eastAsia="zh-CN"/>
        </w:rPr>
        <w:t xml:space="preserve">incluir la altitud mínima), por lo que </w:t>
      </w:r>
      <w:r w:rsidR="0099313A" w:rsidRPr="0099313A">
        <w:rPr>
          <w:rFonts w:eastAsiaTheme="minorEastAsia"/>
          <w:lang w:val="es-ES" w:eastAsia="zh-CN"/>
        </w:rPr>
        <w:t>las administraciones</w:t>
      </w:r>
      <w:r w:rsidR="00D847B2" w:rsidRPr="0099313A">
        <w:rPr>
          <w:rFonts w:eastAsiaTheme="minorEastAsia"/>
          <w:lang w:val="es-ES" w:eastAsia="zh-CN"/>
        </w:rPr>
        <w:t xml:space="preserve"> </w:t>
      </w:r>
      <w:r w:rsidRPr="0099313A">
        <w:rPr>
          <w:rFonts w:eastAsiaTheme="minorEastAsia"/>
          <w:lang w:val="es-ES" w:eastAsia="zh-CN"/>
        </w:rPr>
        <w:t>debe</w:t>
      </w:r>
      <w:r w:rsidR="00D847B2" w:rsidRPr="0099313A">
        <w:rPr>
          <w:rFonts w:eastAsiaTheme="minorEastAsia"/>
          <w:lang w:val="es-ES" w:eastAsia="zh-CN"/>
        </w:rPr>
        <w:t>n</w:t>
      </w:r>
      <w:r w:rsidRPr="0099313A">
        <w:rPr>
          <w:rFonts w:eastAsiaTheme="minorEastAsia"/>
          <w:lang w:val="es-ES" w:eastAsia="zh-CN"/>
        </w:rPr>
        <w:t xml:space="preserve"> comprometerse a que la red de satélit</w:t>
      </w:r>
      <w:r w:rsidR="00D847B2" w:rsidRPr="0099313A">
        <w:rPr>
          <w:rFonts w:eastAsiaTheme="minorEastAsia"/>
          <w:lang w:val="es-ES" w:eastAsia="zh-CN"/>
        </w:rPr>
        <w:t>es no causará más interferencia</w:t>
      </w:r>
      <w:r w:rsidRPr="0099313A">
        <w:rPr>
          <w:rFonts w:eastAsiaTheme="minorEastAsia"/>
          <w:lang w:val="es-ES" w:eastAsia="zh-CN"/>
        </w:rPr>
        <w:t xml:space="preserve"> ni reclamará más protección</w:t>
      </w:r>
      <w:r w:rsidR="00D847B2" w:rsidRPr="0099313A">
        <w:rPr>
          <w:rFonts w:eastAsiaTheme="minorEastAsia"/>
          <w:lang w:val="es-ES" w:eastAsia="zh-CN"/>
        </w:rPr>
        <w:t xml:space="preserve"> en comparación con los parámetros orbitales iniciales;</w:t>
      </w:r>
    </w:p>
    <w:p w14:paraId="796AD871" w14:textId="6DB65E14" w:rsidR="00FD09D5" w:rsidRPr="0099313A" w:rsidRDefault="00FD09D5" w:rsidP="00017206">
      <w:pPr>
        <w:pBdr>
          <w:top w:val="single" w:sz="4" w:space="7" w:color="auto"/>
          <w:left w:val="single" w:sz="4" w:space="4" w:color="auto"/>
          <w:bottom w:val="single" w:sz="4" w:space="1" w:color="auto"/>
          <w:right w:val="single" w:sz="4" w:space="4" w:color="auto"/>
        </w:pBdr>
        <w:tabs>
          <w:tab w:val="clear" w:pos="2268"/>
          <w:tab w:val="left" w:pos="2608"/>
          <w:tab w:val="left" w:pos="3345"/>
        </w:tabs>
        <w:spacing w:before="80"/>
        <w:ind w:left="1134" w:hanging="1134"/>
        <w:rPr>
          <w:rFonts w:eastAsiaTheme="minorEastAsia"/>
          <w:lang w:val="es-ES" w:eastAsia="zh-CN"/>
        </w:rPr>
      </w:pPr>
      <w:r w:rsidRPr="0099313A">
        <w:rPr>
          <w:rFonts w:eastAsiaTheme="minorEastAsia"/>
          <w:lang w:val="es-ES" w:eastAsia="zh-CN"/>
        </w:rPr>
        <w:t>d)</w:t>
      </w:r>
      <w:r w:rsidRPr="0099313A">
        <w:rPr>
          <w:rFonts w:eastAsiaTheme="minorEastAsia"/>
          <w:lang w:val="es-ES" w:eastAsia="zh-CN"/>
        </w:rPr>
        <w:tab/>
        <w:t xml:space="preserve">el examen, por ejemplo, en virtud del número </w:t>
      </w:r>
      <w:r w:rsidRPr="0099313A">
        <w:rPr>
          <w:rFonts w:eastAsiaTheme="minorEastAsia"/>
          <w:b/>
          <w:bCs/>
          <w:lang w:val="es-ES" w:eastAsia="zh-CN"/>
        </w:rPr>
        <w:t>21.16</w:t>
      </w:r>
      <w:r w:rsidRPr="0099313A">
        <w:rPr>
          <w:rFonts w:eastAsiaTheme="minorEastAsia"/>
          <w:lang w:val="es-ES" w:eastAsia="zh-CN"/>
        </w:rPr>
        <w:t xml:space="preserve">, se </w:t>
      </w:r>
      <w:r w:rsidR="0099313A" w:rsidRPr="0099313A">
        <w:rPr>
          <w:rFonts w:eastAsiaTheme="minorEastAsia"/>
          <w:lang w:val="es-ES" w:eastAsia="zh-CN"/>
        </w:rPr>
        <w:t>debe realizarse</w:t>
      </w:r>
      <w:r w:rsidRPr="0099313A">
        <w:rPr>
          <w:rFonts w:eastAsiaTheme="minorEastAsia"/>
          <w:lang w:val="es-ES" w:eastAsia="zh-CN"/>
        </w:rPr>
        <w:t xml:space="preserve"> sobre la base del caso más desfavorable para cualquier altitud orbital entre la inicial y la altitud mínima.</w:t>
      </w:r>
    </w:p>
    <w:p w14:paraId="1F3D6828" w14:textId="3F077F6E" w:rsidR="00D847B2" w:rsidRPr="0099313A" w:rsidRDefault="00D847B2" w:rsidP="00017206">
      <w:pPr>
        <w:pBdr>
          <w:top w:val="single" w:sz="4" w:space="7" w:color="auto"/>
          <w:left w:val="single" w:sz="4" w:space="4" w:color="auto"/>
          <w:bottom w:val="single" w:sz="4" w:space="1" w:color="auto"/>
          <w:right w:val="single" w:sz="4" w:space="4" w:color="auto"/>
        </w:pBdr>
        <w:rPr>
          <w:rFonts w:eastAsiaTheme="minorEastAsia"/>
          <w:lang w:val="es-ES"/>
        </w:rPr>
      </w:pPr>
      <w:r w:rsidRPr="0099313A">
        <w:rPr>
          <w:rFonts w:eastAsiaTheme="minorEastAsia"/>
          <w:lang w:val="es-ES"/>
        </w:rPr>
        <w:t xml:space="preserve">Con el fin de representar mejor estos sistemas en la coordinación y la notificación para la inscripción de las notificaciones de redes de satélites presentadas a la UIT y para ayudar a la Oficina durante la verificación de la puesta en servicio y la utilización continuada de estas redes de satélites, la Oficina invita a la Conferencia a examinar la adición de los siguientes </w:t>
      </w:r>
      <w:r w:rsidR="00112D2F" w:rsidRPr="0099313A">
        <w:rPr>
          <w:rFonts w:eastAsiaTheme="minorEastAsia"/>
          <w:lang w:val="es-ES"/>
        </w:rPr>
        <w:t>puntos de</w:t>
      </w:r>
      <w:r w:rsidRPr="0099313A">
        <w:rPr>
          <w:rFonts w:eastAsiaTheme="minorEastAsia"/>
          <w:lang w:val="es-ES"/>
        </w:rPr>
        <w:t xml:space="preserve"> datos al Anexo 2 del Apéndice </w:t>
      </w:r>
      <w:r w:rsidRPr="0099313A">
        <w:rPr>
          <w:rFonts w:eastAsiaTheme="minorEastAsia"/>
          <w:b/>
          <w:lang w:val="es-ES"/>
        </w:rPr>
        <w:t>4</w:t>
      </w:r>
      <w:r w:rsidRPr="0099313A">
        <w:rPr>
          <w:rFonts w:eastAsiaTheme="minorEastAsia"/>
          <w:lang w:val="es-ES"/>
        </w:rPr>
        <w:t>:</w:t>
      </w:r>
    </w:p>
    <w:p w14:paraId="3601370C" w14:textId="76EB82A3" w:rsidR="00FD09D5" w:rsidRPr="0099313A" w:rsidRDefault="000B5188" w:rsidP="00017206">
      <w:pPr>
        <w:widowControl w:val="0"/>
        <w:pBdr>
          <w:top w:val="single" w:sz="4" w:space="7" w:color="auto"/>
          <w:left w:val="single" w:sz="4" w:space="4" w:color="auto"/>
          <w:bottom w:val="single" w:sz="4" w:space="1" w:color="auto"/>
          <w:right w:val="single" w:sz="4" w:space="4" w:color="auto"/>
        </w:pBdr>
        <w:suppressAutoHyphens/>
        <w:overflowPunct/>
        <w:autoSpaceDE/>
        <w:autoSpaceDN/>
        <w:adjustRightInd/>
        <w:spacing w:before="0" w:after="60"/>
        <w:ind w:left="1134" w:hanging="1134"/>
        <w:rPr>
          <w:rFonts w:eastAsia="SimSun"/>
          <w:lang w:val="es-ES"/>
        </w:rPr>
      </w:pPr>
      <w:r>
        <w:rPr>
          <w:rFonts w:eastAsia="SimSun"/>
          <w:lang w:val="es-ES"/>
        </w:rPr>
        <w:t>i</w:t>
      </w:r>
      <w:r w:rsidR="00FD09D5" w:rsidRPr="0099313A">
        <w:rPr>
          <w:rFonts w:eastAsia="SimSun"/>
          <w:lang w:val="es-ES"/>
        </w:rPr>
        <w:t>)</w:t>
      </w:r>
      <w:r w:rsidR="00FD09D5" w:rsidRPr="0099313A">
        <w:rPr>
          <w:rFonts w:eastAsia="SimSun"/>
          <w:lang w:val="es-ES"/>
        </w:rPr>
        <w:tab/>
        <w:t xml:space="preserve">un nuevo </w:t>
      </w:r>
      <w:r w:rsidR="00112D2F" w:rsidRPr="0099313A">
        <w:rPr>
          <w:rFonts w:eastAsia="SimSun"/>
          <w:lang w:val="es-ES"/>
        </w:rPr>
        <w:t>punto</w:t>
      </w:r>
      <w:r w:rsidR="00FD09D5" w:rsidRPr="0099313A">
        <w:rPr>
          <w:rFonts w:eastAsia="SimSun"/>
          <w:lang w:val="es-ES"/>
        </w:rPr>
        <w:t xml:space="preserve"> </w:t>
      </w:r>
      <w:r w:rsidR="00FD09D5" w:rsidRPr="000B5188">
        <w:rPr>
          <w:rFonts w:eastAsia="SimSun"/>
          <w:i/>
          <w:iCs/>
          <w:lang w:val="es-ES"/>
        </w:rPr>
        <w:t xml:space="preserve">«indicador </w:t>
      </w:r>
      <w:r w:rsidR="00112D2F" w:rsidRPr="000B5188">
        <w:rPr>
          <w:rFonts w:eastAsia="SimSun"/>
          <w:i/>
          <w:iCs/>
          <w:lang w:val="es-ES"/>
        </w:rPr>
        <w:t xml:space="preserve">[Sí/No] </w:t>
      </w:r>
      <w:r w:rsidR="00FD09D5" w:rsidRPr="000B5188">
        <w:rPr>
          <w:rFonts w:eastAsia="SimSun"/>
          <w:i/>
          <w:iCs/>
          <w:lang w:val="es-ES"/>
        </w:rPr>
        <w:t>de si la estación espacial utiliza un mecanismo de mantenimiento de la órbita para conservar las altitudes del apogeo y del perigeo»</w:t>
      </w:r>
      <w:r w:rsidR="00FD09D5" w:rsidRPr="0099313A">
        <w:rPr>
          <w:rFonts w:eastAsia="SimSun"/>
          <w:lang w:val="es-ES"/>
        </w:rPr>
        <w:t xml:space="preserve">, necesario para cada plano orbital de una red o sistema de satélites no OSG cuyo cuerpo de referencia sea la </w:t>
      </w:r>
      <w:r>
        <w:rPr>
          <w:rFonts w:eastAsia="SimSun"/>
          <w:lang w:val="es-ES"/>
        </w:rPr>
        <w:t>«</w:t>
      </w:r>
      <w:r w:rsidR="00FD09D5" w:rsidRPr="0099313A">
        <w:rPr>
          <w:rFonts w:eastAsia="SimSun"/>
          <w:lang w:val="es-ES"/>
        </w:rPr>
        <w:t>Tierra</w:t>
      </w:r>
      <w:r w:rsidR="00112D2F" w:rsidRPr="0099313A">
        <w:rPr>
          <w:rFonts w:eastAsia="SimSun"/>
          <w:lang w:val="es-ES"/>
        </w:rPr>
        <w:t>,</w:t>
      </w:r>
      <w:r>
        <w:rPr>
          <w:rFonts w:eastAsia="SimSun"/>
          <w:lang w:val="es-ES"/>
        </w:rPr>
        <w:t>»</w:t>
      </w:r>
      <w:r w:rsidR="00112D2F" w:rsidRPr="0099313A">
        <w:rPr>
          <w:rFonts w:eastAsia="SimSun"/>
          <w:lang w:val="es-ES"/>
        </w:rPr>
        <w:t xml:space="preserve"> y,</w:t>
      </w:r>
    </w:p>
    <w:p w14:paraId="4A1EDC2D" w14:textId="0998BD13" w:rsidR="00FD09D5" w:rsidRPr="0099313A" w:rsidRDefault="000B5188" w:rsidP="00597D26">
      <w:pPr>
        <w:widowControl w:val="0"/>
        <w:pBdr>
          <w:top w:val="single" w:sz="4" w:space="7" w:color="auto"/>
          <w:left w:val="single" w:sz="4" w:space="4" w:color="auto"/>
          <w:bottom w:val="single" w:sz="4" w:space="1" w:color="auto"/>
          <w:right w:val="single" w:sz="4" w:space="4" w:color="auto"/>
        </w:pBdr>
        <w:suppressAutoHyphens/>
        <w:overflowPunct/>
        <w:autoSpaceDE/>
        <w:autoSpaceDN/>
        <w:adjustRightInd/>
        <w:spacing w:before="0" w:after="240"/>
        <w:ind w:left="1134" w:hanging="1134"/>
        <w:rPr>
          <w:rFonts w:eastAsia="SimSun"/>
          <w:lang w:val="es-ES"/>
        </w:rPr>
      </w:pPr>
      <w:r>
        <w:rPr>
          <w:rFonts w:eastAsia="SimSun"/>
          <w:lang w:val="es-ES"/>
        </w:rPr>
        <w:t>ii</w:t>
      </w:r>
      <w:r w:rsidR="00FD09D5" w:rsidRPr="0099313A">
        <w:rPr>
          <w:rFonts w:eastAsia="SimSun"/>
          <w:lang w:val="es-ES"/>
        </w:rPr>
        <w:t>)</w:t>
      </w:r>
      <w:r w:rsidR="00FD09D5" w:rsidRPr="0099313A">
        <w:rPr>
          <w:rFonts w:eastAsia="SimSun"/>
          <w:lang w:val="es-ES"/>
        </w:rPr>
        <w:tab/>
      </w:r>
      <w:r w:rsidR="00112D2F" w:rsidRPr="0099313A">
        <w:rPr>
          <w:rFonts w:eastAsia="SimSun"/>
          <w:lang w:val="es-ES"/>
        </w:rPr>
        <w:t xml:space="preserve">un nuevo punto </w:t>
      </w:r>
      <w:r w:rsidR="00FD09D5" w:rsidRPr="000B5188">
        <w:rPr>
          <w:rFonts w:eastAsia="SimSun"/>
          <w:i/>
          <w:iCs/>
          <w:lang w:val="es-ES"/>
        </w:rPr>
        <w:t>«</w:t>
      </w:r>
      <w:r w:rsidR="00FD09D5" w:rsidRPr="000B5188">
        <w:rPr>
          <w:rFonts w:eastAsia="SimSun"/>
          <w:b/>
          <w:i/>
          <w:iCs/>
          <w:lang w:val="es-ES"/>
        </w:rPr>
        <w:t>altitud del apogeo y del perigeo (km) en función del tiempo (días) a partir de la fecha de puesta en servicio de todos los planos orbitales con distintas características orbitales</w:t>
      </w:r>
      <w:r w:rsidR="00FD09D5" w:rsidRPr="000B5188">
        <w:rPr>
          <w:rFonts w:eastAsia="SimSun"/>
          <w:i/>
          <w:iCs/>
          <w:lang w:val="es-ES"/>
        </w:rPr>
        <w:t>»</w:t>
      </w:r>
      <w:r w:rsidR="00FD09D5" w:rsidRPr="0099313A">
        <w:rPr>
          <w:rFonts w:eastAsia="SimSun"/>
          <w:lang w:val="es-ES"/>
        </w:rPr>
        <w:t>, necesario para las redes de satélites no OSG cuyo indicador para el punto anterior sea «N</w:t>
      </w:r>
      <w:r w:rsidR="00112D2F" w:rsidRPr="0099313A">
        <w:rPr>
          <w:rFonts w:eastAsia="SimSun"/>
          <w:lang w:val="es-ES"/>
        </w:rPr>
        <w:t>o</w:t>
      </w:r>
      <w:r w:rsidR="00FD09D5" w:rsidRPr="0099313A">
        <w:rPr>
          <w:rFonts w:eastAsia="SimSun"/>
          <w:lang w:val="es-ES"/>
        </w:rPr>
        <w:t>»</w:t>
      </w:r>
      <w:r w:rsidR="00112D2F" w:rsidRPr="0099313A">
        <w:rPr>
          <w:rFonts w:eastAsia="SimSun"/>
          <w:lang w:val="es-ES"/>
        </w:rPr>
        <w:t>.</w:t>
      </w:r>
    </w:p>
    <w:p w14:paraId="2B0AE192" w14:textId="517312E9" w:rsidR="0024717A" w:rsidRPr="0024717A" w:rsidRDefault="00112D2F" w:rsidP="0024717A">
      <w:pPr>
        <w:rPr>
          <w:rFonts w:eastAsiaTheme="minorEastAsia"/>
          <w:lang w:val="es-ES" w:eastAsia="zh-CN"/>
        </w:rPr>
      </w:pPr>
      <w:r w:rsidRPr="0099313A">
        <w:rPr>
          <w:rFonts w:eastAsiaTheme="minorEastAsia"/>
          <w:b/>
          <w:bCs/>
          <w:lang w:val="es-ES"/>
        </w:rPr>
        <w:t>Opiniones y propuestas</w:t>
      </w:r>
      <w:r w:rsidR="0024717A" w:rsidRPr="0024717A">
        <w:rPr>
          <w:rFonts w:eastAsiaTheme="minorEastAsia"/>
          <w:b/>
          <w:bCs/>
          <w:lang w:val="es-ES"/>
        </w:rPr>
        <w:t xml:space="preserve">: </w:t>
      </w:r>
      <w:r w:rsidRPr="0099313A">
        <w:rPr>
          <w:rFonts w:eastAsiaTheme="minorEastAsia"/>
          <w:lang w:val="es-ES"/>
        </w:rPr>
        <w:t xml:space="preserve">Esta Administración apoya la adición de los dos nuevos puntos de datos al Anexo 2 del Apéndice </w:t>
      </w:r>
      <w:r w:rsidRPr="0099313A">
        <w:rPr>
          <w:rFonts w:eastAsiaTheme="minorEastAsia"/>
          <w:b/>
          <w:lang w:val="es-ES"/>
        </w:rPr>
        <w:t>4</w:t>
      </w:r>
      <w:r w:rsidRPr="0099313A">
        <w:rPr>
          <w:rFonts w:eastAsiaTheme="minorEastAsia"/>
          <w:lang w:val="es-ES"/>
        </w:rPr>
        <w:t xml:space="preserve"> del RR tal como se sugiere, supeditada a la aprobación de la propuesta precedente</w:t>
      </w:r>
      <w:r w:rsidR="0024717A" w:rsidRPr="0024717A">
        <w:rPr>
          <w:rFonts w:eastAsiaTheme="minorEastAsia"/>
          <w:lang w:val="es-ES"/>
        </w:rPr>
        <w:t>.</w:t>
      </w:r>
    </w:p>
    <w:p w14:paraId="5B7C70FC" w14:textId="1427E1C3" w:rsidR="0024717A" w:rsidRPr="0024717A" w:rsidRDefault="00112D2F" w:rsidP="000B5188">
      <w:pPr>
        <w:pStyle w:val="Reasons"/>
        <w:rPr>
          <w:rFonts w:eastAsiaTheme="minorEastAsia"/>
          <w:lang w:val="es-ES" w:eastAsia="zh-CN"/>
        </w:rPr>
      </w:pPr>
      <w:r w:rsidRPr="0099313A">
        <w:rPr>
          <w:rFonts w:eastAsiaTheme="minorEastAsia"/>
          <w:b/>
          <w:lang w:val="es-ES" w:eastAsia="zh-CN"/>
        </w:rPr>
        <w:t>Motivos</w:t>
      </w:r>
      <w:r w:rsidR="0024717A" w:rsidRPr="0024717A">
        <w:rPr>
          <w:rFonts w:eastAsiaTheme="minorEastAsia"/>
          <w:b/>
          <w:lang w:val="es-ES" w:eastAsia="zh-CN"/>
        </w:rPr>
        <w:t>:</w:t>
      </w:r>
      <w:r w:rsidR="0024717A" w:rsidRPr="0024717A">
        <w:rPr>
          <w:rFonts w:eastAsiaTheme="minorEastAsia"/>
          <w:lang w:val="es-ES" w:eastAsia="zh-CN"/>
        </w:rPr>
        <w:tab/>
      </w:r>
      <w:r w:rsidRPr="0099313A">
        <w:rPr>
          <w:rFonts w:eastAsiaTheme="minorEastAsia"/>
          <w:lang w:val="es-ES" w:eastAsia="zh-CN"/>
        </w:rPr>
        <w:t>Esta Administración considera que los datos de degradación orbital deben comprobarse para garantizar que se ajustan a la vida útil prevista de la estación espacial</w:t>
      </w:r>
      <w:r w:rsidR="0024717A" w:rsidRPr="0024717A">
        <w:rPr>
          <w:rFonts w:eastAsiaTheme="minorEastAsia"/>
          <w:lang w:val="es-ES"/>
        </w:rPr>
        <w:t>.</w:t>
      </w:r>
    </w:p>
    <w:p w14:paraId="5007504F" w14:textId="77777777" w:rsidR="0024717A" w:rsidRPr="0024717A" w:rsidRDefault="0024717A" w:rsidP="000B5188">
      <w:pPr>
        <w:pStyle w:val="Proposal"/>
        <w:keepLines/>
        <w:rPr>
          <w:rFonts w:eastAsiaTheme="minorEastAsia"/>
          <w:b w:val="0"/>
          <w:lang w:val="es-ES" w:eastAsia="zh-CN"/>
        </w:rPr>
      </w:pPr>
      <w:r w:rsidRPr="0024717A">
        <w:rPr>
          <w:rFonts w:eastAsiaTheme="minorEastAsia"/>
          <w:lang w:val="es-ES" w:eastAsia="zh-CN"/>
        </w:rPr>
        <w:lastRenderedPageBreak/>
        <w:tab/>
        <w:t>CHN/111A25A4/2</w:t>
      </w:r>
    </w:p>
    <w:p w14:paraId="43A0BB98" w14:textId="4956986E" w:rsidR="0024717A" w:rsidRPr="0024717A" w:rsidRDefault="0024717A" w:rsidP="00017206">
      <w:pPr>
        <w:pStyle w:val="Heading4"/>
        <w:spacing w:after="100" w:afterAutospacing="1"/>
        <w:rPr>
          <w:rFonts w:eastAsiaTheme="minorEastAsia"/>
          <w:b w:val="0"/>
          <w:lang w:val="es-ES" w:eastAsia="zh-CN"/>
        </w:rPr>
      </w:pPr>
      <w:r w:rsidRPr="0024717A">
        <w:rPr>
          <w:rFonts w:eastAsiaTheme="minorEastAsia"/>
          <w:lang w:val="es-ES" w:eastAsia="zh-CN"/>
        </w:rPr>
        <w:t>3.2.1.11</w:t>
      </w:r>
      <w:r w:rsidRPr="0024717A">
        <w:rPr>
          <w:rFonts w:eastAsiaTheme="minorEastAsia"/>
          <w:lang w:val="es-ES" w:eastAsia="zh-CN"/>
        </w:rPr>
        <w:tab/>
      </w:r>
      <w:r w:rsidR="00BD18E9" w:rsidRPr="0099313A">
        <w:rPr>
          <w:rFonts w:eastAsiaTheme="minorEastAsia"/>
          <w:lang w:val="es-ES"/>
        </w:rPr>
        <w:t>Haces orientables</w:t>
      </w:r>
      <w:r w:rsidRPr="0024717A">
        <w:rPr>
          <w:rFonts w:eastAsiaTheme="minorEastAsia"/>
          <w:lang w:val="es-ES" w:eastAsia="zh-CN"/>
        </w:rPr>
        <w:t xml:space="preserve"> </w:t>
      </w:r>
    </w:p>
    <w:p w14:paraId="3E53D852" w14:textId="77777777" w:rsidR="00BD18E9" w:rsidRPr="0099313A" w:rsidRDefault="00BD18E9" w:rsidP="000B5188">
      <w:pPr>
        <w:keepNext/>
        <w:keepLines/>
        <w:pBdr>
          <w:top w:val="single" w:sz="4" w:space="1" w:color="auto"/>
          <w:left w:val="single" w:sz="4" w:space="4" w:color="auto"/>
          <w:bottom w:val="single" w:sz="4" w:space="1" w:color="auto"/>
          <w:right w:val="single" w:sz="4" w:space="4" w:color="auto"/>
        </w:pBdr>
        <w:suppressAutoHyphens/>
        <w:overflowPunct/>
        <w:autoSpaceDE/>
        <w:autoSpaceDN/>
        <w:adjustRightInd/>
        <w:spacing w:before="0" w:after="60"/>
        <w:rPr>
          <w:rFonts w:eastAsia="SimSun"/>
          <w:lang w:val="es-ES"/>
        </w:rPr>
      </w:pPr>
      <w:r w:rsidRPr="0099313A">
        <w:rPr>
          <w:rFonts w:eastAsia="SimSun"/>
          <w:lang w:val="es-ES"/>
        </w:rPr>
        <w:t xml:space="preserve">La Oficina constata que, para los haces orientables, cuando la antena del satélite puede orientarse hacia cualquier punto de la zona de servicio, las administraciones suelen presentar para este punto una nota indicando que el diagrama no puede facilitarse o que la ganancia será constante e igual a la ganancia máxima (punto B.3.a.1 del Apéndice </w:t>
      </w:r>
      <w:r w:rsidRPr="0099313A">
        <w:rPr>
          <w:rFonts w:eastAsia="SimSun"/>
          <w:b/>
          <w:bCs/>
          <w:lang w:val="es-ES"/>
        </w:rPr>
        <w:t>4</w:t>
      </w:r>
      <w:r w:rsidRPr="0099313A">
        <w:rPr>
          <w:rFonts w:eastAsia="SimSun"/>
          <w:lang w:val="es-ES"/>
        </w:rPr>
        <w:t>) para cualquier ángulo de elevación (o presentan este diagrama con una ganancia constante).</w:t>
      </w:r>
    </w:p>
    <w:p w14:paraId="08004E72" w14:textId="3718498F" w:rsidR="0024717A" w:rsidRPr="0024717A" w:rsidRDefault="00BD18E9" w:rsidP="000B5188">
      <w:pPr>
        <w:keepNext/>
        <w:keepLines/>
        <w:pBdr>
          <w:top w:val="single" w:sz="4" w:space="1" w:color="auto"/>
          <w:left w:val="single" w:sz="4" w:space="4" w:color="auto"/>
          <w:bottom w:val="single" w:sz="4" w:space="1" w:color="auto"/>
          <w:right w:val="single" w:sz="4" w:space="4" w:color="auto"/>
        </w:pBdr>
        <w:suppressAutoHyphens/>
        <w:overflowPunct/>
        <w:autoSpaceDE/>
        <w:autoSpaceDN/>
        <w:adjustRightInd/>
        <w:spacing w:before="0" w:after="60"/>
        <w:rPr>
          <w:rFonts w:eastAsia="SimSun"/>
          <w:lang w:val="es-ES"/>
        </w:rPr>
      </w:pPr>
      <w:r w:rsidRPr="0099313A">
        <w:rPr>
          <w:rFonts w:eastAsia="SimSun"/>
          <w:lang w:val="es-ES"/>
        </w:rPr>
        <w:t xml:space="preserve">Dadas las dificultades para interpretar esta información, en la actualidad la Oficina no suele utilizar la información facilitada en el punto B.4.b.2 para el examen en virtud del Artículo </w:t>
      </w:r>
      <w:r w:rsidRPr="0099313A">
        <w:rPr>
          <w:rFonts w:eastAsia="SimSun"/>
          <w:b/>
          <w:bCs/>
          <w:lang w:val="es-ES"/>
        </w:rPr>
        <w:t>21</w:t>
      </w:r>
      <w:r w:rsidRPr="0099313A">
        <w:rPr>
          <w:rFonts w:eastAsia="SimSun"/>
          <w:lang w:val="es-ES"/>
        </w:rPr>
        <w:t xml:space="preserve"> del RR o de otras disposiciones del Reglamento de Radiocomunicaciones.</w:t>
      </w:r>
    </w:p>
    <w:p w14:paraId="0ECE20EB" w14:textId="7C700A8C" w:rsidR="0024717A" w:rsidRPr="0024717A" w:rsidRDefault="00BD18E9" w:rsidP="000B5188">
      <w:pPr>
        <w:keepNext/>
        <w:keepLines/>
        <w:pBdr>
          <w:top w:val="single" w:sz="4" w:space="1" w:color="auto"/>
          <w:left w:val="single" w:sz="4" w:space="4" w:color="auto"/>
          <w:bottom w:val="single" w:sz="4" w:space="1" w:color="auto"/>
          <w:right w:val="single" w:sz="4" w:space="4" w:color="auto"/>
        </w:pBdr>
        <w:suppressAutoHyphens/>
        <w:overflowPunct/>
        <w:autoSpaceDE/>
        <w:autoSpaceDN/>
        <w:adjustRightInd/>
        <w:spacing w:before="0" w:after="60"/>
        <w:rPr>
          <w:rFonts w:eastAsia="SimSun"/>
          <w:color w:val="000000"/>
          <w:lang w:val="es-ES"/>
        </w:rPr>
      </w:pPr>
      <w:r w:rsidRPr="0099313A">
        <w:rPr>
          <w:rFonts w:eastAsia="SimSun"/>
          <w:color w:val="000000"/>
          <w:lang w:val="es-ES"/>
        </w:rPr>
        <w:t>Sin embargo, la Oficina considera la posibilidad de introducir un punto adicional en el que se indique la ganancia máxima en función de la elevación para los haces orientables cuando se utilizan sistemas de antena</w:t>
      </w:r>
      <w:r w:rsidR="00F46C71" w:rsidRPr="0099313A">
        <w:rPr>
          <w:rFonts w:eastAsia="SimSun"/>
          <w:color w:val="000000"/>
          <w:lang w:val="es-ES"/>
        </w:rPr>
        <w:t>s</w:t>
      </w:r>
      <w:r w:rsidRPr="0099313A">
        <w:rPr>
          <w:rFonts w:eastAsia="SimSun"/>
          <w:color w:val="000000"/>
          <w:lang w:val="es-ES"/>
        </w:rPr>
        <w:t xml:space="preserve"> controlad</w:t>
      </w:r>
      <w:r w:rsidR="00F46C71" w:rsidRPr="0099313A">
        <w:rPr>
          <w:rFonts w:eastAsia="SimSun"/>
          <w:color w:val="000000"/>
          <w:lang w:val="es-ES"/>
        </w:rPr>
        <w:t>a</w:t>
      </w:r>
      <w:r w:rsidRPr="0099313A">
        <w:rPr>
          <w:rFonts w:eastAsia="SimSun"/>
          <w:color w:val="000000"/>
          <w:lang w:val="es-ES"/>
        </w:rPr>
        <w:t>s en fase o haces orientables electrónicamente. Además, la Oficina considera que estos datos no deberían limitarse únicamente a las estaciones espaciales no OSG notificadas de conformidad con los números</w:t>
      </w:r>
      <w:r w:rsidR="0024717A" w:rsidRPr="0024717A">
        <w:rPr>
          <w:rFonts w:eastAsia="SimSun"/>
          <w:color w:val="000000"/>
          <w:lang w:val="es-ES"/>
        </w:rPr>
        <w:t xml:space="preserve"> </w:t>
      </w:r>
      <w:r w:rsidR="0024717A" w:rsidRPr="0024717A">
        <w:rPr>
          <w:rFonts w:eastAsia="SimSun"/>
          <w:b/>
          <w:bCs/>
          <w:color w:val="000000"/>
          <w:lang w:val="es-ES"/>
        </w:rPr>
        <w:t>9.11A</w:t>
      </w:r>
      <w:r w:rsidR="0024717A" w:rsidRPr="0024717A">
        <w:rPr>
          <w:rFonts w:eastAsia="SimSun"/>
          <w:color w:val="000000"/>
          <w:lang w:val="es-ES"/>
        </w:rPr>
        <w:t xml:space="preserve">, </w:t>
      </w:r>
      <w:r w:rsidR="0024717A" w:rsidRPr="0024717A">
        <w:rPr>
          <w:rFonts w:eastAsia="SimSun"/>
          <w:b/>
          <w:bCs/>
          <w:color w:val="000000"/>
          <w:lang w:val="es-ES"/>
        </w:rPr>
        <w:t>9.12</w:t>
      </w:r>
      <w:r w:rsidR="0024717A" w:rsidRPr="0024717A">
        <w:rPr>
          <w:rFonts w:eastAsia="SimSun"/>
          <w:color w:val="000000"/>
          <w:lang w:val="es-ES"/>
        </w:rPr>
        <w:t xml:space="preserve"> </w:t>
      </w:r>
      <w:r w:rsidRPr="0099313A">
        <w:rPr>
          <w:rFonts w:eastAsia="SimSun"/>
          <w:color w:val="000000"/>
          <w:lang w:val="es-ES"/>
        </w:rPr>
        <w:t>o</w:t>
      </w:r>
      <w:r w:rsidR="0024717A" w:rsidRPr="0024717A">
        <w:rPr>
          <w:rFonts w:eastAsia="SimSun"/>
          <w:color w:val="000000"/>
          <w:lang w:val="es-ES"/>
        </w:rPr>
        <w:t> </w:t>
      </w:r>
      <w:r w:rsidR="0024717A" w:rsidRPr="0024717A">
        <w:rPr>
          <w:rFonts w:eastAsia="SimSun"/>
          <w:b/>
          <w:bCs/>
          <w:color w:val="000000"/>
          <w:lang w:val="es-ES"/>
        </w:rPr>
        <w:t>9.12A</w:t>
      </w:r>
      <w:r w:rsidRPr="0099313A">
        <w:rPr>
          <w:rFonts w:eastAsia="SimSun"/>
          <w:color w:val="000000"/>
          <w:lang w:val="es-ES"/>
        </w:rPr>
        <w:t xml:space="preserve"> del RR.</w:t>
      </w:r>
    </w:p>
    <w:p w14:paraId="14D17F03" w14:textId="6C4E3048" w:rsidR="0024717A" w:rsidRPr="0024717A" w:rsidRDefault="00BD18E9" w:rsidP="000B5188">
      <w:pPr>
        <w:keepNext/>
        <w:keepLines/>
        <w:pBdr>
          <w:top w:val="single" w:sz="4" w:space="1" w:color="auto"/>
          <w:left w:val="single" w:sz="4" w:space="4" w:color="auto"/>
          <w:bottom w:val="single" w:sz="4" w:space="1" w:color="auto"/>
          <w:right w:val="single" w:sz="4" w:space="4" w:color="auto"/>
        </w:pBdr>
        <w:rPr>
          <w:rFonts w:eastAsiaTheme="minorEastAsia"/>
          <w:lang w:val="es-ES" w:eastAsia="zh-CN"/>
        </w:rPr>
      </w:pPr>
      <w:r w:rsidRPr="0099313A">
        <w:rPr>
          <w:rFonts w:eastAsia="SimSun"/>
          <w:color w:val="000000"/>
          <w:lang w:val="es-ES"/>
        </w:rPr>
        <w:t xml:space="preserve">La Oficina invita la Conferencia a </w:t>
      </w:r>
      <w:r w:rsidR="0099313A" w:rsidRPr="0099313A">
        <w:rPr>
          <w:rFonts w:eastAsia="SimSun"/>
          <w:color w:val="000000"/>
          <w:lang w:val="es-ES"/>
        </w:rPr>
        <w:t>analizar:</w:t>
      </w:r>
    </w:p>
    <w:p w14:paraId="44024CF0" w14:textId="1781814B" w:rsidR="0024717A" w:rsidRPr="0024717A" w:rsidRDefault="0024717A" w:rsidP="000B5188">
      <w:pPr>
        <w:keepNext/>
        <w:keepLines/>
        <w:pBdr>
          <w:top w:val="single" w:sz="4" w:space="1" w:color="auto"/>
          <w:left w:val="single" w:sz="4" w:space="4" w:color="auto"/>
          <w:bottom w:val="single" w:sz="4" w:space="1" w:color="auto"/>
          <w:right w:val="single" w:sz="4" w:space="4" w:color="auto"/>
        </w:pBdr>
        <w:tabs>
          <w:tab w:val="clear" w:pos="2268"/>
          <w:tab w:val="left" w:pos="2608"/>
          <w:tab w:val="left" w:pos="3345"/>
        </w:tabs>
        <w:spacing w:before="80"/>
        <w:ind w:left="1134" w:hanging="1134"/>
        <w:rPr>
          <w:rFonts w:eastAsiaTheme="minorEastAsia"/>
          <w:lang w:val="es-ES" w:eastAsia="zh-CN"/>
        </w:rPr>
      </w:pPr>
      <w:r w:rsidRPr="0024717A">
        <w:rPr>
          <w:rFonts w:eastAsiaTheme="minorEastAsia"/>
          <w:lang w:val="es-ES" w:eastAsia="zh-CN"/>
        </w:rPr>
        <w:t>1)</w:t>
      </w:r>
      <w:r w:rsidRPr="0024717A">
        <w:rPr>
          <w:rFonts w:eastAsiaTheme="minorEastAsia"/>
          <w:lang w:val="es-ES" w:eastAsia="zh-CN"/>
        </w:rPr>
        <w:tab/>
      </w:r>
      <w:r w:rsidR="008F3D65" w:rsidRPr="0099313A">
        <w:rPr>
          <w:rFonts w:eastAsia="SimSun"/>
          <w:color w:val="000000"/>
          <w:lang w:val="es-ES"/>
        </w:rPr>
        <w:t>las modificaciones propuestas al punto</w:t>
      </w:r>
      <w:r w:rsidRPr="0024717A">
        <w:rPr>
          <w:rFonts w:eastAsia="SimSun"/>
          <w:color w:val="000000"/>
          <w:lang w:val="es-ES"/>
        </w:rPr>
        <w:t xml:space="preserve"> B.4.b.2 </w:t>
      </w:r>
      <w:r w:rsidR="008F3D65" w:rsidRPr="0099313A">
        <w:rPr>
          <w:rFonts w:eastAsia="SimSun"/>
          <w:color w:val="000000"/>
          <w:lang w:val="es-ES"/>
        </w:rPr>
        <w:t>de</w:t>
      </w:r>
      <w:r w:rsidRPr="0024717A">
        <w:rPr>
          <w:rFonts w:eastAsia="SimSun"/>
          <w:color w:val="000000"/>
          <w:lang w:val="es-ES"/>
        </w:rPr>
        <w:t xml:space="preserve"> A</w:t>
      </w:r>
      <w:r w:rsidR="008F3D65" w:rsidRPr="0099313A">
        <w:rPr>
          <w:rFonts w:eastAsia="SimSun"/>
          <w:color w:val="000000"/>
          <w:lang w:val="es-ES"/>
        </w:rPr>
        <w:t>péndice</w:t>
      </w:r>
      <w:r w:rsidRPr="0024717A">
        <w:rPr>
          <w:rFonts w:eastAsia="SimSun"/>
          <w:color w:val="000000"/>
          <w:lang w:val="es-ES"/>
        </w:rPr>
        <w:t xml:space="preserve"> </w:t>
      </w:r>
      <w:r w:rsidRPr="0024717A">
        <w:rPr>
          <w:rFonts w:eastAsia="SimSun"/>
          <w:b/>
          <w:bCs/>
          <w:color w:val="000000"/>
          <w:lang w:val="es-ES"/>
        </w:rPr>
        <w:t>4</w:t>
      </w:r>
      <w:r w:rsidRPr="0024717A">
        <w:rPr>
          <w:rFonts w:eastAsia="SimSun"/>
          <w:color w:val="000000"/>
          <w:lang w:val="es-ES"/>
        </w:rPr>
        <w:t xml:space="preserve"> o,</w:t>
      </w:r>
    </w:p>
    <w:p w14:paraId="274E6B88" w14:textId="37DD42E4" w:rsidR="0024717A" w:rsidRPr="0024717A" w:rsidRDefault="0024717A" w:rsidP="000B5188">
      <w:pPr>
        <w:keepNext/>
        <w:keepLines/>
        <w:pBdr>
          <w:top w:val="single" w:sz="4" w:space="1" w:color="auto"/>
          <w:left w:val="single" w:sz="4" w:space="4" w:color="auto"/>
          <w:bottom w:val="single" w:sz="4" w:space="1" w:color="auto"/>
          <w:right w:val="single" w:sz="4" w:space="4" w:color="auto"/>
        </w:pBdr>
        <w:tabs>
          <w:tab w:val="clear" w:pos="2268"/>
          <w:tab w:val="left" w:pos="2608"/>
          <w:tab w:val="left" w:pos="3345"/>
        </w:tabs>
        <w:spacing w:before="80"/>
        <w:ind w:left="1134" w:hanging="1134"/>
        <w:rPr>
          <w:rFonts w:eastAsiaTheme="minorEastAsia"/>
          <w:lang w:val="es-ES" w:eastAsia="zh-CN"/>
        </w:rPr>
      </w:pPr>
      <w:r w:rsidRPr="0024717A">
        <w:rPr>
          <w:rFonts w:eastAsiaTheme="minorEastAsia"/>
          <w:lang w:val="es-ES" w:eastAsia="zh-CN"/>
        </w:rPr>
        <w:t>2)</w:t>
      </w:r>
      <w:r w:rsidRPr="0024717A">
        <w:rPr>
          <w:rFonts w:eastAsiaTheme="minorEastAsia"/>
          <w:lang w:val="es-ES" w:eastAsia="zh-CN"/>
        </w:rPr>
        <w:tab/>
      </w:r>
      <w:r w:rsidR="008F3D65" w:rsidRPr="0099313A">
        <w:rPr>
          <w:rFonts w:eastAsia="SimSun"/>
          <w:color w:val="000000"/>
          <w:lang w:val="es-ES"/>
        </w:rPr>
        <w:t>la supresión del punto</w:t>
      </w:r>
      <w:r w:rsidRPr="0024717A">
        <w:rPr>
          <w:rFonts w:eastAsia="SimSun"/>
          <w:color w:val="000000"/>
          <w:lang w:val="es-ES"/>
        </w:rPr>
        <w:t xml:space="preserve"> B.4.b.2.</w:t>
      </w:r>
    </w:p>
    <w:p w14:paraId="067FF9CE" w14:textId="675D7F0B" w:rsidR="0024717A" w:rsidRPr="0024717A" w:rsidRDefault="00112D2F" w:rsidP="0024717A">
      <w:pPr>
        <w:rPr>
          <w:rFonts w:eastAsiaTheme="minorEastAsia"/>
          <w:lang w:val="es-ES" w:eastAsia="zh-CN"/>
        </w:rPr>
      </w:pPr>
      <w:r w:rsidRPr="0099313A">
        <w:rPr>
          <w:rFonts w:eastAsiaTheme="minorEastAsia"/>
          <w:b/>
          <w:bCs/>
          <w:lang w:val="es-ES"/>
        </w:rPr>
        <w:t>Opiniones y propuestas</w:t>
      </w:r>
      <w:r w:rsidR="0024717A" w:rsidRPr="0024717A">
        <w:rPr>
          <w:rFonts w:eastAsiaTheme="minorEastAsia"/>
          <w:b/>
          <w:bCs/>
          <w:lang w:val="es-ES"/>
        </w:rPr>
        <w:t xml:space="preserve">: </w:t>
      </w:r>
      <w:r w:rsidR="00F46C71" w:rsidRPr="0099313A">
        <w:rPr>
          <w:rFonts w:eastAsiaTheme="minorEastAsia"/>
          <w:lang w:val="es-ES" w:eastAsia="zh-CN"/>
        </w:rPr>
        <w:t>Esta Administración apoya la adición por la Oficina de un punto en el que se detalle la ganancia máxima en función de la elevación para sistemas de antenas controladas en fase o haces orientables electrónicamente, y la supresión del punto B.4.b.2.</w:t>
      </w:r>
    </w:p>
    <w:p w14:paraId="769F0C8E" w14:textId="7C068B18" w:rsidR="0024717A" w:rsidRPr="00B1479E" w:rsidRDefault="00112D2F" w:rsidP="00B1479E">
      <w:pPr>
        <w:pStyle w:val="Reasons"/>
        <w:rPr>
          <w:rFonts w:eastAsiaTheme="minorEastAsia"/>
        </w:rPr>
      </w:pPr>
      <w:r w:rsidRPr="00B1479E">
        <w:rPr>
          <w:rFonts w:eastAsiaTheme="minorEastAsia"/>
          <w:b/>
          <w:bCs/>
        </w:rPr>
        <w:t>Motivos</w:t>
      </w:r>
      <w:r w:rsidR="0024717A" w:rsidRPr="00B1479E">
        <w:rPr>
          <w:rFonts w:eastAsiaTheme="minorEastAsia"/>
          <w:b/>
          <w:bCs/>
        </w:rPr>
        <w:t>:</w:t>
      </w:r>
      <w:r w:rsidR="0024717A" w:rsidRPr="00B1479E">
        <w:rPr>
          <w:rFonts w:eastAsiaTheme="minorEastAsia"/>
        </w:rPr>
        <w:tab/>
      </w:r>
      <w:r w:rsidR="00F46C71" w:rsidRPr="00B1479E">
        <w:rPr>
          <w:rFonts w:eastAsiaTheme="minorEastAsia"/>
        </w:rPr>
        <w:t xml:space="preserve">En el caso de los sistemas de antenas controladas en </w:t>
      </w:r>
      <w:r w:rsidR="0099313A" w:rsidRPr="00B1479E">
        <w:rPr>
          <w:rFonts w:eastAsiaTheme="minorEastAsia"/>
        </w:rPr>
        <w:t>fase,</w:t>
      </w:r>
      <w:r w:rsidR="00F46C71" w:rsidRPr="00B1479E">
        <w:rPr>
          <w:rFonts w:eastAsiaTheme="minorEastAsia"/>
        </w:rPr>
        <w:t xml:space="preserve"> la ganancia cambia independientemente del ángulo de elevación. Por tanto, se necesita un nuevo parámetro para describir las características anteriores, de modo que la calibración del Artículo </w:t>
      </w:r>
      <w:r w:rsidR="00F46C71" w:rsidRPr="00B1479E">
        <w:rPr>
          <w:rFonts w:eastAsiaTheme="minorEastAsia"/>
          <w:b/>
          <w:bCs/>
        </w:rPr>
        <w:t>21</w:t>
      </w:r>
      <w:r w:rsidR="00F46C71" w:rsidRPr="00B1479E">
        <w:rPr>
          <w:rFonts w:eastAsiaTheme="minorEastAsia"/>
        </w:rPr>
        <w:t xml:space="preserve"> del RR también pueda utilizar la curva de ángulo de elevación y ganancia máxima</w:t>
      </w:r>
      <w:r w:rsidR="0024717A" w:rsidRPr="00B1479E">
        <w:rPr>
          <w:rFonts w:eastAsiaTheme="minorEastAsia"/>
        </w:rPr>
        <w:t>.</w:t>
      </w:r>
    </w:p>
    <w:p w14:paraId="7A36B672" w14:textId="77777777" w:rsidR="000B5188" w:rsidRDefault="000B5188" w:rsidP="000B5188"/>
    <w:p w14:paraId="20022D8D" w14:textId="77777777" w:rsidR="000B5188" w:rsidRDefault="000B5188">
      <w:pPr>
        <w:jc w:val="center"/>
      </w:pPr>
      <w:r>
        <w:t>______________</w:t>
      </w:r>
    </w:p>
    <w:sectPr w:rsidR="000B5188">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CF29" w14:textId="77777777" w:rsidR="00666B37" w:rsidRDefault="00666B37">
      <w:r>
        <w:separator/>
      </w:r>
    </w:p>
  </w:endnote>
  <w:endnote w:type="continuationSeparator" w:id="0">
    <w:p w14:paraId="47FA1AEF"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F75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FB9049" w14:textId="24B3F95E"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1479E">
      <w:rPr>
        <w:noProof/>
      </w:rPr>
      <w:t>17.11.23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F10C" w14:textId="0E6090B8" w:rsidR="0077084A" w:rsidRDefault="00B1479E" w:rsidP="004C0282">
    <w:pPr>
      <w:pStyle w:val="Footer"/>
      <w:rPr>
        <w:lang w:val="en-US"/>
      </w:rPr>
    </w:pPr>
    <w:r>
      <w:fldChar w:fldCharType="begin"/>
    </w:r>
    <w:r>
      <w:instrText xml:space="preserve"> FILENAME \p  \* MERGEFORMAT </w:instrText>
    </w:r>
    <w:r>
      <w:fldChar w:fldCharType="separate"/>
    </w:r>
    <w:r w:rsidR="004C0282">
      <w:t>P:\ESP\ITU-R\CONF-R\CMR23\100\111ADD25ADD04S.docx</w:t>
    </w:r>
    <w:r>
      <w:fldChar w:fldCharType="end"/>
    </w:r>
    <w:r w:rsidR="004C0282">
      <w:t xml:space="preserve"> </w:t>
    </w:r>
    <w:r w:rsidR="00A05E7F">
      <w:rPr>
        <w:lang w:val="en-US"/>
      </w:rPr>
      <w:t>(530545)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9E09" w14:textId="7097D0DC" w:rsidR="0077084A" w:rsidRPr="00A05E7F" w:rsidRDefault="00B1479E" w:rsidP="004C0282">
    <w:pPr>
      <w:pStyle w:val="Footer"/>
      <w:rPr>
        <w:lang w:val="en-US"/>
      </w:rPr>
    </w:pPr>
    <w:r>
      <w:fldChar w:fldCharType="begin"/>
    </w:r>
    <w:r>
      <w:instrText xml:space="preserve"> FILENAME \p  \* MERGEFORMAT </w:instrText>
    </w:r>
    <w:r>
      <w:fldChar w:fldCharType="separate"/>
    </w:r>
    <w:r w:rsidR="004C0282">
      <w:t>P:\ESP\ITU-R\CONF-R\CMR23\100\111ADD25ADD04S.docx</w:t>
    </w:r>
    <w:r>
      <w:fldChar w:fldCharType="end"/>
    </w:r>
    <w:r w:rsidR="004C0282">
      <w:rPr>
        <w:lang w:val="en-US"/>
      </w:rPr>
      <w:t xml:space="preserve"> </w:t>
    </w:r>
    <w:r w:rsidR="00A05E7F">
      <w:rPr>
        <w:lang w:val="en-US"/>
      </w:rPr>
      <w:t>(530545)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0519" w14:textId="77777777" w:rsidR="00666B37" w:rsidRDefault="00666B37">
      <w:r>
        <w:rPr>
          <w:b/>
        </w:rPr>
        <w:t>_______________</w:t>
      </w:r>
    </w:p>
  </w:footnote>
  <w:footnote w:type="continuationSeparator" w:id="0">
    <w:p w14:paraId="40EDBBFB" w14:textId="77777777" w:rsidR="00666B37" w:rsidRDefault="00666B37">
      <w:r>
        <w:continuationSeparator/>
      </w:r>
    </w:p>
  </w:footnote>
  <w:footnote w:id="1">
    <w:p w14:paraId="466ADE8A" w14:textId="77777777" w:rsidR="00822E96" w:rsidRPr="00E878C0" w:rsidRDefault="00A05E7F" w:rsidP="00822E96">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E976" w14:textId="68A0F1EE"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B4C3B">
      <w:rPr>
        <w:rStyle w:val="PageNumber"/>
        <w:noProof/>
      </w:rPr>
      <w:t>4</w:t>
    </w:r>
    <w:r>
      <w:rPr>
        <w:rStyle w:val="PageNumber"/>
      </w:rPr>
      <w:fldChar w:fldCharType="end"/>
    </w:r>
  </w:p>
  <w:p w14:paraId="03C73C8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111(Add.25)(Add.4)-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276248341">
    <w:abstractNumId w:val="8"/>
  </w:num>
  <w:num w:numId="2" w16cid:durableId="107066384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40539543">
    <w:abstractNumId w:val="9"/>
  </w:num>
  <w:num w:numId="4" w16cid:durableId="1831099167">
    <w:abstractNumId w:val="7"/>
  </w:num>
  <w:num w:numId="5" w16cid:durableId="1411121477">
    <w:abstractNumId w:val="6"/>
  </w:num>
  <w:num w:numId="6" w16cid:durableId="2007904951">
    <w:abstractNumId w:val="5"/>
  </w:num>
  <w:num w:numId="7" w16cid:durableId="995763246">
    <w:abstractNumId w:val="4"/>
  </w:num>
  <w:num w:numId="8" w16cid:durableId="1217741250">
    <w:abstractNumId w:val="3"/>
  </w:num>
  <w:num w:numId="9" w16cid:durableId="400447638">
    <w:abstractNumId w:val="2"/>
  </w:num>
  <w:num w:numId="10" w16cid:durableId="1616986064">
    <w:abstractNumId w:val="1"/>
  </w:num>
  <w:num w:numId="11" w16cid:durableId="120344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7206"/>
    <w:rsid w:val="0002785D"/>
    <w:rsid w:val="00074455"/>
    <w:rsid w:val="00087AE8"/>
    <w:rsid w:val="00091054"/>
    <w:rsid w:val="000A2A7D"/>
    <w:rsid w:val="000A5B9A"/>
    <w:rsid w:val="000B5188"/>
    <w:rsid w:val="000E5BF9"/>
    <w:rsid w:val="000F0E6D"/>
    <w:rsid w:val="00112D2F"/>
    <w:rsid w:val="00121170"/>
    <w:rsid w:val="00123CC5"/>
    <w:rsid w:val="0015142D"/>
    <w:rsid w:val="001616DC"/>
    <w:rsid w:val="00163962"/>
    <w:rsid w:val="00191A97"/>
    <w:rsid w:val="00194144"/>
    <w:rsid w:val="0019729C"/>
    <w:rsid w:val="001A083F"/>
    <w:rsid w:val="001C41FA"/>
    <w:rsid w:val="001E2B52"/>
    <w:rsid w:val="001E3F27"/>
    <w:rsid w:val="001E7D42"/>
    <w:rsid w:val="0023659C"/>
    <w:rsid w:val="00236D2A"/>
    <w:rsid w:val="0024569E"/>
    <w:rsid w:val="0024717A"/>
    <w:rsid w:val="00255F12"/>
    <w:rsid w:val="00262C09"/>
    <w:rsid w:val="00283E4F"/>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A34FC"/>
    <w:rsid w:val="004B124A"/>
    <w:rsid w:val="004B3095"/>
    <w:rsid w:val="004C0282"/>
    <w:rsid w:val="004D2749"/>
    <w:rsid w:val="004D2C7C"/>
    <w:rsid w:val="005133B5"/>
    <w:rsid w:val="00524392"/>
    <w:rsid w:val="00532097"/>
    <w:rsid w:val="0058350F"/>
    <w:rsid w:val="00583C7E"/>
    <w:rsid w:val="0059098E"/>
    <w:rsid w:val="00597D26"/>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2285A"/>
    <w:rsid w:val="008504C2"/>
    <w:rsid w:val="00866AE6"/>
    <w:rsid w:val="008750A8"/>
    <w:rsid w:val="008D3316"/>
    <w:rsid w:val="008D5DE9"/>
    <w:rsid w:val="008E5AF2"/>
    <w:rsid w:val="008F3D65"/>
    <w:rsid w:val="0090121B"/>
    <w:rsid w:val="009144C9"/>
    <w:rsid w:val="0094091F"/>
    <w:rsid w:val="00962171"/>
    <w:rsid w:val="00973754"/>
    <w:rsid w:val="0099313A"/>
    <w:rsid w:val="009C0BED"/>
    <w:rsid w:val="009E11EC"/>
    <w:rsid w:val="00A021CC"/>
    <w:rsid w:val="00A05E7F"/>
    <w:rsid w:val="00A118DB"/>
    <w:rsid w:val="00A4450C"/>
    <w:rsid w:val="00AA5E6C"/>
    <w:rsid w:val="00AC49B1"/>
    <w:rsid w:val="00AE5677"/>
    <w:rsid w:val="00AE658F"/>
    <w:rsid w:val="00AF2F78"/>
    <w:rsid w:val="00B1479E"/>
    <w:rsid w:val="00B239FA"/>
    <w:rsid w:val="00B372AB"/>
    <w:rsid w:val="00B47331"/>
    <w:rsid w:val="00B52D55"/>
    <w:rsid w:val="00B8288C"/>
    <w:rsid w:val="00B86034"/>
    <w:rsid w:val="00BD18E9"/>
    <w:rsid w:val="00BE2E80"/>
    <w:rsid w:val="00BE5EDD"/>
    <w:rsid w:val="00BE6A1F"/>
    <w:rsid w:val="00C126C4"/>
    <w:rsid w:val="00C44E9E"/>
    <w:rsid w:val="00C63EB5"/>
    <w:rsid w:val="00C87DA7"/>
    <w:rsid w:val="00CA4945"/>
    <w:rsid w:val="00CB4C3B"/>
    <w:rsid w:val="00CC01E0"/>
    <w:rsid w:val="00CD5FEE"/>
    <w:rsid w:val="00CE60D2"/>
    <w:rsid w:val="00CE7431"/>
    <w:rsid w:val="00D00CA8"/>
    <w:rsid w:val="00D0288A"/>
    <w:rsid w:val="00D12F48"/>
    <w:rsid w:val="00D72A5D"/>
    <w:rsid w:val="00D847B2"/>
    <w:rsid w:val="00D975A4"/>
    <w:rsid w:val="00DA71A3"/>
    <w:rsid w:val="00DC1922"/>
    <w:rsid w:val="00DC629B"/>
    <w:rsid w:val="00DE1C31"/>
    <w:rsid w:val="00E05BFF"/>
    <w:rsid w:val="00E262F1"/>
    <w:rsid w:val="00E3176A"/>
    <w:rsid w:val="00E36CE4"/>
    <w:rsid w:val="00E54754"/>
    <w:rsid w:val="00E56BD3"/>
    <w:rsid w:val="00E71D14"/>
    <w:rsid w:val="00EA77F0"/>
    <w:rsid w:val="00F32316"/>
    <w:rsid w:val="00F46C71"/>
    <w:rsid w:val="00F66597"/>
    <w:rsid w:val="00F675D0"/>
    <w:rsid w:val="00F8150C"/>
    <w:rsid w:val="00FD03C4"/>
    <w:rsid w:val="00FD09D5"/>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E736D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semiHidden/>
    <w:unhideWhenUsed/>
    <w:rsid w:val="004C02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3-WRC23-C-0004/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R23-WRC23-C-0111!A25-A4!MSW-S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81C3A-7DD6-4975-9587-EAD731EF1AD5}">
  <ds:schemaRefs>
    <ds:schemaRef ds:uri="http://schemas.microsoft.com/sharepoint/events"/>
  </ds:schemaRefs>
</ds:datastoreItem>
</file>

<file path=customXml/itemProps2.xml><?xml version="1.0" encoding="utf-8"?>
<ds:datastoreItem xmlns:ds="http://schemas.openxmlformats.org/officeDocument/2006/customXml" ds:itemID="{7A23BA7B-B15E-49EE-B725-6613ED7F91DD}">
  <ds:schemaRefs>
    <ds:schemaRef ds:uri="http://purl.org/dc/terms/"/>
    <ds:schemaRef ds:uri="http://purl.org/dc/elements/1.1/"/>
    <ds:schemaRef ds:uri="996b2e75-67fd-4955-a3b0-5ab9934cb50b"/>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9464CC75-AF3B-4784-BD5B-286A6BA8E6DD}">
  <ds:schemaRefs>
    <ds:schemaRef ds:uri="http://schemas.microsoft.com/sharepoint/v3/contenttype/forms"/>
  </ds:schemaRefs>
</ds:datastoreItem>
</file>

<file path=customXml/itemProps4.xml><?xml version="1.0" encoding="utf-8"?>
<ds:datastoreItem xmlns:ds="http://schemas.openxmlformats.org/officeDocument/2006/customXml" ds:itemID="{C4DAAE7D-1AE6-4AFE-96FE-F22A3675F8F2}">
  <ds:schemaRefs>
    <ds:schemaRef ds:uri="http://schemas.openxmlformats.org/officeDocument/2006/bibliography"/>
  </ds:schemaRefs>
</ds:datastoreItem>
</file>

<file path=customXml/itemProps5.xml><?xml version="1.0" encoding="utf-8"?>
<ds:datastoreItem xmlns:ds="http://schemas.openxmlformats.org/officeDocument/2006/customXml" ds:itemID="{79433D2D-27D4-4FF0-850D-90184D8EE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1001</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R23-WRC23-C-0111!A25-A4!MSW-S</vt:lpstr>
    </vt:vector>
  </TitlesOfParts>
  <Manager>Secretaría General - Pool</Manager>
  <Company>Unión Internacional de Telecomunicaciones (UIT)</Company>
  <LinksUpToDate>false</LinksUpToDate>
  <CharactersWithSpaces>6448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R23-WRC23-C-0111!A25-A4!MSW-S</dc:title>
  <dc:subject>Conferencia Mundial de Radiocomunicaciones - 2019</dc:subject>
  <dc:creator>Documents Proposals Manager (DPM)</dc:creator>
  <cp:keywords>DPM_v2023.11.6.1_prod</cp:keywords>
  <dc:description/>
  <cp:lastModifiedBy>Spanish</cp:lastModifiedBy>
  <cp:revision>6</cp:revision>
  <cp:lastPrinted>2003-02-19T20:20:00Z</cp:lastPrinted>
  <dcterms:created xsi:type="dcterms:W3CDTF">2023-11-17T15:16:00Z</dcterms:created>
  <dcterms:modified xsi:type="dcterms:W3CDTF">2023-11-17T16:14:00Z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