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7A0425" w14:paraId="1F61135D" w14:textId="77777777" w:rsidTr="00C1305F">
        <w:trPr>
          <w:cantSplit/>
        </w:trPr>
        <w:tc>
          <w:tcPr>
            <w:tcW w:w="1418" w:type="dxa"/>
            <w:vAlign w:val="center"/>
          </w:tcPr>
          <w:p w14:paraId="3411DE58" w14:textId="77777777" w:rsidR="00C1305F" w:rsidRPr="007A0425" w:rsidRDefault="00C1305F" w:rsidP="00C1305F">
            <w:pPr>
              <w:spacing w:before="0" w:line="240" w:lineRule="atLeast"/>
              <w:rPr>
                <w:rFonts w:ascii="Verdana" w:hAnsi="Verdana"/>
                <w:b/>
                <w:bCs/>
                <w:sz w:val="20"/>
              </w:rPr>
            </w:pPr>
            <w:r w:rsidRPr="007A0425">
              <w:drawing>
                <wp:inline distT="0" distB="0" distL="0" distR="0" wp14:anchorId="68BAA2E3" wp14:editId="5B07DDD7">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C8B9B47" w14:textId="2B163666" w:rsidR="00C1305F" w:rsidRPr="007A0425" w:rsidRDefault="00C1305F" w:rsidP="00F10064">
            <w:pPr>
              <w:spacing w:before="400" w:after="48" w:line="240" w:lineRule="atLeast"/>
              <w:rPr>
                <w:rFonts w:ascii="Verdana" w:hAnsi="Verdana"/>
                <w:b/>
                <w:bCs/>
                <w:sz w:val="20"/>
              </w:rPr>
            </w:pPr>
            <w:r w:rsidRPr="007A0425">
              <w:rPr>
                <w:rFonts w:ascii="Verdana" w:hAnsi="Verdana"/>
                <w:b/>
                <w:bCs/>
                <w:sz w:val="20"/>
              </w:rPr>
              <w:t>Conférence mondiale des radiocommunications (CMR-23)</w:t>
            </w:r>
            <w:r w:rsidRPr="007A0425">
              <w:rPr>
                <w:rFonts w:ascii="Verdana" w:hAnsi="Verdana"/>
                <w:b/>
                <w:bCs/>
                <w:sz w:val="20"/>
              </w:rPr>
              <w:br/>
            </w:r>
            <w:r w:rsidRPr="007A0425">
              <w:rPr>
                <w:rFonts w:ascii="Verdana" w:hAnsi="Verdana"/>
                <w:b/>
                <w:bCs/>
                <w:sz w:val="18"/>
                <w:szCs w:val="18"/>
              </w:rPr>
              <w:t xml:space="preserve">Dubaï, 20 novembre </w:t>
            </w:r>
            <w:r w:rsidR="00EA0409" w:rsidRPr="007A0425">
              <w:rPr>
                <w:rFonts w:ascii="Verdana" w:hAnsi="Verdana"/>
                <w:b/>
                <w:bCs/>
                <w:sz w:val="18"/>
                <w:szCs w:val="18"/>
              </w:rPr>
              <w:t>–</w:t>
            </w:r>
            <w:r w:rsidRPr="007A0425">
              <w:rPr>
                <w:rFonts w:ascii="Verdana" w:hAnsi="Verdana"/>
                <w:b/>
                <w:bCs/>
                <w:sz w:val="18"/>
                <w:szCs w:val="18"/>
              </w:rPr>
              <w:t xml:space="preserve"> 15 décembre 2023</w:t>
            </w:r>
          </w:p>
        </w:tc>
        <w:tc>
          <w:tcPr>
            <w:tcW w:w="1809" w:type="dxa"/>
            <w:vAlign w:val="center"/>
          </w:tcPr>
          <w:p w14:paraId="02D0CD4F" w14:textId="77777777" w:rsidR="00C1305F" w:rsidRPr="007A0425" w:rsidRDefault="00C1305F" w:rsidP="00C1305F">
            <w:pPr>
              <w:spacing w:before="0" w:line="240" w:lineRule="atLeast"/>
            </w:pPr>
            <w:bookmarkStart w:id="0" w:name="ditulogo"/>
            <w:bookmarkEnd w:id="0"/>
            <w:r w:rsidRPr="007A0425">
              <w:drawing>
                <wp:inline distT="0" distB="0" distL="0" distR="0" wp14:anchorId="57D67937" wp14:editId="59F51356">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7A0425" w14:paraId="437A9793" w14:textId="77777777" w:rsidTr="0050008E">
        <w:trPr>
          <w:cantSplit/>
        </w:trPr>
        <w:tc>
          <w:tcPr>
            <w:tcW w:w="6911" w:type="dxa"/>
            <w:gridSpan w:val="2"/>
            <w:tcBorders>
              <w:bottom w:val="single" w:sz="12" w:space="0" w:color="auto"/>
            </w:tcBorders>
          </w:tcPr>
          <w:p w14:paraId="6A308B16" w14:textId="77777777" w:rsidR="00BB1D82" w:rsidRPr="007A0425"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6354B397" w14:textId="77777777" w:rsidR="00BB1D82" w:rsidRPr="007A0425" w:rsidRDefault="00BB1D82" w:rsidP="00BB1D82">
            <w:pPr>
              <w:spacing w:before="0" w:line="240" w:lineRule="atLeast"/>
              <w:rPr>
                <w:rFonts w:ascii="Verdana" w:hAnsi="Verdana"/>
                <w:szCs w:val="24"/>
              </w:rPr>
            </w:pPr>
          </w:p>
        </w:tc>
      </w:tr>
      <w:tr w:rsidR="00BB1D82" w:rsidRPr="007A0425" w14:paraId="5DA64F48" w14:textId="77777777" w:rsidTr="00BB1D82">
        <w:trPr>
          <w:cantSplit/>
        </w:trPr>
        <w:tc>
          <w:tcPr>
            <w:tcW w:w="6911" w:type="dxa"/>
            <w:gridSpan w:val="2"/>
            <w:tcBorders>
              <w:top w:val="single" w:sz="12" w:space="0" w:color="auto"/>
            </w:tcBorders>
          </w:tcPr>
          <w:p w14:paraId="5115B592" w14:textId="77777777" w:rsidR="00BB1D82" w:rsidRPr="007A0425"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48E393B4" w14:textId="77777777" w:rsidR="00BB1D82" w:rsidRPr="007A0425" w:rsidRDefault="00BB1D82" w:rsidP="00BB1D82">
            <w:pPr>
              <w:spacing w:before="0" w:line="240" w:lineRule="atLeast"/>
              <w:rPr>
                <w:rFonts w:ascii="Verdana" w:hAnsi="Verdana"/>
                <w:sz w:val="20"/>
              </w:rPr>
            </w:pPr>
          </w:p>
        </w:tc>
      </w:tr>
      <w:tr w:rsidR="00BB1D82" w:rsidRPr="007A0425" w14:paraId="694F7FBA" w14:textId="77777777" w:rsidTr="00BB1D82">
        <w:trPr>
          <w:cantSplit/>
        </w:trPr>
        <w:tc>
          <w:tcPr>
            <w:tcW w:w="6911" w:type="dxa"/>
            <w:gridSpan w:val="2"/>
          </w:tcPr>
          <w:p w14:paraId="503C76C4" w14:textId="77777777" w:rsidR="00BB1D82" w:rsidRPr="007A0425" w:rsidRDefault="006D4724" w:rsidP="00BA5BD0">
            <w:pPr>
              <w:spacing w:before="0"/>
              <w:rPr>
                <w:rFonts w:ascii="Verdana" w:hAnsi="Verdana"/>
                <w:b/>
                <w:sz w:val="20"/>
              </w:rPr>
            </w:pPr>
            <w:r w:rsidRPr="007A0425">
              <w:rPr>
                <w:rFonts w:ascii="Verdana" w:hAnsi="Verdana"/>
                <w:b/>
                <w:sz w:val="20"/>
              </w:rPr>
              <w:t>SÉANCE PLÉNIÈRE</w:t>
            </w:r>
          </w:p>
        </w:tc>
        <w:tc>
          <w:tcPr>
            <w:tcW w:w="3120" w:type="dxa"/>
            <w:gridSpan w:val="2"/>
          </w:tcPr>
          <w:p w14:paraId="3AA50F7A" w14:textId="77777777" w:rsidR="00BB1D82" w:rsidRPr="007A0425" w:rsidRDefault="006D4724" w:rsidP="00BA5BD0">
            <w:pPr>
              <w:spacing w:before="0"/>
              <w:rPr>
                <w:rFonts w:ascii="Verdana" w:hAnsi="Verdana"/>
                <w:sz w:val="20"/>
              </w:rPr>
            </w:pPr>
            <w:r w:rsidRPr="007A0425">
              <w:rPr>
                <w:rFonts w:ascii="Verdana" w:hAnsi="Verdana"/>
                <w:b/>
                <w:sz w:val="20"/>
              </w:rPr>
              <w:t>Addendum 4 au</w:t>
            </w:r>
            <w:r w:rsidRPr="007A0425">
              <w:rPr>
                <w:rFonts w:ascii="Verdana" w:hAnsi="Verdana"/>
                <w:b/>
                <w:sz w:val="20"/>
              </w:rPr>
              <w:br/>
              <w:t>Document 111(Add.25)</w:t>
            </w:r>
            <w:r w:rsidR="00BB1D82" w:rsidRPr="007A0425">
              <w:rPr>
                <w:rFonts w:ascii="Verdana" w:hAnsi="Verdana"/>
                <w:b/>
                <w:sz w:val="20"/>
              </w:rPr>
              <w:t>-</w:t>
            </w:r>
            <w:r w:rsidRPr="007A0425">
              <w:rPr>
                <w:rFonts w:ascii="Verdana" w:hAnsi="Verdana"/>
                <w:b/>
                <w:sz w:val="20"/>
              </w:rPr>
              <w:t>F</w:t>
            </w:r>
          </w:p>
        </w:tc>
      </w:tr>
      <w:bookmarkEnd w:id="1"/>
      <w:tr w:rsidR="00690C7B" w:rsidRPr="007A0425" w14:paraId="3ECC9369" w14:textId="77777777" w:rsidTr="00BB1D82">
        <w:trPr>
          <w:cantSplit/>
        </w:trPr>
        <w:tc>
          <w:tcPr>
            <w:tcW w:w="6911" w:type="dxa"/>
            <w:gridSpan w:val="2"/>
          </w:tcPr>
          <w:p w14:paraId="29E3FC8E" w14:textId="77777777" w:rsidR="00690C7B" w:rsidRPr="007A0425" w:rsidRDefault="00690C7B" w:rsidP="00BA5BD0">
            <w:pPr>
              <w:spacing w:before="0"/>
              <w:rPr>
                <w:rFonts w:ascii="Verdana" w:hAnsi="Verdana"/>
                <w:b/>
                <w:sz w:val="20"/>
              </w:rPr>
            </w:pPr>
          </w:p>
        </w:tc>
        <w:tc>
          <w:tcPr>
            <w:tcW w:w="3120" w:type="dxa"/>
            <w:gridSpan w:val="2"/>
          </w:tcPr>
          <w:p w14:paraId="2A5CA256" w14:textId="77777777" w:rsidR="00690C7B" w:rsidRPr="007A0425" w:rsidRDefault="00690C7B" w:rsidP="00BA5BD0">
            <w:pPr>
              <w:spacing w:before="0"/>
              <w:rPr>
                <w:rFonts w:ascii="Verdana" w:hAnsi="Verdana"/>
                <w:b/>
                <w:sz w:val="20"/>
              </w:rPr>
            </w:pPr>
            <w:r w:rsidRPr="007A0425">
              <w:rPr>
                <w:rFonts w:ascii="Verdana" w:hAnsi="Verdana"/>
                <w:b/>
                <w:sz w:val="20"/>
              </w:rPr>
              <w:t>30 octobre 2023</w:t>
            </w:r>
          </w:p>
        </w:tc>
      </w:tr>
      <w:tr w:rsidR="00690C7B" w:rsidRPr="007A0425" w14:paraId="46E83D13" w14:textId="77777777" w:rsidTr="00BB1D82">
        <w:trPr>
          <w:cantSplit/>
        </w:trPr>
        <w:tc>
          <w:tcPr>
            <w:tcW w:w="6911" w:type="dxa"/>
            <w:gridSpan w:val="2"/>
          </w:tcPr>
          <w:p w14:paraId="493FF8A3" w14:textId="77777777" w:rsidR="00690C7B" w:rsidRPr="007A0425" w:rsidRDefault="00690C7B" w:rsidP="00BA5BD0">
            <w:pPr>
              <w:spacing w:before="0" w:after="48"/>
              <w:rPr>
                <w:rFonts w:ascii="Verdana" w:hAnsi="Verdana"/>
                <w:b/>
                <w:smallCaps/>
                <w:sz w:val="20"/>
              </w:rPr>
            </w:pPr>
          </w:p>
        </w:tc>
        <w:tc>
          <w:tcPr>
            <w:tcW w:w="3120" w:type="dxa"/>
            <w:gridSpan w:val="2"/>
          </w:tcPr>
          <w:p w14:paraId="363268B8" w14:textId="77777777" w:rsidR="00690C7B" w:rsidRPr="007A0425" w:rsidRDefault="00690C7B" w:rsidP="00BA5BD0">
            <w:pPr>
              <w:spacing w:before="0"/>
              <w:rPr>
                <w:rFonts w:ascii="Verdana" w:hAnsi="Verdana"/>
                <w:b/>
                <w:sz w:val="20"/>
              </w:rPr>
            </w:pPr>
            <w:r w:rsidRPr="007A0425">
              <w:rPr>
                <w:rFonts w:ascii="Verdana" w:hAnsi="Verdana"/>
                <w:b/>
                <w:sz w:val="20"/>
              </w:rPr>
              <w:t>Original: chinois</w:t>
            </w:r>
          </w:p>
        </w:tc>
      </w:tr>
      <w:tr w:rsidR="00690C7B" w:rsidRPr="007A0425" w14:paraId="696A7107" w14:textId="77777777" w:rsidTr="00C11970">
        <w:trPr>
          <w:cantSplit/>
        </w:trPr>
        <w:tc>
          <w:tcPr>
            <w:tcW w:w="10031" w:type="dxa"/>
            <w:gridSpan w:val="4"/>
          </w:tcPr>
          <w:p w14:paraId="567BE0C3" w14:textId="77777777" w:rsidR="00690C7B" w:rsidRPr="007A0425" w:rsidRDefault="00690C7B" w:rsidP="00BA5BD0">
            <w:pPr>
              <w:spacing w:before="0"/>
              <w:rPr>
                <w:rFonts w:ascii="Verdana" w:hAnsi="Verdana"/>
                <w:b/>
                <w:sz w:val="20"/>
              </w:rPr>
            </w:pPr>
          </w:p>
        </w:tc>
      </w:tr>
      <w:tr w:rsidR="00690C7B" w:rsidRPr="007A0425" w14:paraId="2CD7F3E6" w14:textId="77777777" w:rsidTr="0050008E">
        <w:trPr>
          <w:cantSplit/>
        </w:trPr>
        <w:tc>
          <w:tcPr>
            <w:tcW w:w="10031" w:type="dxa"/>
            <w:gridSpan w:val="4"/>
          </w:tcPr>
          <w:p w14:paraId="337F11BB" w14:textId="77777777" w:rsidR="00690C7B" w:rsidRPr="007A0425" w:rsidRDefault="00690C7B" w:rsidP="00690C7B">
            <w:pPr>
              <w:pStyle w:val="Source"/>
            </w:pPr>
            <w:bookmarkStart w:id="2" w:name="dsource" w:colFirst="0" w:colLast="0"/>
            <w:r w:rsidRPr="007A0425">
              <w:t>Chine (République populaire de)</w:t>
            </w:r>
          </w:p>
        </w:tc>
      </w:tr>
      <w:tr w:rsidR="00690C7B" w:rsidRPr="007A0425" w14:paraId="6F4D6EA2" w14:textId="77777777" w:rsidTr="0050008E">
        <w:trPr>
          <w:cantSplit/>
        </w:trPr>
        <w:tc>
          <w:tcPr>
            <w:tcW w:w="10031" w:type="dxa"/>
            <w:gridSpan w:val="4"/>
          </w:tcPr>
          <w:p w14:paraId="73B48489" w14:textId="03B31D6C" w:rsidR="00690C7B" w:rsidRPr="007A0425" w:rsidRDefault="00AF54A1" w:rsidP="00690C7B">
            <w:pPr>
              <w:pStyle w:val="Title1"/>
            </w:pPr>
            <w:bookmarkStart w:id="3" w:name="dtitle1" w:colFirst="0" w:colLast="0"/>
            <w:bookmarkEnd w:id="2"/>
            <w:r w:rsidRPr="007A0425">
              <w:t>Propositions pour les travaux de la conférence</w:t>
            </w:r>
          </w:p>
        </w:tc>
      </w:tr>
      <w:tr w:rsidR="00690C7B" w:rsidRPr="007A0425" w14:paraId="1D05F7CA" w14:textId="77777777" w:rsidTr="0050008E">
        <w:trPr>
          <w:cantSplit/>
        </w:trPr>
        <w:tc>
          <w:tcPr>
            <w:tcW w:w="10031" w:type="dxa"/>
            <w:gridSpan w:val="4"/>
          </w:tcPr>
          <w:p w14:paraId="089A283A" w14:textId="77777777" w:rsidR="00690C7B" w:rsidRPr="007A0425" w:rsidRDefault="00690C7B" w:rsidP="00690C7B">
            <w:pPr>
              <w:pStyle w:val="Title2"/>
            </w:pPr>
            <w:bookmarkStart w:id="4" w:name="dtitle2" w:colFirst="0" w:colLast="0"/>
            <w:bookmarkEnd w:id="3"/>
          </w:p>
        </w:tc>
      </w:tr>
      <w:tr w:rsidR="00690C7B" w:rsidRPr="007A0425" w14:paraId="54D4AE65" w14:textId="77777777" w:rsidTr="0050008E">
        <w:trPr>
          <w:cantSplit/>
        </w:trPr>
        <w:tc>
          <w:tcPr>
            <w:tcW w:w="10031" w:type="dxa"/>
            <w:gridSpan w:val="4"/>
          </w:tcPr>
          <w:p w14:paraId="08FFB523" w14:textId="77777777" w:rsidR="00690C7B" w:rsidRPr="007A0425" w:rsidRDefault="00690C7B" w:rsidP="00690C7B">
            <w:pPr>
              <w:pStyle w:val="Agendaitem"/>
              <w:rPr>
                <w:lang w:val="fr-FR"/>
              </w:rPr>
            </w:pPr>
            <w:bookmarkStart w:id="5" w:name="dtitle3" w:colFirst="0" w:colLast="0"/>
            <w:bookmarkEnd w:id="4"/>
            <w:r w:rsidRPr="007A0425">
              <w:rPr>
                <w:lang w:val="fr-FR"/>
              </w:rPr>
              <w:t>Point 9.2 de l'ordre du jour</w:t>
            </w:r>
          </w:p>
        </w:tc>
      </w:tr>
    </w:tbl>
    <w:bookmarkEnd w:id="5"/>
    <w:p w14:paraId="7E3338BF" w14:textId="77777777" w:rsidR="007A0425" w:rsidRPr="007A0425" w:rsidRDefault="005A0F4C" w:rsidP="003D082A">
      <w:r w:rsidRPr="007A0425">
        <w:t>9</w:t>
      </w:r>
      <w:r w:rsidRPr="007A0425">
        <w:tab/>
        <w:t>examiner et approuver le rapport du Directeur du Bureau des radiocommunications, conformément à l'article 7 de la Convention de l'UIT:</w:t>
      </w:r>
    </w:p>
    <w:p w14:paraId="0E14F259" w14:textId="77777777" w:rsidR="007A0425" w:rsidRPr="007A0425" w:rsidRDefault="005A0F4C" w:rsidP="00485985">
      <w:r w:rsidRPr="007A0425">
        <w:t>9.2</w:t>
      </w:r>
      <w:r w:rsidRPr="007A0425">
        <w:tab/>
        <w:t>sur les difficultés rencontrées ou les incohérences constatées dans l'application du Règlement des radiocommunications</w:t>
      </w:r>
      <w:r w:rsidRPr="007A0425">
        <w:rPr>
          <w:rStyle w:val="FootnoteReference"/>
        </w:rPr>
        <w:footnoteReference w:customMarkFollows="1" w:id="1"/>
        <w:t>1</w:t>
      </w:r>
      <w:r w:rsidRPr="007A0425">
        <w:t>; et</w:t>
      </w:r>
    </w:p>
    <w:p w14:paraId="54A1F6A7" w14:textId="2E81D04F" w:rsidR="003A583E" w:rsidRPr="007A0425" w:rsidRDefault="00205041" w:rsidP="00EA0409">
      <w:pPr>
        <w:pStyle w:val="Title4"/>
      </w:pPr>
      <w:r w:rsidRPr="007A0425">
        <w:t xml:space="preserve">Résultats obtenus dans l'application des procédures prévues </w:t>
      </w:r>
      <w:r w:rsidR="00D35F90" w:rsidRPr="007A0425">
        <w:br/>
      </w:r>
      <w:r w:rsidRPr="007A0425">
        <w:t>dans le Règlement des radiocommunications</w:t>
      </w:r>
    </w:p>
    <w:p w14:paraId="378F948E" w14:textId="65170526" w:rsidR="00AF54A1" w:rsidRPr="007A0425" w:rsidRDefault="00205041" w:rsidP="00EA0409">
      <w:pPr>
        <w:pStyle w:val="Heading2"/>
        <w:jc w:val="center"/>
      </w:pPr>
      <w:r w:rsidRPr="007A0425">
        <w:t>Paragraphe 3.2 – Appendices du Règlement des radiocommunications</w:t>
      </w:r>
    </w:p>
    <w:p w14:paraId="4384CD86" w14:textId="2D7023F5" w:rsidR="00AF54A1" w:rsidRPr="007A0425" w:rsidRDefault="00AF54A1" w:rsidP="00EA0409">
      <w:pPr>
        <w:pStyle w:val="Headingb"/>
      </w:pPr>
      <w:r w:rsidRPr="007A0425">
        <w:t>Introduction</w:t>
      </w:r>
    </w:p>
    <w:p w14:paraId="422027A0" w14:textId="7B61A41A" w:rsidR="00AF54A1" w:rsidRPr="007A0425" w:rsidRDefault="004E4178" w:rsidP="00EA0409">
      <w:r w:rsidRPr="007A0425">
        <w:t>Les</w:t>
      </w:r>
      <w:r w:rsidR="00D1381A" w:rsidRPr="007A0425">
        <w:t xml:space="preserve"> difficultés rencontrées et l</w:t>
      </w:r>
      <w:r w:rsidRPr="007A0425">
        <w:t xml:space="preserve">es incohérences constatées dans l'application de certaines dispositions étant recueillies et analysées dans la Partie 2 du Rapport du Directeur du Bureau des radiocommunications </w:t>
      </w:r>
      <w:r w:rsidR="00205041" w:rsidRPr="007A0425">
        <w:rPr>
          <w:lang w:eastAsia="zh-CN"/>
        </w:rPr>
        <w:t>(</w:t>
      </w:r>
      <w:hyperlink r:id="rId13">
        <w:r w:rsidR="00205041" w:rsidRPr="007A0425">
          <w:rPr>
            <w:rStyle w:val="Hyperlink"/>
            <w:lang w:eastAsia="zh-CN"/>
          </w:rPr>
          <w:t>Doc. 4</w:t>
        </w:r>
        <w:r w:rsidRPr="007A0425">
          <w:rPr>
            <w:rStyle w:val="Hyperlink"/>
            <w:lang w:eastAsia="zh-CN"/>
          </w:rPr>
          <w:t>,</w:t>
        </w:r>
        <w:r w:rsidR="00205041" w:rsidRPr="007A0425">
          <w:rPr>
            <w:rStyle w:val="Hyperlink"/>
            <w:lang w:eastAsia="zh-CN"/>
          </w:rPr>
          <w:t xml:space="preserve"> Add.2</w:t>
        </w:r>
      </w:hyperlink>
      <w:r w:rsidR="00205041" w:rsidRPr="007A0425">
        <w:rPr>
          <w:lang w:eastAsia="zh-CN"/>
        </w:rPr>
        <w:t xml:space="preserve">), nos vues et propositions concernant un certain nombre de </w:t>
      </w:r>
      <w:r w:rsidRPr="007A0425">
        <w:rPr>
          <w:lang w:eastAsia="zh-CN"/>
        </w:rPr>
        <w:t>questions</w:t>
      </w:r>
      <w:r w:rsidR="00205041" w:rsidRPr="007A0425">
        <w:rPr>
          <w:lang w:eastAsia="zh-CN"/>
        </w:rPr>
        <w:t xml:space="preserve"> sont ré</w:t>
      </w:r>
      <w:r w:rsidRPr="007A0425">
        <w:rPr>
          <w:lang w:eastAsia="zh-CN"/>
        </w:rPr>
        <w:t xml:space="preserve">sumées dans le présent document, qui porte </w:t>
      </w:r>
      <w:r w:rsidR="00205041" w:rsidRPr="007A0425">
        <w:rPr>
          <w:lang w:eastAsia="zh-CN"/>
        </w:rPr>
        <w:t>sur les résultats obtenus dans l'application des procédures prévues dans le Règlement des radiocommunications</w:t>
      </w:r>
      <w:r w:rsidR="0071381A" w:rsidRPr="007A0425">
        <w:rPr>
          <w:lang w:eastAsia="zh-CN"/>
        </w:rPr>
        <w:t xml:space="preserve"> au titre du</w:t>
      </w:r>
      <w:r w:rsidR="00EA0409" w:rsidRPr="007A0425">
        <w:rPr>
          <w:lang w:eastAsia="zh-CN"/>
        </w:rPr>
        <w:t xml:space="preserve"> </w:t>
      </w:r>
      <w:r w:rsidR="0071381A" w:rsidRPr="007A0425">
        <w:rPr>
          <w:lang w:eastAsia="zh-CN"/>
        </w:rPr>
        <w:t>§</w:t>
      </w:r>
      <w:r w:rsidR="00EA0409" w:rsidRPr="007A0425">
        <w:rPr>
          <w:lang w:eastAsia="zh-CN"/>
        </w:rPr>
        <w:t> </w:t>
      </w:r>
      <w:r w:rsidR="0071381A" w:rsidRPr="007A0425">
        <w:rPr>
          <w:lang w:eastAsia="zh-CN"/>
        </w:rPr>
        <w:t>3.2</w:t>
      </w:r>
      <w:r w:rsidR="00EA0409" w:rsidRPr="007A0425">
        <w:rPr>
          <w:lang w:eastAsia="zh-CN"/>
        </w:rPr>
        <w:t> </w:t>
      </w:r>
      <w:r w:rsidR="0071381A" w:rsidRPr="007A0425">
        <w:rPr>
          <w:lang w:eastAsia="zh-CN"/>
        </w:rPr>
        <w:t>–</w:t>
      </w:r>
      <w:r w:rsidR="00EA0409" w:rsidRPr="007A0425">
        <w:rPr>
          <w:lang w:eastAsia="zh-CN"/>
        </w:rPr>
        <w:t> </w:t>
      </w:r>
      <w:r w:rsidR="0071381A" w:rsidRPr="007A0425">
        <w:rPr>
          <w:lang w:eastAsia="zh-CN"/>
        </w:rPr>
        <w:t>Appendices du Règlement des radiocommunications</w:t>
      </w:r>
      <w:r w:rsidR="00AF54A1" w:rsidRPr="007A0425">
        <w:t>.</w:t>
      </w:r>
    </w:p>
    <w:p w14:paraId="25C8ABA2" w14:textId="769A692F" w:rsidR="00AF54A1" w:rsidRPr="007A0425" w:rsidRDefault="00AF54A1" w:rsidP="00EA0409">
      <w:pPr>
        <w:pStyle w:val="Headingb"/>
      </w:pPr>
      <w:r w:rsidRPr="007A0425">
        <w:t>Propositions</w:t>
      </w:r>
    </w:p>
    <w:p w14:paraId="648058F4" w14:textId="6BE16B42" w:rsidR="0015203F" w:rsidRPr="007A0425" w:rsidRDefault="0071381A" w:rsidP="00EA0409">
      <w:r w:rsidRPr="007A0425">
        <w:t xml:space="preserve">L'Administration de la République populaire de Chine présente ses vues et propositions concernant plusieurs </w:t>
      </w:r>
      <w:r w:rsidR="004E4178" w:rsidRPr="007A0425">
        <w:t>questions</w:t>
      </w:r>
      <w:r w:rsidR="00717B27" w:rsidRPr="007A0425">
        <w:t>,</w:t>
      </w:r>
      <w:r w:rsidRPr="007A0425">
        <w:t xml:space="preserve"> </w:t>
      </w:r>
      <w:r w:rsidR="004E4178" w:rsidRPr="007A0425">
        <w:t>pour examen complémentaire lors de la Conférence</w:t>
      </w:r>
      <w:r w:rsidR="00AF54A1" w:rsidRPr="007A0425">
        <w:t>.</w:t>
      </w:r>
      <w:r w:rsidR="0015203F" w:rsidRPr="007A0425">
        <w:br w:type="page"/>
      </w:r>
    </w:p>
    <w:p w14:paraId="28C19E5A" w14:textId="13634FA4" w:rsidR="003C5870" w:rsidRPr="007A0425" w:rsidRDefault="005A0F4C">
      <w:pPr>
        <w:pStyle w:val="Proposal"/>
      </w:pPr>
      <w:r w:rsidRPr="007A0425">
        <w:lastRenderedPageBreak/>
        <w:tab/>
        <w:t>CHN/111A25A4/1</w:t>
      </w:r>
    </w:p>
    <w:p w14:paraId="63F2FA6D" w14:textId="1AA14094" w:rsidR="00AF54A1" w:rsidRPr="007A0425" w:rsidRDefault="00AF54A1" w:rsidP="00AF54A1">
      <w:pPr>
        <w:pStyle w:val="Heading4"/>
      </w:pPr>
      <w:r w:rsidRPr="007A0425">
        <w:t>3.2.1.6</w:t>
      </w:r>
      <w:r w:rsidRPr="007A0425">
        <w:tab/>
      </w:r>
      <w:r w:rsidR="00B8718B" w:rsidRPr="007A0425">
        <w:t>Nouveaux paramètres relatifs au déclin de l'orbite</w:t>
      </w:r>
    </w:p>
    <w:p w14:paraId="480D0F59" w14:textId="1B752C5C" w:rsidR="00AF54A1" w:rsidRPr="007A0425" w:rsidRDefault="00B8718B" w:rsidP="00EA0409">
      <w:pPr>
        <w:pBdr>
          <w:top w:val="single" w:sz="4" w:space="1" w:color="auto"/>
          <w:left w:val="single" w:sz="4" w:space="4" w:color="auto"/>
          <w:bottom w:val="single" w:sz="4" w:space="1" w:color="auto"/>
          <w:right w:val="single" w:sz="4" w:space="4" w:color="auto"/>
        </w:pBdr>
      </w:pPr>
      <w:r w:rsidRPr="007A0425">
        <w:t xml:space="preserve">Certains satellites non géostationnaires (non OSG) restent actifs jusqu'à ce qu'ils reviennent dans l'atmosphère en raison du déclin naturel ou de </w:t>
      </w:r>
      <w:r w:rsidR="0076318F" w:rsidRPr="007A0425">
        <w:t>manœuvres de transfert sur une nouvelle orbite</w:t>
      </w:r>
      <w:r w:rsidRPr="007A0425">
        <w:t xml:space="preserve">. Le Bureau </w:t>
      </w:r>
      <w:r w:rsidR="009D72A5" w:rsidRPr="007A0425">
        <w:t>note</w:t>
      </w:r>
      <w:r w:rsidRPr="007A0425">
        <w:t xml:space="preserve"> </w:t>
      </w:r>
      <w:r w:rsidR="009D72A5" w:rsidRPr="007A0425">
        <w:t>qu'à l'heure actuelle,</w:t>
      </w:r>
      <w:r w:rsidRPr="007A0425">
        <w:t xml:space="preserve"> les paramètres de l'Appendice </w:t>
      </w:r>
      <w:r w:rsidRPr="007A0425">
        <w:rPr>
          <w:b/>
        </w:rPr>
        <w:t>4</w:t>
      </w:r>
      <w:r w:rsidRPr="007A0425">
        <w:t xml:space="preserve"> disponibles ne permettent pas aux administrations de </w:t>
      </w:r>
      <w:r w:rsidR="009D72A5" w:rsidRPr="007A0425">
        <w:t>rendre compte de manière détaillée du</w:t>
      </w:r>
      <w:r w:rsidRPr="007A0425">
        <w:t xml:space="preserve"> déclin de l'orbite dans une fiche de notification. Afin de </w:t>
      </w:r>
      <w:r w:rsidR="009D72A5" w:rsidRPr="007A0425">
        <w:t>rendre</w:t>
      </w:r>
      <w:r w:rsidRPr="007A0425">
        <w:t xml:space="preserve"> compte des </w:t>
      </w:r>
      <w:r w:rsidR="009D72A5" w:rsidRPr="007A0425">
        <w:t>changements d</w:t>
      </w:r>
      <w:r w:rsidRPr="007A0425">
        <w:t xml:space="preserve">'altitude de l'apogée et/ou du périgée, les administrations devraient </w:t>
      </w:r>
      <w:r w:rsidR="00DC19BF" w:rsidRPr="007A0425">
        <w:t>suivre</w:t>
      </w:r>
      <w:r w:rsidRPr="007A0425">
        <w:t xml:space="preserve"> la procédure </w:t>
      </w:r>
      <w:r w:rsidR="00DC19BF" w:rsidRPr="007A0425">
        <w:t>prescrite</w:t>
      </w:r>
      <w:r w:rsidRPr="007A0425">
        <w:t xml:space="preserve"> au numéro </w:t>
      </w:r>
      <w:r w:rsidRPr="007A0425">
        <w:rPr>
          <w:b/>
        </w:rPr>
        <w:t>11.43B</w:t>
      </w:r>
      <w:r w:rsidRPr="007A0425">
        <w:t xml:space="preserve">. Compte tenu des difficultés </w:t>
      </w:r>
      <w:r w:rsidR="00DC19BF" w:rsidRPr="007A0425">
        <w:t>liées à</w:t>
      </w:r>
      <w:r w:rsidRPr="007A0425">
        <w:t xml:space="preserve"> cette procédure, le Bureau </w:t>
      </w:r>
      <w:r w:rsidR="00DC19BF" w:rsidRPr="007A0425">
        <w:t xml:space="preserve">applique actuellement </w:t>
      </w:r>
      <w:r w:rsidRPr="007A0425">
        <w:t xml:space="preserve">la </w:t>
      </w:r>
      <w:r w:rsidR="00DC19BF" w:rsidRPr="007A0425">
        <w:t>pratique</w:t>
      </w:r>
      <w:r w:rsidRPr="007A0425">
        <w:t xml:space="preserve"> </w:t>
      </w:r>
      <w:r w:rsidR="00DC19BF" w:rsidRPr="007A0425">
        <w:t>ci-dessous dans le cadre des fiches de notification de ces systèmes</w:t>
      </w:r>
      <w:r w:rsidRPr="007A0425">
        <w:t>:</w:t>
      </w:r>
    </w:p>
    <w:p w14:paraId="1735DE45" w14:textId="334ECA14" w:rsidR="00AF54A1" w:rsidRPr="007A0425" w:rsidRDefault="00AF54A1" w:rsidP="00EA0409">
      <w:pPr>
        <w:pStyle w:val="enumlev1"/>
        <w:pBdr>
          <w:top w:val="single" w:sz="4" w:space="1" w:color="auto"/>
          <w:left w:val="single" w:sz="4" w:space="4" w:color="auto"/>
          <w:bottom w:val="single" w:sz="4" w:space="1" w:color="auto"/>
          <w:right w:val="single" w:sz="4" w:space="4" w:color="auto"/>
        </w:pBdr>
      </w:pPr>
      <w:r w:rsidRPr="007A0425">
        <w:t>a)</w:t>
      </w:r>
      <w:r w:rsidRPr="007A0425">
        <w:tab/>
      </w:r>
      <w:r w:rsidR="009B55E5" w:rsidRPr="007A0425">
        <w:t>les altitudes de l'apogée et du périgée de la station spatiale indiquent les paramètres orbitaux initiaux au moment de la mise en service;</w:t>
      </w:r>
    </w:p>
    <w:p w14:paraId="7A25CF17" w14:textId="710117BC" w:rsidR="00AF54A1" w:rsidRPr="007A0425" w:rsidRDefault="00AF54A1" w:rsidP="00EA0409">
      <w:pPr>
        <w:pStyle w:val="enumlev1"/>
        <w:pBdr>
          <w:top w:val="single" w:sz="4" w:space="1" w:color="auto"/>
          <w:left w:val="single" w:sz="4" w:space="4" w:color="auto"/>
          <w:bottom w:val="single" w:sz="4" w:space="1" w:color="auto"/>
          <w:right w:val="single" w:sz="4" w:space="4" w:color="auto"/>
        </w:pBdr>
        <w:rPr>
          <w:szCs w:val="24"/>
        </w:rPr>
      </w:pPr>
      <w:r w:rsidRPr="007A0425">
        <w:t>b)</w:t>
      </w:r>
      <w:r w:rsidRPr="007A0425">
        <w:tab/>
      </w:r>
      <w:r w:rsidR="009B55E5" w:rsidRPr="007A0425">
        <w:rPr>
          <w:color w:val="000000"/>
          <w:szCs w:val="24"/>
        </w:rPr>
        <w:t xml:space="preserve">l'altitude minimale de la station spatiale au-dessus de la surface de la Terre à laquelle n'importe quel satellite émet (élément A.4.b.4.f de l'Appendice </w:t>
      </w:r>
      <w:r w:rsidR="009B55E5" w:rsidRPr="007A0425">
        <w:rPr>
          <w:b/>
          <w:bCs/>
          <w:color w:val="000000"/>
          <w:szCs w:val="24"/>
        </w:rPr>
        <w:t>4</w:t>
      </w:r>
      <w:r w:rsidR="009B55E5" w:rsidRPr="007A0425">
        <w:rPr>
          <w:color w:val="000000"/>
          <w:szCs w:val="24"/>
        </w:rPr>
        <w:t>), indique l'altitude minimale à laquelle les satellites demeurent opérationnels tout au long de leur durée de vie;</w:t>
      </w:r>
    </w:p>
    <w:p w14:paraId="47055564" w14:textId="0FB3C163" w:rsidR="00AF54A1" w:rsidRPr="007A0425" w:rsidRDefault="00AF54A1" w:rsidP="00EA0409">
      <w:pPr>
        <w:pStyle w:val="enumlev1"/>
        <w:pBdr>
          <w:top w:val="single" w:sz="4" w:space="1" w:color="auto"/>
          <w:left w:val="single" w:sz="4" w:space="4" w:color="auto"/>
          <w:bottom w:val="single" w:sz="4" w:space="1" w:color="auto"/>
          <w:right w:val="single" w:sz="4" w:space="4" w:color="auto"/>
        </w:pBdr>
      </w:pPr>
      <w:r w:rsidRPr="007A0425">
        <w:t>c)</w:t>
      </w:r>
      <w:r w:rsidRPr="007A0425">
        <w:tab/>
      </w:r>
      <w:r w:rsidR="009B55E5" w:rsidRPr="007A0425">
        <w:t>un tel réseau à satellite est protégé sur la base des paramètres orbitaux initiaux (l'apogée et le périgée, qui peuvent ne pas comprendre l'altitude minimale) et, par conséquent, des engagements selon lesquels le réseau à satellite ne causera pas plus de brouillages et ne demandera pas une protection plus grande par rapport aux paramètres orbitaux initia</w:t>
      </w:r>
      <w:r w:rsidR="00DC19BF" w:rsidRPr="007A0425">
        <w:t xml:space="preserve">ux devraient être fournis par les </w:t>
      </w:r>
      <w:r w:rsidR="009B55E5" w:rsidRPr="007A0425">
        <w:t>administration</w:t>
      </w:r>
      <w:r w:rsidR="00DC19BF" w:rsidRPr="007A0425">
        <w:t>s</w:t>
      </w:r>
      <w:r w:rsidR="009B55E5" w:rsidRPr="007A0425">
        <w:t>;</w:t>
      </w:r>
    </w:p>
    <w:p w14:paraId="58847A76" w14:textId="0872EC6C" w:rsidR="00AF54A1" w:rsidRPr="007A0425" w:rsidRDefault="00AF54A1" w:rsidP="00EA0409">
      <w:pPr>
        <w:pStyle w:val="enumlev1"/>
        <w:pBdr>
          <w:top w:val="single" w:sz="4" w:space="1" w:color="auto"/>
          <w:left w:val="single" w:sz="4" w:space="4" w:color="auto"/>
          <w:bottom w:val="single" w:sz="4" w:space="1" w:color="auto"/>
          <w:right w:val="single" w:sz="4" w:space="4" w:color="auto"/>
        </w:pBdr>
      </w:pPr>
      <w:r w:rsidRPr="007A0425">
        <w:t>d)</w:t>
      </w:r>
      <w:r w:rsidRPr="007A0425">
        <w:tab/>
      </w:r>
      <w:r w:rsidR="009B55E5" w:rsidRPr="007A0425">
        <w:t xml:space="preserve">l'examen, par exemple au titre du numéro </w:t>
      </w:r>
      <w:r w:rsidR="009B55E5" w:rsidRPr="007A0425">
        <w:rPr>
          <w:b/>
          <w:bCs/>
        </w:rPr>
        <w:t>21.16</w:t>
      </w:r>
      <w:r w:rsidR="009B55E5" w:rsidRPr="007A0425">
        <w:t>, devrait être effectué sur la base du cas le plus défavorable à toutes les altitudes orbitales entre l'altitude initiale et l'altitude minimale.</w:t>
      </w:r>
    </w:p>
    <w:p w14:paraId="3BE4A84D" w14:textId="62465315" w:rsidR="009B55E5" w:rsidRPr="007A0425" w:rsidRDefault="00B8718B" w:rsidP="00EA0409">
      <w:pPr>
        <w:pBdr>
          <w:top w:val="single" w:sz="4" w:space="1" w:color="auto"/>
          <w:left w:val="single" w:sz="4" w:space="4" w:color="auto"/>
          <w:bottom w:val="single" w:sz="4" w:space="1" w:color="auto"/>
          <w:right w:val="single" w:sz="4" w:space="4" w:color="auto"/>
        </w:pBdr>
      </w:pPr>
      <w:r w:rsidRPr="007A0425">
        <w:t xml:space="preserve">Afin de mieux </w:t>
      </w:r>
      <w:r w:rsidR="00DC19BF" w:rsidRPr="007A0425">
        <w:t>représenter</w:t>
      </w:r>
      <w:r w:rsidRPr="007A0425">
        <w:t xml:space="preserve"> ces systèmes dans le cadre </w:t>
      </w:r>
      <w:r w:rsidR="00DC19BF" w:rsidRPr="007A0425">
        <w:t>de la</w:t>
      </w:r>
      <w:r w:rsidRPr="007A0425">
        <w:t xml:space="preserve"> coordination et de </w:t>
      </w:r>
      <w:r w:rsidR="00DC19BF" w:rsidRPr="007A0425">
        <w:t xml:space="preserve">la </w:t>
      </w:r>
      <w:r w:rsidRPr="007A0425">
        <w:t>notification en vue de l'inscription des fiches de notification de réseau</w:t>
      </w:r>
      <w:r w:rsidR="00DC19BF" w:rsidRPr="007A0425">
        <w:t>x</w:t>
      </w:r>
      <w:r w:rsidRPr="007A0425">
        <w:t xml:space="preserve"> à</w:t>
      </w:r>
      <w:r w:rsidR="00DC19BF" w:rsidRPr="007A0425">
        <w:t xml:space="preserve"> satellite soumises à l'UIT et </w:t>
      </w:r>
      <w:r w:rsidRPr="007A0425">
        <w:t xml:space="preserve">d'aider le Bureau </w:t>
      </w:r>
      <w:r w:rsidR="00DC19BF" w:rsidRPr="007A0425">
        <w:t>dans le cadre de</w:t>
      </w:r>
      <w:r w:rsidR="00D71572" w:rsidRPr="007A0425">
        <w:t xml:space="preserve"> la vérification de la mise en service et de l'utilisation continue de ces réseaux à satellite, le Bureau invite la Conférence à </w:t>
      </w:r>
      <w:r w:rsidR="00DC19BF" w:rsidRPr="007A0425">
        <w:t>envisager d'ajouter les</w:t>
      </w:r>
      <w:r w:rsidR="00D71572" w:rsidRPr="007A0425">
        <w:t xml:space="preserve"> éléments de données </w:t>
      </w:r>
      <w:r w:rsidR="00DC19BF" w:rsidRPr="007A0425">
        <w:t>ci-après dans</w:t>
      </w:r>
      <w:r w:rsidR="00D71572" w:rsidRPr="007A0425">
        <w:t xml:space="preserve"> l'Annexe 2 de l'Appendice </w:t>
      </w:r>
      <w:r w:rsidR="00D71572" w:rsidRPr="007A0425">
        <w:rPr>
          <w:b/>
        </w:rPr>
        <w:t>4</w:t>
      </w:r>
      <w:r w:rsidR="009B55E5" w:rsidRPr="007A0425">
        <w:t>:</w:t>
      </w:r>
    </w:p>
    <w:p w14:paraId="07770CFD" w14:textId="202AE7E5" w:rsidR="009B55E5" w:rsidRPr="007A0425" w:rsidRDefault="009B55E5" w:rsidP="00EA0409">
      <w:pPr>
        <w:pStyle w:val="enumlev1"/>
        <w:pBdr>
          <w:top w:val="single" w:sz="4" w:space="1" w:color="auto"/>
          <w:left w:val="single" w:sz="4" w:space="4" w:color="auto"/>
          <w:bottom w:val="single" w:sz="4" w:space="1" w:color="auto"/>
          <w:right w:val="single" w:sz="4" w:space="4" w:color="auto"/>
        </w:pBdr>
      </w:pPr>
      <w:r w:rsidRPr="007A0425">
        <w:t>i)</w:t>
      </w:r>
      <w:r w:rsidRPr="007A0425">
        <w:tab/>
        <w:t xml:space="preserve">un nouvel élément de données intitulé «un indicateur </w:t>
      </w:r>
      <w:r w:rsidR="0070219D" w:rsidRPr="007A0425">
        <w:t xml:space="preserve">[Y/N] </w:t>
      </w:r>
      <w:r w:rsidRPr="007A0425">
        <w:t>montrant si la station spatiale utilise le maintien en position pour conserver les altitudes de l'apogée et du périgée», requis pour chaque plan orbital d'un réseau à satellite non géostationnaire ou d'un système à satellites non géostationnaires avec un corps de référence qui est la Terre;</w:t>
      </w:r>
      <w:r w:rsidR="001B656F" w:rsidRPr="007A0425">
        <w:t xml:space="preserve"> et</w:t>
      </w:r>
    </w:p>
    <w:p w14:paraId="677A8A49" w14:textId="5C3E8112" w:rsidR="009B55E5" w:rsidRPr="007A0425" w:rsidRDefault="009B55E5" w:rsidP="00EA0409">
      <w:pPr>
        <w:pStyle w:val="enumlev1"/>
        <w:pBdr>
          <w:top w:val="single" w:sz="4" w:space="1" w:color="auto"/>
          <w:left w:val="single" w:sz="4" w:space="4" w:color="auto"/>
          <w:bottom w:val="single" w:sz="4" w:space="1" w:color="auto"/>
          <w:right w:val="single" w:sz="4" w:space="4" w:color="auto"/>
        </w:pBdr>
      </w:pPr>
      <w:r w:rsidRPr="007A0425">
        <w:t>ii)</w:t>
      </w:r>
      <w:r w:rsidRPr="007A0425">
        <w:tab/>
        <w:t>un nouvel élément de données intitulé «</w:t>
      </w:r>
      <w:r w:rsidRPr="007A0425">
        <w:rPr>
          <w:b/>
          <w:bCs/>
        </w:rPr>
        <w:t>les altitudes de l'apogée et du périgée (km) en fonction du temps (jours) à compter de la date de mise en service pour tous les plans orbitaux présentant des caractéristiques orbitales différentes</w:t>
      </w:r>
      <w:r w:rsidRPr="007A0425">
        <w:t xml:space="preserve">», requis pour les réseaux à satellite </w:t>
      </w:r>
      <w:r w:rsidR="00DC19BF" w:rsidRPr="007A0425">
        <w:t xml:space="preserve">non </w:t>
      </w:r>
      <w:r w:rsidRPr="007A0425">
        <w:t>géostationnaire pour lesquels l'indicateur susmentionné est «N».</w:t>
      </w:r>
    </w:p>
    <w:p w14:paraId="2119049A" w14:textId="73C30CFB" w:rsidR="009B55E5" w:rsidRPr="007A0425" w:rsidRDefault="00DC19BF" w:rsidP="00EA0409">
      <w:r w:rsidRPr="007A0425">
        <w:rPr>
          <w:b/>
        </w:rPr>
        <w:t>Vues</w:t>
      </w:r>
      <w:r w:rsidR="0070219D" w:rsidRPr="007A0425">
        <w:rPr>
          <w:b/>
        </w:rPr>
        <w:t xml:space="preserve"> et propositions:</w:t>
      </w:r>
      <w:r w:rsidR="0070219D" w:rsidRPr="007A0425">
        <w:rPr>
          <w:bCs/>
        </w:rPr>
        <w:t xml:space="preserve"> </w:t>
      </w:r>
      <w:r w:rsidR="0070219D" w:rsidRPr="007A0425">
        <w:t xml:space="preserve">L'Administration de la République populaire de Chine </w:t>
      </w:r>
      <w:r w:rsidR="004261B7" w:rsidRPr="007A0425">
        <w:t>appuie</w:t>
      </w:r>
      <w:r w:rsidR="0070219D" w:rsidRPr="007A0425">
        <w:t xml:space="preserve"> la proposition d'adjonction des deu</w:t>
      </w:r>
      <w:r w:rsidRPr="007A0425">
        <w:t>x nouveaux éléments de données dans</w:t>
      </w:r>
      <w:r w:rsidR="0070219D" w:rsidRPr="007A0425">
        <w:t xml:space="preserve"> l'Annexe 2 de l'Appendice </w:t>
      </w:r>
      <w:r w:rsidR="0070219D" w:rsidRPr="007A0425">
        <w:rPr>
          <w:b/>
        </w:rPr>
        <w:t>4</w:t>
      </w:r>
      <w:r w:rsidR="0070219D" w:rsidRPr="007A0425">
        <w:t xml:space="preserve"> du RR, subordonnée à l'approbation de la proposition précédente.</w:t>
      </w:r>
    </w:p>
    <w:p w14:paraId="41770A14" w14:textId="42AD892B" w:rsidR="009B55E5" w:rsidRPr="007A0425" w:rsidRDefault="009B55E5" w:rsidP="00EA0409">
      <w:pPr>
        <w:pStyle w:val="Reasons"/>
      </w:pPr>
      <w:r w:rsidRPr="007A0425">
        <w:rPr>
          <w:b/>
          <w:bCs/>
        </w:rPr>
        <w:t>Motifs:</w:t>
      </w:r>
      <w:r w:rsidRPr="007A0425">
        <w:tab/>
      </w:r>
      <w:r w:rsidR="0070219D" w:rsidRPr="007A0425">
        <w:t xml:space="preserve">L'Administration de la République populaire de Chine estime que les données relatives au déclin de l'orbite doivent faire l'objet d'une vérification, afin de s'assurer qu'elles </w:t>
      </w:r>
      <w:r w:rsidR="00DC19BF" w:rsidRPr="007A0425">
        <w:t>soient alignées sur</w:t>
      </w:r>
      <w:r w:rsidR="0070219D" w:rsidRPr="007A0425">
        <w:t xml:space="preserve"> la durée de vie prévue de la station spatiale.</w:t>
      </w:r>
    </w:p>
    <w:p w14:paraId="695B8D54" w14:textId="2F8BCBDF" w:rsidR="003C5870" w:rsidRPr="007A0425" w:rsidRDefault="005A0F4C">
      <w:pPr>
        <w:pStyle w:val="Proposal"/>
      </w:pPr>
      <w:r w:rsidRPr="007A0425">
        <w:lastRenderedPageBreak/>
        <w:tab/>
        <w:t>CHN/111A25A4/2</w:t>
      </w:r>
    </w:p>
    <w:p w14:paraId="3F5CDDED" w14:textId="7E53A8C0" w:rsidR="003C5870" w:rsidRPr="007A0425" w:rsidRDefault="005A0F4C" w:rsidP="005A0F4C">
      <w:pPr>
        <w:pStyle w:val="Heading4"/>
      </w:pPr>
      <w:r w:rsidRPr="007A0425">
        <w:t>3.2.1.11</w:t>
      </w:r>
      <w:r w:rsidRPr="007A0425">
        <w:tab/>
      </w:r>
      <w:r w:rsidR="007001E1" w:rsidRPr="007A0425">
        <w:t>Faisceaux orientables</w:t>
      </w:r>
    </w:p>
    <w:p w14:paraId="6B54E1DB" w14:textId="53FE5F1A" w:rsidR="005A0F4C" w:rsidRPr="007A0425" w:rsidRDefault="005A0F4C" w:rsidP="00EA0409">
      <w:pPr>
        <w:pBdr>
          <w:top w:val="single" w:sz="4" w:space="1" w:color="auto"/>
          <w:left w:val="single" w:sz="4" w:space="4" w:color="auto"/>
          <w:bottom w:val="single" w:sz="4" w:space="1" w:color="auto"/>
          <w:right w:val="single" w:sz="4" w:space="4" w:color="auto"/>
        </w:pBdr>
      </w:pPr>
      <w:r w:rsidRPr="007A0425">
        <w:t xml:space="preserve">Le Bureau note que, pour les faisceaux orientables, lorsque l'antenne du satellite peut être orientée en direction de tout point à l'intérieur de la zone de service, les administrations soumettent normalement pour cet élément de données, une note indiquant soit que ce diagramme ne peut pas être fourni, soit que le gain sera constant et égal au gain maximal (élément de données B.3.a.1 de l'Appendice </w:t>
      </w:r>
      <w:r w:rsidRPr="007A0425">
        <w:rPr>
          <w:b/>
          <w:bCs/>
        </w:rPr>
        <w:t>4</w:t>
      </w:r>
      <w:r w:rsidRPr="007A0425">
        <w:t>) pour tout angle d'élévation (ou soumettent ce diagramme avec un gain constant).</w:t>
      </w:r>
    </w:p>
    <w:p w14:paraId="609348F4" w14:textId="31D864D7" w:rsidR="005A0F4C" w:rsidRPr="007A0425" w:rsidRDefault="005A0F4C" w:rsidP="00EA0409">
      <w:pPr>
        <w:pBdr>
          <w:top w:val="single" w:sz="4" w:space="1" w:color="auto"/>
          <w:left w:val="single" w:sz="4" w:space="4" w:color="auto"/>
          <w:bottom w:val="single" w:sz="4" w:space="1" w:color="auto"/>
          <w:right w:val="single" w:sz="4" w:space="4" w:color="auto"/>
        </w:pBdr>
      </w:pPr>
      <w:r w:rsidRPr="007A0425">
        <w:t xml:space="preserve">En raison des difficultés liées à l'interprétation de ces renseignements, actuellement, le Bureau n'utilise généralement pas les renseignements indiqués dans l'élément de données B.4.b.2 pour l'examen au titre de l'Article </w:t>
      </w:r>
      <w:r w:rsidRPr="007A0425">
        <w:rPr>
          <w:b/>
          <w:bCs/>
        </w:rPr>
        <w:t>21</w:t>
      </w:r>
      <w:r w:rsidRPr="007A0425">
        <w:t xml:space="preserve"> du RR ou d'autres dispositions du Règlement des radiocommunications.</w:t>
      </w:r>
    </w:p>
    <w:p w14:paraId="55A14979" w14:textId="7CD7BF0F" w:rsidR="005A0F4C" w:rsidRPr="007A0425" w:rsidRDefault="004E5B03" w:rsidP="00EA0409">
      <w:pPr>
        <w:pBdr>
          <w:top w:val="single" w:sz="4" w:space="1" w:color="auto"/>
          <w:left w:val="single" w:sz="4" w:space="4" w:color="auto"/>
          <w:bottom w:val="single" w:sz="4" w:space="1" w:color="auto"/>
          <w:right w:val="single" w:sz="4" w:space="4" w:color="auto"/>
        </w:pBdr>
      </w:pPr>
      <w:r w:rsidRPr="007A0425">
        <w:t xml:space="preserve">Cependant, le Bureau envisage d'introduire un élément </w:t>
      </w:r>
      <w:r w:rsidR="002331DE" w:rsidRPr="007A0425">
        <w:t>supplémentaire</w:t>
      </w:r>
      <w:r w:rsidRPr="007A0425">
        <w:t xml:space="preserve"> qui </w:t>
      </w:r>
      <w:r w:rsidR="002331DE" w:rsidRPr="007A0425">
        <w:t>permettrait d'indiquer</w:t>
      </w:r>
      <w:r w:rsidRPr="007A0425">
        <w:t xml:space="preserve"> le gain maximal </w:t>
      </w:r>
      <w:r w:rsidR="002331DE" w:rsidRPr="007A0425">
        <w:t>en fonction de l'angle d'</w:t>
      </w:r>
      <w:r w:rsidRPr="007A0425">
        <w:t>élévation pour les faisceaux orientables utilisant des antennes-réseaux à commande de phase ou des faisceaux orientés de manière électronique</w:t>
      </w:r>
      <w:r w:rsidR="005A0F4C" w:rsidRPr="007A0425">
        <w:t>.</w:t>
      </w:r>
      <w:r w:rsidRPr="007A0425">
        <w:t xml:space="preserve"> </w:t>
      </w:r>
      <w:r w:rsidR="0036145F" w:rsidRPr="007A0425">
        <w:t>En outre</w:t>
      </w:r>
      <w:r w:rsidRPr="007A0425">
        <w:t xml:space="preserve">, le Bureau estime que ces données ne devraient pas être limitées aux seules stations spatiales non OSG qui sont soumises conformément aux numéros </w:t>
      </w:r>
      <w:r w:rsidRPr="007A0425">
        <w:rPr>
          <w:b/>
        </w:rPr>
        <w:t>9.11A</w:t>
      </w:r>
      <w:r w:rsidRPr="007A0425">
        <w:t xml:space="preserve">, </w:t>
      </w:r>
      <w:r w:rsidRPr="007A0425">
        <w:rPr>
          <w:b/>
        </w:rPr>
        <w:t>9.12</w:t>
      </w:r>
      <w:r w:rsidRPr="007A0425">
        <w:t xml:space="preserve"> ou </w:t>
      </w:r>
      <w:r w:rsidRPr="007A0425">
        <w:rPr>
          <w:b/>
        </w:rPr>
        <w:t>9.12A</w:t>
      </w:r>
      <w:r w:rsidRPr="007A0425">
        <w:t>.</w:t>
      </w:r>
    </w:p>
    <w:p w14:paraId="13283C47" w14:textId="22D6A8FB" w:rsidR="005A0F4C" w:rsidRPr="007A0425" w:rsidRDefault="004E5B03" w:rsidP="00EA0409">
      <w:pPr>
        <w:pBdr>
          <w:top w:val="single" w:sz="4" w:space="1" w:color="auto"/>
          <w:left w:val="single" w:sz="4" w:space="4" w:color="auto"/>
          <w:bottom w:val="single" w:sz="4" w:space="1" w:color="auto"/>
          <w:right w:val="single" w:sz="4" w:space="4" w:color="auto"/>
        </w:pBdr>
      </w:pPr>
      <w:r w:rsidRPr="007A0425">
        <w:t xml:space="preserve">Le Bureau invite la Conférence à </w:t>
      </w:r>
      <w:r w:rsidR="0036145F" w:rsidRPr="007A0425">
        <w:t>examiner</w:t>
      </w:r>
      <w:r w:rsidR="005A0F4C" w:rsidRPr="007A0425">
        <w:t>:</w:t>
      </w:r>
    </w:p>
    <w:p w14:paraId="4757622F" w14:textId="28201B05" w:rsidR="005A0F4C" w:rsidRPr="007A0425" w:rsidRDefault="005A0F4C" w:rsidP="00EA0409">
      <w:pPr>
        <w:pStyle w:val="enumlev1"/>
        <w:pBdr>
          <w:top w:val="single" w:sz="4" w:space="1" w:color="auto"/>
          <w:left w:val="single" w:sz="4" w:space="4" w:color="auto"/>
          <w:bottom w:val="single" w:sz="4" w:space="1" w:color="auto"/>
          <w:right w:val="single" w:sz="4" w:space="4" w:color="auto"/>
        </w:pBdr>
      </w:pPr>
      <w:r w:rsidRPr="007A0425">
        <w:t>1)</w:t>
      </w:r>
      <w:r w:rsidRPr="007A0425">
        <w:tab/>
      </w:r>
      <w:r w:rsidR="0036145F" w:rsidRPr="007A0425">
        <w:t>les modifications proposées</w:t>
      </w:r>
      <w:r w:rsidR="001B141C" w:rsidRPr="007A0425">
        <w:t xml:space="preserve"> </w:t>
      </w:r>
      <w:r w:rsidR="0036145F" w:rsidRPr="007A0425">
        <w:t>concernant</w:t>
      </w:r>
      <w:r w:rsidR="004E5B03" w:rsidRPr="007A0425">
        <w:t xml:space="preserve"> l'élément B.4.b.2 de l'Appendice </w:t>
      </w:r>
      <w:r w:rsidR="004E5B03" w:rsidRPr="007A0425">
        <w:rPr>
          <w:b/>
        </w:rPr>
        <w:t>4</w:t>
      </w:r>
      <w:r w:rsidR="00D35F90" w:rsidRPr="007A0425">
        <w:t>;</w:t>
      </w:r>
      <w:r w:rsidR="004E5B03" w:rsidRPr="007A0425">
        <w:t xml:space="preserve"> ou</w:t>
      </w:r>
    </w:p>
    <w:p w14:paraId="40018822" w14:textId="4AD20DD3" w:rsidR="005A0F4C" w:rsidRPr="007A0425" w:rsidRDefault="005A0F4C" w:rsidP="00D35F90">
      <w:pPr>
        <w:pStyle w:val="enumlev1"/>
        <w:pBdr>
          <w:top w:val="single" w:sz="4" w:space="1" w:color="auto"/>
          <w:left w:val="single" w:sz="4" w:space="4" w:color="auto"/>
          <w:bottom w:val="single" w:sz="4" w:space="1" w:color="auto"/>
          <w:right w:val="single" w:sz="4" w:space="4" w:color="auto"/>
        </w:pBdr>
        <w:spacing w:after="120"/>
      </w:pPr>
      <w:r w:rsidRPr="007A0425">
        <w:t>2)</w:t>
      </w:r>
      <w:r w:rsidRPr="007A0425">
        <w:tab/>
      </w:r>
      <w:r w:rsidR="0036145F" w:rsidRPr="007A0425">
        <w:t>la suppression de</w:t>
      </w:r>
      <w:r w:rsidR="001B141C" w:rsidRPr="007A0425">
        <w:t xml:space="preserve"> l'élément B.4.b.2</w:t>
      </w:r>
      <w:r w:rsidRPr="007A0425">
        <w:t>.</w:t>
      </w:r>
    </w:p>
    <w:p w14:paraId="7DC1AB56" w14:textId="3354D192" w:rsidR="005A0F4C" w:rsidRPr="007A0425" w:rsidRDefault="00B75756" w:rsidP="00EA0409">
      <w:r w:rsidRPr="007A0425">
        <w:rPr>
          <w:b/>
        </w:rPr>
        <w:t>Vues et propositions</w:t>
      </w:r>
      <w:r w:rsidRPr="007A0425">
        <w:rPr>
          <w:b/>
          <w:bCs/>
        </w:rPr>
        <w:t>:</w:t>
      </w:r>
      <w:r w:rsidRPr="007A0425">
        <w:t xml:space="preserve"> L'Administration de la République populaire de Chine appuie l'adjonction par le Bureau d'un élément </w:t>
      </w:r>
      <w:r w:rsidR="007001E1" w:rsidRPr="007A0425">
        <w:t>donnant des indications détaillées sur</w:t>
      </w:r>
      <w:r w:rsidRPr="007A0425">
        <w:t xml:space="preserve"> le gain maximal </w:t>
      </w:r>
      <w:r w:rsidR="007001E1" w:rsidRPr="007A0425">
        <w:t>en fonction de l'angle d'élévation</w:t>
      </w:r>
      <w:r w:rsidRPr="007A0425">
        <w:t xml:space="preserve"> pour les antennes-réseaux à commande de phase ou les faisceaux orientés de manière électronique, et la suppression de l'élément B.4.b.2.</w:t>
      </w:r>
    </w:p>
    <w:p w14:paraId="1C663AA3" w14:textId="384DA5AC" w:rsidR="005A0F4C" w:rsidRPr="007A0425" w:rsidRDefault="005A0F4C" w:rsidP="00EA0409">
      <w:pPr>
        <w:pStyle w:val="Reasons"/>
      </w:pPr>
      <w:r w:rsidRPr="007A0425">
        <w:rPr>
          <w:b/>
          <w:bCs/>
        </w:rPr>
        <w:t>Motifs:</w:t>
      </w:r>
      <w:r w:rsidRPr="007A0425">
        <w:tab/>
      </w:r>
      <w:r w:rsidR="007001E1" w:rsidRPr="007A0425">
        <w:t>En ce qui concerne</w:t>
      </w:r>
      <w:r w:rsidR="007B5C2D" w:rsidRPr="007A0425">
        <w:t xml:space="preserve"> les antennes-réseaux à commande de phase, </w:t>
      </w:r>
      <w:r w:rsidR="007001E1" w:rsidRPr="007A0425">
        <w:t>le gain varie indépendamment de l'angle d'élévation</w:t>
      </w:r>
      <w:r w:rsidRPr="007A0425">
        <w:t>.</w:t>
      </w:r>
      <w:r w:rsidR="007B5C2D" w:rsidRPr="007A0425">
        <w:t xml:space="preserve"> Par conséquent, un nouveau paramètre est nécessaire pour décrire les caractéristiques ci-dessus,</w:t>
      </w:r>
      <w:r w:rsidR="00D17430" w:rsidRPr="007A0425">
        <w:t xml:space="preserve"> de sorte que </w:t>
      </w:r>
      <w:r w:rsidR="00B1270C" w:rsidRPr="007A0425">
        <w:t xml:space="preserve">l'on puisse utiliser la courbe de l'angle d'élévation et du gain maximal dans le cadre de l'évaluation au titre </w:t>
      </w:r>
      <w:r w:rsidR="00D17430" w:rsidRPr="007A0425">
        <w:t xml:space="preserve">de l'Article </w:t>
      </w:r>
      <w:r w:rsidR="00D17430" w:rsidRPr="007A0425">
        <w:rPr>
          <w:b/>
          <w:bCs/>
        </w:rPr>
        <w:t>21</w:t>
      </w:r>
      <w:r w:rsidR="00D17430" w:rsidRPr="007A0425">
        <w:t xml:space="preserve"> du </w:t>
      </w:r>
      <w:r w:rsidR="00D17430" w:rsidRPr="007A0425">
        <w:rPr>
          <w:bCs/>
        </w:rPr>
        <w:t>RR</w:t>
      </w:r>
      <w:r w:rsidR="007B5C2D" w:rsidRPr="007A0425">
        <w:t>.</w:t>
      </w:r>
    </w:p>
    <w:p w14:paraId="18E447AC" w14:textId="77777777" w:rsidR="005A0F4C" w:rsidRPr="007A0425" w:rsidRDefault="005A0F4C" w:rsidP="00EA0409">
      <w:pPr>
        <w:jc w:val="center"/>
      </w:pPr>
      <w:r w:rsidRPr="007A0425">
        <w:t>______________</w:t>
      </w:r>
    </w:p>
    <w:sectPr w:rsidR="005A0F4C" w:rsidRPr="007A0425">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33630" w14:textId="77777777" w:rsidR="00CB685A" w:rsidRDefault="00CB685A">
      <w:r>
        <w:separator/>
      </w:r>
    </w:p>
  </w:endnote>
  <w:endnote w:type="continuationSeparator" w:id="0">
    <w:p w14:paraId="6E8D1CE7"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D9E7" w14:textId="08E57DE1"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D35F90">
      <w:rPr>
        <w:noProof/>
      </w:rPr>
      <w:t>16.11.23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ACC0" w14:textId="7376768E"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EA0409">
      <w:rPr>
        <w:lang w:val="en-US"/>
      </w:rPr>
      <w:t>P:\FRA\ITU-R\CONF-R\CMR23\100\111ADD25ADD04F.docx</w:t>
    </w:r>
    <w:r>
      <w:fldChar w:fldCharType="end"/>
    </w:r>
    <w:r w:rsidR="009B55E5" w:rsidRPr="00205041">
      <w:rPr>
        <w:lang w:val="en-US"/>
      </w:rPr>
      <w:t xml:space="preserve"> (530545)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49CE" w14:textId="5CDCB304"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EA0409">
      <w:rPr>
        <w:lang w:val="en-US"/>
      </w:rPr>
      <w:t>P:\FRA\ITU-R\CONF-R\CMR23\100\111ADD25ADD04F.docx</w:t>
    </w:r>
    <w:r>
      <w:fldChar w:fldCharType="end"/>
    </w:r>
    <w:r w:rsidR="00AF54A1" w:rsidRPr="00205041">
      <w:rPr>
        <w:lang w:val="en-US"/>
      </w:rPr>
      <w:t xml:space="preserve"> (530545)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EA440" w14:textId="77777777" w:rsidR="00CB685A" w:rsidRDefault="00CB685A">
      <w:r>
        <w:rPr>
          <w:b/>
        </w:rPr>
        <w:t>_______________</w:t>
      </w:r>
    </w:p>
  </w:footnote>
  <w:footnote w:type="continuationSeparator" w:id="0">
    <w:p w14:paraId="1D757540" w14:textId="77777777" w:rsidR="00CB685A" w:rsidRDefault="00CB685A">
      <w:r>
        <w:continuationSeparator/>
      </w:r>
    </w:p>
  </w:footnote>
  <w:footnote w:id="1">
    <w:p w14:paraId="66EDBE5B" w14:textId="77777777" w:rsidR="007A0425" w:rsidRPr="00815FAF" w:rsidRDefault="005A0F4C" w:rsidP="00485985">
      <w:pPr>
        <w:pStyle w:val="FootnoteText"/>
        <w:rPr>
          <w:lang w:val="fr-CH"/>
        </w:rPr>
      </w:pPr>
      <w:r>
        <w:rPr>
          <w:rStyle w:val="FootnoteReference"/>
        </w:rPr>
        <w:t>1</w:t>
      </w:r>
      <w:r>
        <w:tab/>
      </w:r>
      <w:r w:rsidRPr="00D20FD5">
        <w:rPr>
          <w:lang w:val="fr-CH"/>
        </w:rPr>
        <w:t xml:space="preserve">Ce </w:t>
      </w:r>
      <w:r>
        <w:rPr>
          <w:lang w:val="fr-CH"/>
        </w:rPr>
        <w:t>sous-</w:t>
      </w:r>
      <w:r w:rsidRPr="00D20FD5">
        <w:rPr>
          <w:lang w:val="fr-CH"/>
        </w:rPr>
        <w:t>point de l</w:t>
      </w:r>
      <w:r>
        <w:rPr>
          <w:lang w:val="fr-CH"/>
        </w:rPr>
        <w:t>'</w:t>
      </w:r>
      <w:r w:rsidRPr="00D20FD5">
        <w:rPr>
          <w:lang w:val="fr-CH"/>
        </w:rPr>
        <w:t xml:space="preserve">ordre du jour ne concerne que le </w:t>
      </w:r>
      <w:r>
        <w:rPr>
          <w:lang w:val="fr-CH"/>
        </w:rPr>
        <w:t>r</w:t>
      </w:r>
      <w:r w:rsidRPr="00D20FD5">
        <w:rPr>
          <w:lang w:val="fr-CH"/>
        </w:rPr>
        <w:t>apport du Directeur sur les difficultés rencontrées ou les incohérences constatées dans l</w:t>
      </w:r>
      <w:r>
        <w:rPr>
          <w:lang w:val="fr-CH"/>
        </w:rPr>
        <w:t>'</w:t>
      </w:r>
      <w:r w:rsidRPr="00D20FD5">
        <w:rPr>
          <w:lang w:val="fr-CH"/>
        </w:rPr>
        <w:t>application du Règlement des radiocommunications et les observations formulées par les administrations.</w:t>
      </w:r>
      <w:r>
        <w:rPr>
          <w:lang w:val="fr-CH"/>
        </w:rPr>
        <w:t xml:space="preserve"> </w:t>
      </w:r>
      <w:r w:rsidRPr="00815FAF">
        <w:rPr>
          <w:lang w:val="fr-CH"/>
        </w:rPr>
        <w:t xml:space="preserve">Les administrations sont </w:t>
      </w:r>
      <w:r>
        <w:rPr>
          <w:lang w:val="fr-CH"/>
        </w:rPr>
        <w:t>invité</w:t>
      </w:r>
      <w:r w:rsidRPr="00815FAF">
        <w:rPr>
          <w:lang w:val="fr-CH"/>
        </w:rPr>
        <w:t xml:space="preserve">es à informer le Directeur du Bureau </w:t>
      </w:r>
      <w:r>
        <w:rPr>
          <w:lang w:val="fr-CH"/>
        </w:rPr>
        <w:t>des r</w:t>
      </w:r>
      <w:r w:rsidRPr="00815FAF">
        <w:rPr>
          <w:lang w:val="fr-CH"/>
        </w:rPr>
        <w:t>adiocommunication</w:t>
      </w:r>
      <w:r>
        <w:rPr>
          <w:lang w:val="fr-CH"/>
        </w:rPr>
        <w:t>s</w:t>
      </w:r>
      <w:r w:rsidRPr="00815FAF">
        <w:rPr>
          <w:lang w:val="fr-CH"/>
        </w:rPr>
        <w:t xml:space="preserve"> </w:t>
      </w:r>
      <w:r>
        <w:rPr>
          <w:lang w:val="fr-CH"/>
        </w:rPr>
        <w:t>de toute difficulté rencontrée ou de toute incohérence constatée</w:t>
      </w:r>
      <w:r w:rsidRPr="00815FAF">
        <w:rPr>
          <w:lang w:val="fr-CH"/>
        </w:rPr>
        <w:t xml:space="preserve"> </w:t>
      </w:r>
      <w:r>
        <w:rPr>
          <w:lang w:val="fr-CH"/>
        </w:rPr>
        <w:t>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2294" w14:textId="6F982EA6" w:rsidR="004F1F8E" w:rsidRDefault="004F1F8E" w:rsidP="004F1F8E">
    <w:pPr>
      <w:pStyle w:val="Header"/>
    </w:pPr>
    <w:r>
      <w:fldChar w:fldCharType="begin"/>
    </w:r>
    <w:r>
      <w:instrText xml:space="preserve"> PAGE </w:instrText>
    </w:r>
    <w:r>
      <w:fldChar w:fldCharType="separate"/>
    </w:r>
    <w:r w:rsidR="004261B7">
      <w:rPr>
        <w:noProof/>
      </w:rPr>
      <w:t>4</w:t>
    </w:r>
    <w:r>
      <w:fldChar w:fldCharType="end"/>
    </w:r>
  </w:p>
  <w:p w14:paraId="045F662E" w14:textId="77777777" w:rsidR="004F1F8E" w:rsidRDefault="00225CF2" w:rsidP="00FD7AA3">
    <w:pPr>
      <w:pStyle w:val="Header"/>
    </w:pPr>
    <w:r>
      <w:t>WRC</w:t>
    </w:r>
    <w:r w:rsidR="00D3426F">
      <w:t>23</w:t>
    </w:r>
    <w:r w:rsidR="004F1F8E">
      <w:t>/</w:t>
    </w:r>
    <w:r w:rsidR="006A4B45">
      <w:t>111(Add.25)(Add.4)-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66281732">
    <w:abstractNumId w:val="0"/>
  </w:num>
  <w:num w:numId="2" w16cid:durableId="56264212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4021"/>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B141C"/>
    <w:rsid w:val="001B656F"/>
    <w:rsid w:val="001F17E8"/>
    <w:rsid w:val="00204306"/>
    <w:rsid w:val="00205041"/>
    <w:rsid w:val="00225CF2"/>
    <w:rsid w:val="00232FD2"/>
    <w:rsid w:val="002331DE"/>
    <w:rsid w:val="0026554E"/>
    <w:rsid w:val="002A4622"/>
    <w:rsid w:val="002A6F8F"/>
    <w:rsid w:val="002B17E5"/>
    <w:rsid w:val="002C0EBF"/>
    <w:rsid w:val="002C28A4"/>
    <w:rsid w:val="002D7E0A"/>
    <w:rsid w:val="00315AFE"/>
    <w:rsid w:val="003411F6"/>
    <w:rsid w:val="003606A6"/>
    <w:rsid w:val="0036145F"/>
    <w:rsid w:val="0036650C"/>
    <w:rsid w:val="00393ACD"/>
    <w:rsid w:val="003A583E"/>
    <w:rsid w:val="003C5870"/>
    <w:rsid w:val="003E112B"/>
    <w:rsid w:val="003E1D1C"/>
    <w:rsid w:val="003E7B05"/>
    <w:rsid w:val="003F3719"/>
    <w:rsid w:val="003F6F2D"/>
    <w:rsid w:val="004261B7"/>
    <w:rsid w:val="00466211"/>
    <w:rsid w:val="00483196"/>
    <w:rsid w:val="004834A9"/>
    <w:rsid w:val="004D01FC"/>
    <w:rsid w:val="004E28C3"/>
    <w:rsid w:val="004E4178"/>
    <w:rsid w:val="004E5B03"/>
    <w:rsid w:val="004F1F8E"/>
    <w:rsid w:val="00512A32"/>
    <w:rsid w:val="005343DA"/>
    <w:rsid w:val="00560874"/>
    <w:rsid w:val="00586CF2"/>
    <w:rsid w:val="005A0F4C"/>
    <w:rsid w:val="005A7C75"/>
    <w:rsid w:val="005C1850"/>
    <w:rsid w:val="005C3768"/>
    <w:rsid w:val="005C6C3F"/>
    <w:rsid w:val="00613635"/>
    <w:rsid w:val="0062093D"/>
    <w:rsid w:val="00637ECF"/>
    <w:rsid w:val="00647B59"/>
    <w:rsid w:val="00690C7B"/>
    <w:rsid w:val="006A4B45"/>
    <w:rsid w:val="006D4724"/>
    <w:rsid w:val="006F5FA2"/>
    <w:rsid w:val="007001E1"/>
    <w:rsid w:val="0070076C"/>
    <w:rsid w:val="00701BAE"/>
    <w:rsid w:val="0070219D"/>
    <w:rsid w:val="0071381A"/>
    <w:rsid w:val="00717B27"/>
    <w:rsid w:val="00721F04"/>
    <w:rsid w:val="00730E95"/>
    <w:rsid w:val="007426B9"/>
    <w:rsid w:val="0076318F"/>
    <w:rsid w:val="00764342"/>
    <w:rsid w:val="00774362"/>
    <w:rsid w:val="00786598"/>
    <w:rsid w:val="00790C74"/>
    <w:rsid w:val="007A0425"/>
    <w:rsid w:val="007A04E8"/>
    <w:rsid w:val="007B2C34"/>
    <w:rsid w:val="007B5C2D"/>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902F4"/>
    <w:rsid w:val="009A045F"/>
    <w:rsid w:val="009A6A2B"/>
    <w:rsid w:val="009B55E5"/>
    <w:rsid w:val="009C7E7C"/>
    <w:rsid w:val="009D72A5"/>
    <w:rsid w:val="00A00473"/>
    <w:rsid w:val="00A03C9B"/>
    <w:rsid w:val="00A37105"/>
    <w:rsid w:val="00A606C3"/>
    <w:rsid w:val="00A83B09"/>
    <w:rsid w:val="00A84541"/>
    <w:rsid w:val="00AE36A0"/>
    <w:rsid w:val="00AF54A1"/>
    <w:rsid w:val="00B00294"/>
    <w:rsid w:val="00B1270C"/>
    <w:rsid w:val="00B3749C"/>
    <w:rsid w:val="00B64FD0"/>
    <w:rsid w:val="00B75756"/>
    <w:rsid w:val="00B848C5"/>
    <w:rsid w:val="00B8718B"/>
    <w:rsid w:val="00BA5BD0"/>
    <w:rsid w:val="00BB1D82"/>
    <w:rsid w:val="00BC217E"/>
    <w:rsid w:val="00BD51C5"/>
    <w:rsid w:val="00BF26E7"/>
    <w:rsid w:val="00C1305F"/>
    <w:rsid w:val="00C53FCA"/>
    <w:rsid w:val="00C71DEB"/>
    <w:rsid w:val="00C76BAF"/>
    <w:rsid w:val="00C814B9"/>
    <w:rsid w:val="00CB685A"/>
    <w:rsid w:val="00CD516F"/>
    <w:rsid w:val="00D119A7"/>
    <w:rsid w:val="00D1381A"/>
    <w:rsid w:val="00D17430"/>
    <w:rsid w:val="00D25FBA"/>
    <w:rsid w:val="00D32B28"/>
    <w:rsid w:val="00D3426F"/>
    <w:rsid w:val="00D35F90"/>
    <w:rsid w:val="00D42954"/>
    <w:rsid w:val="00D66EAC"/>
    <w:rsid w:val="00D71572"/>
    <w:rsid w:val="00D730DF"/>
    <w:rsid w:val="00D772F0"/>
    <w:rsid w:val="00D77BDC"/>
    <w:rsid w:val="00DC19BF"/>
    <w:rsid w:val="00DC402B"/>
    <w:rsid w:val="00DE0932"/>
    <w:rsid w:val="00DF15E8"/>
    <w:rsid w:val="00E03A27"/>
    <w:rsid w:val="00E049F1"/>
    <w:rsid w:val="00E37A25"/>
    <w:rsid w:val="00E51923"/>
    <w:rsid w:val="00E537FF"/>
    <w:rsid w:val="00E60CB2"/>
    <w:rsid w:val="00E6539B"/>
    <w:rsid w:val="00E70A31"/>
    <w:rsid w:val="00E723A7"/>
    <w:rsid w:val="00EA0409"/>
    <w:rsid w:val="00EA3F38"/>
    <w:rsid w:val="00EA5AB6"/>
    <w:rsid w:val="00EC7615"/>
    <w:rsid w:val="00ED16AA"/>
    <w:rsid w:val="00ED6B8D"/>
    <w:rsid w:val="00ED7D52"/>
    <w:rsid w:val="00EE3D7B"/>
    <w:rsid w:val="00EF662E"/>
    <w:rsid w:val="00F02720"/>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345CEB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nhideWhenUsed/>
    <w:qFormat/>
    <w:rPr>
      <w:color w:val="0000FF" w:themeColor="hyperlink"/>
      <w:u w:val="single"/>
    </w:rPr>
  </w:style>
  <w:style w:type="character" w:styleId="FollowedHyperlink">
    <w:name w:val="FollowedHyperlink"/>
    <w:basedOn w:val="DefaultParagraphFont"/>
    <w:semiHidden/>
    <w:unhideWhenUsed/>
    <w:rsid w:val="009D72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23-WRC23-C-0004/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R23-WRC23-C-0111!A25-A4!MSW-F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E61966-2082-4A19-8F04-261945A9B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7EC82-E85C-429E-9EF6-C5027C00399E}">
  <ds:schemaRefs>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32a1a8c5-2265-4ebc-b7a0-2071e2c5c9bb"/>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48069795-1BDC-41E5-BE55-3368662EB94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1046</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R23-WRC23-C-0111!A25-A4!MSW-F</vt:lpstr>
    </vt:vector>
  </TitlesOfParts>
  <Manager>Secrétariat général - Pool</Manager>
  <Company>Union internationale des télécommunications (UIT)</Company>
  <LinksUpToDate>false</LinksUpToDate>
  <CharactersWithSpaces>7153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R23-WRC23-C-0111!A25-A4!MSW-F</dc:title>
  <dc:subject>Conférence mondiale des radiocommunications - 2019</dc:subject>
  <dc:creator>Documents Proposals Manager (DPM)</dc:creator>
  <cp:keywords>DPM_v2023.8.1.1_prod</cp:keywords>
  <dc:description/>
  <cp:lastModifiedBy>French.</cp:lastModifiedBy>
  <cp:revision>7</cp:revision>
  <cp:lastPrinted>2003-06-05T19:34:00Z</cp:lastPrinted>
  <dcterms:created xsi:type="dcterms:W3CDTF">2023-11-16T13:26:00Z</dcterms:created>
  <dcterms:modified xsi:type="dcterms:W3CDTF">2023-11-19T18:01:00Z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