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31B79" w14:paraId="7953B9E6" w14:textId="77777777" w:rsidTr="00F320AA">
        <w:trPr>
          <w:cantSplit/>
        </w:trPr>
        <w:tc>
          <w:tcPr>
            <w:tcW w:w="1418" w:type="dxa"/>
            <w:vAlign w:val="center"/>
          </w:tcPr>
          <w:p w14:paraId="608ADF0F" w14:textId="77777777" w:rsidR="00F320AA" w:rsidRPr="00931B79" w:rsidRDefault="00F320AA" w:rsidP="00F320AA">
            <w:pPr>
              <w:spacing w:before="0"/>
              <w:rPr>
                <w:rFonts w:ascii="Verdana" w:hAnsi="Verdana"/>
                <w:position w:val="6"/>
              </w:rPr>
            </w:pPr>
            <w:r w:rsidRPr="00931B79">
              <w:rPr>
                <w:noProof/>
              </w:rPr>
              <w:drawing>
                <wp:inline distT="0" distB="0" distL="0" distR="0" wp14:anchorId="4E856577" wp14:editId="6E926191">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A9C2282" w14:textId="77777777" w:rsidR="00F320AA" w:rsidRPr="00931B79" w:rsidRDefault="00F320AA" w:rsidP="00F320AA">
            <w:pPr>
              <w:spacing w:before="400" w:after="48" w:line="240" w:lineRule="atLeast"/>
              <w:rPr>
                <w:rFonts w:ascii="Verdana" w:hAnsi="Verdana"/>
                <w:position w:val="6"/>
              </w:rPr>
            </w:pPr>
            <w:r w:rsidRPr="00931B79">
              <w:rPr>
                <w:rFonts w:ascii="Verdana" w:hAnsi="Verdana" w:cs="Times"/>
                <w:b/>
                <w:position w:val="6"/>
                <w:sz w:val="22"/>
                <w:szCs w:val="22"/>
              </w:rPr>
              <w:t>World Radiocommunication Conference (WRC-23)</w:t>
            </w:r>
            <w:r w:rsidRPr="00931B79">
              <w:rPr>
                <w:rFonts w:ascii="Verdana" w:hAnsi="Verdana" w:cs="Times"/>
                <w:b/>
                <w:position w:val="6"/>
                <w:sz w:val="26"/>
                <w:szCs w:val="26"/>
              </w:rPr>
              <w:br/>
            </w:r>
            <w:r w:rsidRPr="00931B79">
              <w:rPr>
                <w:rFonts w:ascii="Verdana" w:hAnsi="Verdana"/>
                <w:b/>
                <w:bCs/>
                <w:position w:val="6"/>
                <w:sz w:val="18"/>
                <w:szCs w:val="18"/>
              </w:rPr>
              <w:t>Dubai, 20 November - 15 December 2023</w:t>
            </w:r>
          </w:p>
        </w:tc>
        <w:tc>
          <w:tcPr>
            <w:tcW w:w="1951" w:type="dxa"/>
            <w:vAlign w:val="center"/>
          </w:tcPr>
          <w:p w14:paraId="62E4A9D2" w14:textId="77777777" w:rsidR="00F320AA" w:rsidRPr="00931B79" w:rsidRDefault="00EB0812" w:rsidP="00F320AA">
            <w:pPr>
              <w:spacing w:before="0" w:line="240" w:lineRule="atLeast"/>
            </w:pPr>
            <w:r w:rsidRPr="00931B79">
              <w:rPr>
                <w:noProof/>
              </w:rPr>
              <w:drawing>
                <wp:inline distT="0" distB="0" distL="0" distR="0" wp14:anchorId="00B5E1A1" wp14:editId="5C9D8AF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31B79" w14:paraId="121F0E9F" w14:textId="77777777">
        <w:trPr>
          <w:cantSplit/>
        </w:trPr>
        <w:tc>
          <w:tcPr>
            <w:tcW w:w="6911" w:type="dxa"/>
            <w:gridSpan w:val="2"/>
            <w:tcBorders>
              <w:bottom w:val="single" w:sz="12" w:space="0" w:color="auto"/>
            </w:tcBorders>
          </w:tcPr>
          <w:p w14:paraId="1C0F99E1" w14:textId="77777777" w:rsidR="00A066F1" w:rsidRPr="00931B79"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D8F00D1" w14:textId="77777777" w:rsidR="00A066F1" w:rsidRPr="00931B79" w:rsidRDefault="00A066F1" w:rsidP="00A066F1">
            <w:pPr>
              <w:spacing w:before="0" w:line="240" w:lineRule="atLeast"/>
              <w:rPr>
                <w:rFonts w:ascii="Verdana" w:hAnsi="Verdana"/>
                <w:szCs w:val="24"/>
              </w:rPr>
            </w:pPr>
          </w:p>
        </w:tc>
      </w:tr>
      <w:tr w:rsidR="00A066F1" w:rsidRPr="00931B79" w14:paraId="4A90578D" w14:textId="77777777">
        <w:trPr>
          <w:cantSplit/>
        </w:trPr>
        <w:tc>
          <w:tcPr>
            <w:tcW w:w="6911" w:type="dxa"/>
            <w:gridSpan w:val="2"/>
            <w:tcBorders>
              <w:top w:val="single" w:sz="12" w:space="0" w:color="auto"/>
            </w:tcBorders>
          </w:tcPr>
          <w:p w14:paraId="4C80A22F" w14:textId="77777777" w:rsidR="00A066F1" w:rsidRPr="00931B7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DDAB64B" w14:textId="77777777" w:rsidR="00A066F1" w:rsidRPr="00931B79" w:rsidRDefault="00A066F1" w:rsidP="00A066F1">
            <w:pPr>
              <w:spacing w:before="0" w:line="240" w:lineRule="atLeast"/>
              <w:rPr>
                <w:rFonts w:ascii="Verdana" w:hAnsi="Verdana"/>
                <w:sz w:val="20"/>
              </w:rPr>
            </w:pPr>
          </w:p>
        </w:tc>
      </w:tr>
      <w:tr w:rsidR="00A066F1" w:rsidRPr="00931B79" w14:paraId="18FFFC32" w14:textId="77777777">
        <w:trPr>
          <w:cantSplit/>
          <w:trHeight w:val="23"/>
        </w:trPr>
        <w:tc>
          <w:tcPr>
            <w:tcW w:w="6911" w:type="dxa"/>
            <w:gridSpan w:val="2"/>
            <w:shd w:val="clear" w:color="auto" w:fill="auto"/>
          </w:tcPr>
          <w:p w14:paraId="1E7BA340" w14:textId="77777777" w:rsidR="00A066F1" w:rsidRPr="00931B79"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931B79">
              <w:rPr>
                <w:rFonts w:ascii="Verdana" w:hAnsi="Verdana"/>
                <w:sz w:val="20"/>
                <w:szCs w:val="20"/>
              </w:rPr>
              <w:t>PLENARY MEETING</w:t>
            </w:r>
          </w:p>
        </w:tc>
        <w:tc>
          <w:tcPr>
            <w:tcW w:w="3120" w:type="dxa"/>
            <w:gridSpan w:val="2"/>
          </w:tcPr>
          <w:p w14:paraId="08329EBA" w14:textId="77777777" w:rsidR="00A066F1" w:rsidRPr="00931B79" w:rsidRDefault="00E55816" w:rsidP="00AA666F">
            <w:pPr>
              <w:tabs>
                <w:tab w:val="left" w:pos="851"/>
              </w:tabs>
              <w:spacing w:before="0" w:line="240" w:lineRule="atLeast"/>
              <w:rPr>
                <w:rFonts w:ascii="Verdana" w:hAnsi="Verdana"/>
                <w:sz w:val="20"/>
              </w:rPr>
            </w:pPr>
            <w:r w:rsidRPr="00931B79">
              <w:rPr>
                <w:rFonts w:ascii="Verdana" w:hAnsi="Verdana"/>
                <w:b/>
                <w:sz w:val="20"/>
              </w:rPr>
              <w:t>Addendum 4 to</w:t>
            </w:r>
            <w:r w:rsidRPr="00931B79">
              <w:rPr>
                <w:rFonts w:ascii="Verdana" w:hAnsi="Verdana"/>
                <w:b/>
                <w:sz w:val="20"/>
              </w:rPr>
              <w:br/>
              <w:t>Document 111(Add.25)</w:t>
            </w:r>
            <w:r w:rsidR="00A066F1" w:rsidRPr="00931B79">
              <w:rPr>
                <w:rFonts w:ascii="Verdana" w:hAnsi="Verdana"/>
                <w:b/>
                <w:sz w:val="20"/>
              </w:rPr>
              <w:t>-</w:t>
            </w:r>
            <w:r w:rsidR="005E10C9" w:rsidRPr="00931B79">
              <w:rPr>
                <w:rFonts w:ascii="Verdana" w:hAnsi="Verdana"/>
                <w:b/>
                <w:sz w:val="20"/>
              </w:rPr>
              <w:t>E</w:t>
            </w:r>
          </w:p>
        </w:tc>
      </w:tr>
      <w:tr w:rsidR="00A066F1" w:rsidRPr="00931B79" w14:paraId="2D27A15A" w14:textId="77777777">
        <w:trPr>
          <w:cantSplit/>
          <w:trHeight w:val="23"/>
        </w:trPr>
        <w:tc>
          <w:tcPr>
            <w:tcW w:w="6911" w:type="dxa"/>
            <w:gridSpan w:val="2"/>
            <w:shd w:val="clear" w:color="auto" w:fill="auto"/>
          </w:tcPr>
          <w:p w14:paraId="2F7ACD9A" w14:textId="77777777" w:rsidR="00A066F1" w:rsidRPr="00931B79"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52E52B5" w14:textId="220D0AE9" w:rsidR="00A066F1" w:rsidRPr="00931B79" w:rsidRDefault="00C41CFC" w:rsidP="00A066F1">
            <w:pPr>
              <w:tabs>
                <w:tab w:val="left" w:pos="993"/>
              </w:tabs>
              <w:spacing w:before="0"/>
              <w:rPr>
                <w:rFonts w:ascii="Verdana" w:hAnsi="Verdana"/>
                <w:sz w:val="20"/>
              </w:rPr>
            </w:pPr>
            <w:r>
              <w:rPr>
                <w:rFonts w:ascii="Verdana" w:hAnsi="Verdana"/>
                <w:b/>
                <w:sz w:val="20"/>
              </w:rPr>
              <w:t>30</w:t>
            </w:r>
            <w:r w:rsidR="00420873" w:rsidRPr="00931B79">
              <w:rPr>
                <w:rFonts w:ascii="Verdana" w:hAnsi="Verdana"/>
                <w:b/>
                <w:sz w:val="20"/>
              </w:rPr>
              <w:t xml:space="preserve"> October 2023</w:t>
            </w:r>
          </w:p>
        </w:tc>
      </w:tr>
      <w:tr w:rsidR="00A066F1" w:rsidRPr="00931B79" w14:paraId="3BCFA0E8" w14:textId="77777777">
        <w:trPr>
          <w:cantSplit/>
          <w:trHeight w:val="23"/>
        </w:trPr>
        <w:tc>
          <w:tcPr>
            <w:tcW w:w="6911" w:type="dxa"/>
            <w:gridSpan w:val="2"/>
            <w:shd w:val="clear" w:color="auto" w:fill="auto"/>
          </w:tcPr>
          <w:p w14:paraId="6465CAFE" w14:textId="77777777" w:rsidR="00A066F1" w:rsidRPr="00931B79"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0294F30" w14:textId="77777777" w:rsidR="00A066F1" w:rsidRPr="00931B79" w:rsidRDefault="00E55816" w:rsidP="00A066F1">
            <w:pPr>
              <w:tabs>
                <w:tab w:val="left" w:pos="993"/>
              </w:tabs>
              <w:spacing w:before="0"/>
              <w:rPr>
                <w:rFonts w:ascii="Verdana" w:hAnsi="Verdana"/>
                <w:b/>
                <w:sz w:val="20"/>
              </w:rPr>
            </w:pPr>
            <w:r w:rsidRPr="00931B79">
              <w:rPr>
                <w:rFonts w:ascii="Verdana" w:hAnsi="Verdana"/>
                <w:b/>
                <w:sz w:val="20"/>
              </w:rPr>
              <w:t>Original: Chinese</w:t>
            </w:r>
          </w:p>
        </w:tc>
      </w:tr>
      <w:tr w:rsidR="00A066F1" w:rsidRPr="00931B79" w14:paraId="2992387B" w14:textId="77777777" w:rsidTr="00025864">
        <w:trPr>
          <w:cantSplit/>
          <w:trHeight w:val="23"/>
        </w:trPr>
        <w:tc>
          <w:tcPr>
            <w:tcW w:w="10031" w:type="dxa"/>
            <w:gridSpan w:val="4"/>
            <w:shd w:val="clear" w:color="auto" w:fill="auto"/>
          </w:tcPr>
          <w:p w14:paraId="275CAE2A" w14:textId="77777777" w:rsidR="00A066F1" w:rsidRPr="00931B79" w:rsidRDefault="00A066F1" w:rsidP="00A066F1">
            <w:pPr>
              <w:tabs>
                <w:tab w:val="left" w:pos="993"/>
              </w:tabs>
              <w:spacing w:before="0"/>
              <w:rPr>
                <w:rFonts w:ascii="Verdana" w:hAnsi="Verdana"/>
                <w:b/>
                <w:sz w:val="20"/>
              </w:rPr>
            </w:pPr>
          </w:p>
        </w:tc>
      </w:tr>
      <w:tr w:rsidR="00E55816" w:rsidRPr="00931B79" w14:paraId="78936F03" w14:textId="77777777" w:rsidTr="00025864">
        <w:trPr>
          <w:cantSplit/>
          <w:trHeight w:val="23"/>
        </w:trPr>
        <w:tc>
          <w:tcPr>
            <w:tcW w:w="10031" w:type="dxa"/>
            <w:gridSpan w:val="4"/>
            <w:shd w:val="clear" w:color="auto" w:fill="auto"/>
          </w:tcPr>
          <w:p w14:paraId="698D9B80" w14:textId="77777777" w:rsidR="00E55816" w:rsidRPr="00931B79" w:rsidRDefault="00884D60" w:rsidP="00E55816">
            <w:pPr>
              <w:pStyle w:val="Source"/>
            </w:pPr>
            <w:r w:rsidRPr="00931B79">
              <w:t>China (People's Republic of)</w:t>
            </w:r>
          </w:p>
        </w:tc>
      </w:tr>
      <w:tr w:rsidR="00E55816" w:rsidRPr="00931B79" w14:paraId="44D310C8" w14:textId="77777777" w:rsidTr="00025864">
        <w:trPr>
          <w:cantSplit/>
          <w:trHeight w:val="23"/>
        </w:trPr>
        <w:tc>
          <w:tcPr>
            <w:tcW w:w="10031" w:type="dxa"/>
            <w:gridSpan w:val="4"/>
            <w:shd w:val="clear" w:color="auto" w:fill="auto"/>
          </w:tcPr>
          <w:p w14:paraId="4B16CD69" w14:textId="1C0CAC51" w:rsidR="00E55816" w:rsidRPr="00931B79" w:rsidRDefault="00892923" w:rsidP="00E55816">
            <w:pPr>
              <w:pStyle w:val="Title1"/>
            </w:pPr>
            <w:r w:rsidRPr="00931B79">
              <w:t>PROPOSALS FOR THE WORK OF THE CONFERENCE</w:t>
            </w:r>
          </w:p>
        </w:tc>
      </w:tr>
      <w:tr w:rsidR="00E55816" w:rsidRPr="00931B79" w14:paraId="22394A1C" w14:textId="77777777" w:rsidTr="00025864">
        <w:trPr>
          <w:cantSplit/>
          <w:trHeight w:val="23"/>
        </w:trPr>
        <w:tc>
          <w:tcPr>
            <w:tcW w:w="10031" w:type="dxa"/>
            <w:gridSpan w:val="4"/>
            <w:shd w:val="clear" w:color="auto" w:fill="auto"/>
          </w:tcPr>
          <w:p w14:paraId="7037A81D" w14:textId="77777777" w:rsidR="00E55816" w:rsidRPr="00931B79" w:rsidRDefault="00E55816" w:rsidP="00E55816">
            <w:pPr>
              <w:pStyle w:val="Title2"/>
            </w:pPr>
          </w:p>
        </w:tc>
      </w:tr>
      <w:tr w:rsidR="00A538A6" w:rsidRPr="00931B79" w14:paraId="5841FF28" w14:textId="77777777" w:rsidTr="00025864">
        <w:trPr>
          <w:cantSplit/>
          <w:trHeight w:val="23"/>
        </w:trPr>
        <w:tc>
          <w:tcPr>
            <w:tcW w:w="10031" w:type="dxa"/>
            <w:gridSpan w:val="4"/>
            <w:shd w:val="clear" w:color="auto" w:fill="auto"/>
          </w:tcPr>
          <w:p w14:paraId="0ADCEB78" w14:textId="77777777" w:rsidR="00A538A6" w:rsidRPr="00931B79" w:rsidRDefault="004B13CB" w:rsidP="004B13CB">
            <w:pPr>
              <w:pStyle w:val="Agendaitem"/>
              <w:rPr>
                <w:lang w:val="en-GB"/>
              </w:rPr>
            </w:pPr>
            <w:r w:rsidRPr="00931B79">
              <w:rPr>
                <w:lang w:val="en-GB"/>
              </w:rPr>
              <w:t>Agenda item 9.2</w:t>
            </w:r>
          </w:p>
        </w:tc>
      </w:tr>
    </w:tbl>
    <w:bookmarkEnd w:id="5"/>
    <w:bookmarkEnd w:id="6"/>
    <w:p w14:paraId="76E693F2" w14:textId="77777777" w:rsidR="00187BD9" w:rsidRPr="00931B79" w:rsidRDefault="0065223D" w:rsidP="006965F8">
      <w:r w:rsidRPr="00931B79">
        <w:t>9</w:t>
      </w:r>
      <w:r w:rsidRPr="00931B79">
        <w:tab/>
        <w:t>to consider and approve the Report of the Director of the Radiocommunication Bureau, in accordance with Article 7 of the ITU Convention</w:t>
      </w:r>
      <w:r w:rsidRPr="00931B79">
        <w:rPr>
          <w:bCs/>
        </w:rPr>
        <w:t>;</w:t>
      </w:r>
    </w:p>
    <w:p w14:paraId="06C692C5" w14:textId="77777777" w:rsidR="00187BD9" w:rsidRPr="00931B79" w:rsidRDefault="0065223D" w:rsidP="00A115F1">
      <w:r w:rsidRPr="00931B79">
        <w:t>9.2</w:t>
      </w:r>
      <w:r w:rsidRPr="00931B79">
        <w:tab/>
        <w:t>on any difficulties or inconsistencies encountered in the application of the Radio Regulations;</w:t>
      </w:r>
      <w:r w:rsidRPr="00931B79">
        <w:rPr>
          <w:rStyle w:val="FootnoteReference"/>
        </w:rPr>
        <w:footnoteReference w:customMarkFollows="1" w:id="1"/>
        <w:t>1</w:t>
      </w:r>
      <w:r w:rsidRPr="00931B79">
        <w:t xml:space="preserve"> and</w:t>
      </w:r>
    </w:p>
    <w:p w14:paraId="30450C5D" w14:textId="77777777" w:rsidR="000C7C03" w:rsidRPr="00931B79" w:rsidRDefault="0040179E" w:rsidP="00C41CFC">
      <w:pPr>
        <w:pStyle w:val="Title4"/>
      </w:pPr>
      <w:r w:rsidRPr="00931B79">
        <w:t>Experience in the application of the radio regulatory procedures</w:t>
      </w:r>
    </w:p>
    <w:p w14:paraId="52F229BD" w14:textId="44F90D76" w:rsidR="0065223D" w:rsidRPr="00931B79" w:rsidRDefault="000C7C03" w:rsidP="0065223D">
      <w:pPr>
        <w:pStyle w:val="Heading2"/>
        <w:jc w:val="center"/>
        <w:rPr>
          <w:lang w:eastAsia="zh-CN"/>
        </w:rPr>
      </w:pPr>
      <w:r w:rsidRPr="00931B79">
        <w:t xml:space="preserve">Section </w:t>
      </w:r>
      <w:r w:rsidR="0040179E" w:rsidRPr="00931B79">
        <w:t>3.</w:t>
      </w:r>
      <w:r w:rsidR="00200BB3" w:rsidRPr="00931B79">
        <w:t xml:space="preserve">2 – </w:t>
      </w:r>
      <w:r w:rsidR="0040179E" w:rsidRPr="00931B79">
        <w:t>Appendices to the Radio Regulations</w:t>
      </w:r>
    </w:p>
    <w:p w14:paraId="2F381027" w14:textId="25626011" w:rsidR="0065223D" w:rsidRPr="00931B79" w:rsidRDefault="0040179E" w:rsidP="002B06E7">
      <w:pPr>
        <w:pStyle w:val="Headingb"/>
        <w:rPr>
          <w:lang w:val="en-GB" w:eastAsia="zh-CN"/>
        </w:rPr>
      </w:pPr>
      <w:r w:rsidRPr="00931B79">
        <w:rPr>
          <w:rFonts w:eastAsia="SimSun"/>
          <w:lang w:val="en-GB" w:eastAsia="zh-CN"/>
        </w:rPr>
        <w:t>I</w:t>
      </w:r>
      <w:r w:rsidRPr="00931B79">
        <w:rPr>
          <w:lang w:val="en-GB"/>
        </w:rPr>
        <w:t>ntroduction</w:t>
      </w:r>
    </w:p>
    <w:p w14:paraId="14D06F81" w14:textId="3CA0F0AE" w:rsidR="0065223D" w:rsidRPr="00931B79" w:rsidRDefault="0040179E" w:rsidP="002B06E7">
      <w:pPr>
        <w:rPr>
          <w:lang w:eastAsia="zh-CN"/>
        </w:rPr>
      </w:pPr>
      <w:bookmarkStart w:id="7" w:name="_Hlk142957965"/>
      <w:r w:rsidRPr="00931B79">
        <w:rPr>
          <w:lang w:eastAsia="zh-CN"/>
        </w:rPr>
        <w:t xml:space="preserve">Noting </w:t>
      </w:r>
      <w:r w:rsidR="00B07D8C" w:rsidRPr="00931B79">
        <w:rPr>
          <w:lang w:eastAsia="zh-CN"/>
        </w:rPr>
        <w:t xml:space="preserve">that </w:t>
      </w:r>
      <w:r w:rsidRPr="00931B79">
        <w:rPr>
          <w:lang w:eastAsia="zh-CN"/>
        </w:rPr>
        <w:t>the difficulties and inconsistencies encountered in the application of the relevant provisions are collected and analy</w:t>
      </w:r>
      <w:r w:rsidR="002B06E7" w:rsidRPr="00931B79">
        <w:rPr>
          <w:lang w:eastAsia="zh-CN"/>
        </w:rPr>
        <w:t>s</w:t>
      </w:r>
      <w:r w:rsidRPr="00931B79">
        <w:rPr>
          <w:lang w:eastAsia="zh-CN"/>
        </w:rPr>
        <w:t>ed in the Part 2 of the Report of the Director of Radiocommunication Bureau (</w:t>
      </w:r>
      <w:hyperlink r:id="rId14">
        <w:r w:rsidR="002B06E7" w:rsidRPr="00931B79">
          <w:rPr>
            <w:rStyle w:val="Hyperlink"/>
            <w:lang w:eastAsia="zh-CN"/>
          </w:rPr>
          <w:t>Doc. 4 Add.2</w:t>
        </w:r>
      </w:hyperlink>
      <w:r w:rsidRPr="00931B79">
        <w:rPr>
          <w:lang w:eastAsia="zh-CN"/>
        </w:rPr>
        <w:t xml:space="preserve">), our views and proposals with respect to a number of items are summarized in this document focusing on experience in the application of the radio regulatory procedures </w:t>
      </w:r>
      <w:r w:rsidR="00200BB3" w:rsidRPr="00931B79">
        <w:rPr>
          <w:lang w:eastAsia="zh-CN"/>
        </w:rPr>
        <w:t>under</w:t>
      </w:r>
      <w:r w:rsidRPr="00931B79">
        <w:rPr>
          <w:lang w:eastAsia="zh-CN"/>
        </w:rPr>
        <w:t xml:space="preserve"> </w:t>
      </w:r>
      <w:r w:rsidR="00200BB3" w:rsidRPr="00931B79">
        <w:rPr>
          <w:lang w:eastAsia="zh-CN"/>
        </w:rPr>
        <w:t>section</w:t>
      </w:r>
      <w:r w:rsidRPr="00931B79">
        <w:rPr>
          <w:lang w:eastAsia="zh-CN"/>
        </w:rPr>
        <w:t xml:space="preserve"> 3.2</w:t>
      </w:r>
      <w:r w:rsidR="00200BB3" w:rsidRPr="00931B79">
        <w:rPr>
          <w:lang w:eastAsia="zh-CN"/>
        </w:rPr>
        <w:t xml:space="preserve"> – </w:t>
      </w:r>
      <w:r w:rsidRPr="00931B79">
        <w:t>Appendices to the Radio Regulations.</w:t>
      </w:r>
    </w:p>
    <w:bookmarkEnd w:id="7"/>
    <w:p w14:paraId="1B525858" w14:textId="04EF6DB0" w:rsidR="0065223D" w:rsidRPr="00931B79" w:rsidRDefault="0040179E" w:rsidP="002B06E7">
      <w:pPr>
        <w:pStyle w:val="Headingb"/>
        <w:rPr>
          <w:lang w:val="en-GB" w:eastAsia="zh-CN"/>
        </w:rPr>
      </w:pPr>
      <w:r w:rsidRPr="00931B79">
        <w:rPr>
          <w:lang w:val="en-GB"/>
        </w:rPr>
        <w:t>Proposals</w:t>
      </w:r>
    </w:p>
    <w:p w14:paraId="0AF939C1" w14:textId="721FC95F" w:rsidR="00241FA2" w:rsidRPr="00931B79" w:rsidRDefault="0040179E" w:rsidP="002B06E7">
      <w:pPr>
        <w:rPr>
          <w:lang w:eastAsia="zh-CN"/>
        </w:rPr>
      </w:pPr>
      <w:r w:rsidRPr="00931B79">
        <w:rPr>
          <w:lang w:eastAsia="zh-CN"/>
        </w:rPr>
        <w:t xml:space="preserve">This </w:t>
      </w:r>
      <w:r w:rsidR="00200BB3" w:rsidRPr="00931B79">
        <w:rPr>
          <w:lang w:eastAsia="zh-CN"/>
        </w:rPr>
        <w:t>A</w:t>
      </w:r>
      <w:r w:rsidRPr="00931B79">
        <w:rPr>
          <w:lang w:eastAsia="zh-CN"/>
        </w:rPr>
        <w:t>dministration</w:t>
      </w:r>
      <w:r w:rsidRPr="00931B79">
        <w:t xml:space="preserve"> submits its views and propos</w:t>
      </w:r>
      <w:r w:rsidR="001B6C02" w:rsidRPr="00931B79">
        <w:t>als</w:t>
      </w:r>
      <w:r w:rsidRPr="00931B79">
        <w:rPr>
          <w:lang w:eastAsia="zh-CN"/>
        </w:rPr>
        <w:t xml:space="preserve"> with respect to </w:t>
      </w:r>
      <w:proofErr w:type="gramStart"/>
      <w:r w:rsidRPr="00931B79">
        <w:rPr>
          <w:lang w:eastAsia="zh-CN"/>
        </w:rPr>
        <w:t>a number of</w:t>
      </w:r>
      <w:proofErr w:type="gramEnd"/>
      <w:r w:rsidRPr="00931B79">
        <w:rPr>
          <w:lang w:eastAsia="zh-CN"/>
        </w:rPr>
        <w:t xml:space="preserve"> items for further discussion during the Conference.</w:t>
      </w:r>
    </w:p>
    <w:p w14:paraId="16295EB5" w14:textId="77777777" w:rsidR="00187BD9" w:rsidRPr="00931B79" w:rsidRDefault="00187BD9" w:rsidP="00187BD9">
      <w:pPr>
        <w:tabs>
          <w:tab w:val="clear" w:pos="1134"/>
          <w:tab w:val="clear" w:pos="1871"/>
          <w:tab w:val="clear" w:pos="2268"/>
        </w:tabs>
        <w:overflowPunct/>
        <w:autoSpaceDE/>
        <w:autoSpaceDN/>
        <w:adjustRightInd/>
        <w:spacing w:before="0"/>
        <w:textAlignment w:val="auto"/>
        <w:rPr>
          <w:lang w:eastAsia="zh-CN"/>
        </w:rPr>
      </w:pPr>
      <w:r w:rsidRPr="00931B79">
        <w:rPr>
          <w:lang w:eastAsia="zh-CN"/>
        </w:rPr>
        <w:br w:type="page"/>
      </w:r>
    </w:p>
    <w:p w14:paraId="768649AB" w14:textId="77777777" w:rsidR="00921854" w:rsidRPr="00931B79" w:rsidRDefault="0065223D">
      <w:pPr>
        <w:pStyle w:val="Proposal"/>
      </w:pPr>
      <w:r w:rsidRPr="00931B79">
        <w:lastRenderedPageBreak/>
        <w:tab/>
        <w:t>CHN/111A25A4/1</w:t>
      </w:r>
    </w:p>
    <w:p w14:paraId="5C696A80" w14:textId="5D98F169" w:rsidR="0065223D" w:rsidRPr="00931B79" w:rsidRDefault="0065223D" w:rsidP="0065223D">
      <w:pPr>
        <w:pStyle w:val="Heading4"/>
        <w:rPr>
          <w:b w:val="0"/>
          <w:lang w:eastAsia="zh-CN"/>
        </w:rPr>
      </w:pPr>
      <w:r w:rsidRPr="00931B79">
        <w:rPr>
          <w:lang w:eastAsia="zh-CN"/>
        </w:rPr>
        <w:t>3.2.1.6</w:t>
      </w:r>
      <w:r w:rsidRPr="00931B79">
        <w:rPr>
          <w:lang w:eastAsia="zh-CN"/>
        </w:rPr>
        <w:tab/>
      </w:r>
      <w:r w:rsidR="0040179E" w:rsidRPr="00931B79">
        <w:t xml:space="preserve">New </w:t>
      </w:r>
      <w:r w:rsidR="0040179E" w:rsidRPr="00931B79">
        <w:rPr>
          <w:bCs/>
        </w:rPr>
        <w:t>orbital decay parameters</w:t>
      </w:r>
    </w:p>
    <w:p w14:paraId="53278C5C" w14:textId="1B8C39DF" w:rsidR="0065223D" w:rsidRPr="00931B79" w:rsidRDefault="0040179E" w:rsidP="002B06E7">
      <w:pPr>
        <w:pBdr>
          <w:top w:val="single" w:sz="4" w:space="1" w:color="auto"/>
          <w:left w:val="single" w:sz="4" w:space="4" w:color="auto"/>
          <w:bottom w:val="single" w:sz="4" w:space="1" w:color="auto"/>
          <w:right w:val="single" w:sz="4" w:space="4" w:color="auto"/>
        </w:pBdr>
        <w:rPr>
          <w:lang w:eastAsia="zh-CN"/>
        </w:rPr>
      </w:pPr>
      <w:r w:rsidRPr="00931B79">
        <w:rPr>
          <w:lang w:eastAsia="zh-CN"/>
        </w:rPr>
        <w:t xml:space="preserve">Some non-GSO satellites remain active until they re-enter the atmosphere due to natural decay or orbit-disposal manoeuvres. </w:t>
      </w:r>
      <w:r w:rsidRPr="00931B79">
        <w:t xml:space="preserve">The Bureau </w:t>
      </w:r>
      <w:r w:rsidR="006628AB" w:rsidRPr="00931B79">
        <w:t>has noted</w:t>
      </w:r>
      <w:r w:rsidRPr="00931B79">
        <w:t xml:space="preserve"> that available Appendix </w:t>
      </w:r>
      <w:r w:rsidRPr="00931B79">
        <w:rPr>
          <w:rStyle w:val="ECCHLbold"/>
        </w:rPr>
        <w:t>4</w:t>
      </w:r>
      <w:r w:rsidRPr="00931B79">
        <w:t xml:space="preserve"> parameters at the current stage do not allow administrations to clearly reflect in detail the orbital decay in a filing. </w:t>
      </w:r>
      <w:proofErr w:type="gramStart"/>
      <w:r w:rsidRPr="00931B79">
        <w:t>In order to</w:t>
      </w:r>
      <w:proofErr w:type="gramEnd"/>
      <w:r w:rsidRPr="00931B79">
        <w:t xml:space="preserve"> reflect changes in the altitude of apogee and/or perigee, administrations should follow the</w:t>
      </w:r>
      <w:r w:rsidR="00931B79">
        <w:t xml:space="preserve"> </w:t>
      </w:r>
      <w:r w:rsidRPr="00931B79">
        <w:t xml:space="preserve">procedure of No. </w:t>
      </w:r>
      <w:r w:rsidRPr="00931B79">
        <w:rPr>
          <w:rStyle w:val="ECCHLbold"/>
        </w:rPr>
        <w:t>11.43B</w:t>
      </w:r>
      <w:r w:rsidRPr="00931B79">
        <w:t>. Considering the difficulties of this procedure, the Bureau is adopting the following practice to represent filings for such systems</w:t>
      </w:r>
      <w:r w:rsidR="0065223D" w:rsidRPr="00931B79">
        <w:rPr>
          <w:rFonts w:ascii="SimSun" w:eastAsia="SimSun" w:hAnsi="SimSun" w:cs="SimSun"/>
          <w:lang w:eastAsia="zh-CN"/>
        </w:rPr>
        <w:t>：</w:t>
      </w:r>
    </w:p>
    <w:p w14:paraId="2F4099C9" w14:textId="2D677680" w:rsidR="0065223D" w:rsidRPr="00931B79" w:rsidRDefault="0065223D" w:rsidP="0065223D">
      <w:pPr>
        <w:pStyle w:val="enumlev1"/>
        <w:pBdr>
          <w:top w:val="single" w:sz="4" w:space="1" w:color="auto"/>
          <w:left w:val="single" w:sz="4" w:space="4" w:color="auto"/>
          <w:bottom w:val="single" w:sz="4" w:space="1" w:color="auto"/>
          <w:right w:val="single" w:sz="4" w:space="4" w:color="auto"/>
        </w:pBdr>
        <w:rPr>
          <w:lang w:eastAsia="zh-CN"/>
        </w:rPr>
      </w:pPr>
      <w:r w:rsidRPr="00931B79">
        <w:rPr>
          <w:lang w:eastAsia="zh-CN"/>
        </w:rPr>
        <w:t>a)</w:t>
      </w:r>
      <w:r w:rsidRPr="00931B79">
        <w:rPr>
          <w:lang w:eastAsia="zh-CN"/>
        </w:rPr>
        <w:tab/>
      </w:r>
      <w:r w:rsidR="00B23ABD" w:rsidRPr="00931B79">
        <w:t xml:space="preserve">the altitudes of the apogee and perigee of the space station indicate the initial orbital parameters </w:t>
      </w:r>
      <w:proofErr w:type="gramStart"/>
      <w:r w:rsidR="00B23ABD" w:rsidRPr="00931B79">
        <w:t>at the moment</w:t>
      </w:r>
      <w:proofErr w:type="gramEnd"/>
      <w:r w:rsidR="00B23ABD" w:rsidRPr="00931B79">
        <w:t xml:space="preserve"> of bringing into use</w:t>
      </w:r>
      <w:r w:rsidR="005635E5" w:rsidRPr="00931B79">
        <w:t>;</w:t>
      </w:r>
    </w:p>
    <w:p w14:paraId="5C58913B" w14:textId="45AE92A9" w:rsidR="0065223D" w:rsidRPr="00931B79" w:rsidRDefault="0065223D" w:rsidP="0065223D">
      <w:pPr>
        <w:pStyle w:val="enumlev1"/>
        <w:pBdr>
          <w:top w:val="single" w:sz="4" w:space="1" w:color="auto"/>
          <w:left w:val="single" w:sz="4" w:space="4" w:color="auto"/>
          <w:bottom w:val="single" w:sz="4" w:space="1" w:color="auto"/>
          <w:right w:val="single" w:sz="4" w:space="4" w:color="auto"/>
        </w:pBdr>
        <w:rPr>
          <w:lang w:eastAsia="zh-CN"/>
        </w:rPr>
      </w:pPr>
      <w:r w:rsidRPr="00931B79">
        <w:rPr>
          <w:lang w:eastAsia="zh-CN"/>
        </w:rPr>
        <w:t>b)</w:t>
      </w:r>
      <w:r w:rsidRPr="00931B79">
        <w:rPr>
          <w:lang w:eastAsia="zh-CN"/>
        </w:rPr>
        <w:tab/>
      </w:r>
      <w:r w:rsidR="00B23ABD" w:rsidRPr="00931B79">
        <w:t xml:space="preserve">the minimum altitude of the space station above the surface of the Earth at which any satellite transmits (item </w:t>
      </w:r>
      <w:r w:rsidR="00B23ABD" w:rsidRPr="00931B79">
        <w:rPr>
          <w:rStyle w:val="ECCHLbold"/>
          <w:b w:val="0"/>
          <w:bCs w:val="0"/>
        </w:rPr>
        <w:t>A.4.b.4.f</w:t>
      </w:r>
      <w:r w:rsidR="00B23ABD" w:rsidRPr="00931B79">
        <w:t xml:space="preserve"> of Appendix </w:t>
      </w:r>
      <w:r w:rsidR="00B23ABD" w:rsidRPr="00931B79">
        <w:rPr>
          <w:rStyle w:val="ECCHLbold"/>
        </w:rPr>
        <w:t>4</w:t>
      </w:r>
      <w:r w:rsidR="00B23ABD" w:rsidRPr="00931B79">
        <w:t>) indicates the minimum altitude at which satellites remain in operation during the entire lifetime</w:t>
      </w:r>
      <w:r w:rsidR="005635E5" w:rsidRPr="00931B79">
        <w:t>;</w:t>
      </w:r>
    </w:p>
    <w:p w14:paraId="4CC85CC6" w14:textId="2081BE9E" w:rsidR="0065223D" w:rsidRPr="00931B79" w:rsidRDefault="0065223D" w:rsidP="0065223D">
      <w:pPr>
        <w:pStyle w:val="enumlev1"/>
        <w:pBdr>
          <w:top w:val="single" w:sz="4" w:space="1" w:color="auto"/>
          <w:left w:val="single" w:sz="4" w:space="4" w:color="auto"/>
          <w:bottom w:val="single" w:sz="4" w:space="1" w:color="auto"/>
          <w:right w:val="single" w:sz="4" w:space="4" w:color="auto"/>
        </w:pBdr>
        <w:rPr>
          <w:lang w:eastAsia="zh-CN"/>
        </w:rPr>
      </w:pPr>
      <w:r w:rsidRPr="00931B79">
        <w:rPr>
          <w:lang w:eastAsia="zh-CN"/>
        </w:rPr>
        <w:t>c)</w:t>
      </w:r>
      <w:r w:rsidRPr="00931B79">
        <w:rPr>
          <w:lang w:eastAsia="zh-CN"/>
        </w:rPr>
        <w:tab/>
      </w:r>
      <w:r w:rsidR="00B23ABD" w:rsidRPr="00931B79">
        <w:rPr>
          <w:color w:val="000000"/>
        </w:rPr>
        <w:t>such a satellite network is protected with the initial orbital parameters (the apogee and perigee, which may not include the minimum altitude), and</w:t>
      </w:r>
      <w:r w:rsidR="005635E5" w:rsidRPr="00931B79">
        <w:rPr>
          <w:color w:val="000000"/>
        </w:rPr>
        <w:t>,</w:t>
      </w:r>
      <w:r w:rsidR="00B23ABD" w:rsidRPr="00931B79">
        <w:rPr>
          <w:color w:val="000000"/>
        </w:rPr>
        <w:t xml:space="preserve"> therefore, commitments that the satellite network will not cause more interference or require more protection, as compared to the initial orbital parameters</w:t>
      </w:r>
      <w:r w:rsidR="005635E5" w:rsidRPr="00931B79">
        <w:rPr>
          <w:color w:val="000000"/>
        </w:rPr>
        <w:t>,</w:t>
      </w:r>
      <w:r w:rsidR="00B23ABD" w:rsidRPr="00931B79">
        <w:rPr>
          <w:color w:val="000000"/>
        </w:rPr>
        <w:t xml:space="preserve"> should be provided by administration</w:t>
      </w:r>
      <w:r w:rsidR="005635E5" w:rsidRPr="00931B79">
        <w:rPr>
          <w:color w:val="000000"/>
        </w:rPr>
        <w:t>s;</w:t>
      </w:r>
    </w:p>
    <w:p w14:paraId="3D9BF7B0" w14:textId="0EEE1F89" w:rsidR="0065223D" w:rsidRPr="00931B79" w:rsidRDefault="0065223D" w:rsidP="0065223D">
      <w:pPr>
        <w:pStyle w:val="enumlev1"/>
        <w:pBdr>
          <w:top w:val="single" w:sz="4" w:space="1" w:color="auto"/>
          <w:left w:val="single" w:sz="4" w:space="4" w:color="auto"/>
          <w:bottom w:val="single" w:sz="4" w:space="1" w:color="auto"/>
          <w:right w:val="single" w:sz="4" w:space="4" w:color="auto"/>
        </w:pBdr>
        <w:rPr>
          <w:lang w:eastAsia="zh-CN"/>
        </w:rPr>
      </w:pPr>
      <w:r w:rsidRPr="00931B79">
        <w:rPr>
          <w:lang w:eastAsia="zh-CN"/>
        </w:rPr>
        <w:t>d)</w:t>
      </w:r>
      <w:r w:rsidRPr="00931B79">
        <w:rPr>
          <w:lang w:eastAsia="zh-CN"/>
        </w:rPr>
        <w:tab/>
      </w:r>
      <w:r w:rsidR="00B23ABD" w:rsidRPr="00931B79">
        <w:rPr>
          <w:color w:val="000000"/>
        </w:rPr>
        <w:t xml:space="preserve">the examination, for example under No. </w:t>
      </w:r>
      <w:r w:rsidR="00B23ABD" w:rsidRPr="00931B79">
        <w:rPr>
          <w:rStyle w:val="ECCHLbold"/>
          <w:color w:val="000000"/>
        </w:rPr>
        <w:t>21.16</w:t>
      </w:r>
      <w:r w:rsidR="00B23ABD" w:rsidRPr="00931B79">
        <w:rPr>
          <w:color w:val="000000"/>
        </w:rPr>
        <w:t>, should be carried out based on the worst-case approach for any orbital altitudes between the initial one and the minimum altitude</w:t>
      </w:r>
      <w:r w:rsidR="005635E5" w:rsidRPr="00931B79">
        <w:rPr>
          <w:color w:val="000000"/>
        </w:rPr>
        <w:t>.</w:t>
      </w:r>
    </w:p>
    <w:p w14:paraId="3818FAA0" w14:textId="77777777" w:rsidR="00B23ABD" w:rsidRPr="00931B79" w:rsidRDefault="00B23ABD" w:rsidP="005635E5">
      <w:pPr>
        <w:pStyle w:val="ECCTabletext"/>
        <w:widowControl w:val="0"/>
        <w:pBdr>
          <w:top w:val="single" w:sz="4" w:space="1" w:color="auto"/>
          <w:left w:val="single" w:sz="4" w:space="4" w:color="auto"/>
          <w:bottom w:val="single" w:sz="4" w:space="1" w:color="auto"/>
          <w:right w:val="single" w:sz="4" w:space="4" w:color="auto"/>
        </w:pBdr>
        <w:spacing w:before="120"/>
      </w:pPr>
      <w:proofErr w:type="gramStart"/>
      <w:r w:rsidRPr="00931B79">
        <w:t>In order to</w:t>
      </w:r>
      <w:proofErr w:type="gramEnd"/>
      <w:r w:rsidRPr="00931B79">
        <w:t xml:space="preserve"> better represent such systems in the coordination and notification for recording of satellite network filings submitted to the ITU and to help the Bureau during the verification of the bringing into use and continuous use of these satellite networks, the Bureau invites the Conference to consider the addition of the following data items to Annex 2 of Appendix </w:t>
      </w:r>
      <w:r w:rsidRPr="00931B79">
        <w:rPr>
          <w:rStyle w:val="ECCHLbold"/>
        </w:rPr>
        <w:t>4</w:t>
      </w:r>
      <w:r w:rsidRPr="00931B79">
        <w:t>:</w:t>
      </w:r>
    </w:p>
    <w:p w14:paraId="31538C6A" w14:textId="56F8FAEE" w:rsidR="00B23ABD" w:rsidRPr="00931B79" w:rsidRDefault="00B23ABD" w:rsidP="002B06E7">
      <w:pPr>
        <w:pStyle w:val="ECCTabletext"/>
        <w:widowControl w:val="0"/>
        <w:pBdr>
          <w:top w:val="single" w:sz="4" w:space="1" w:color="auto"/>
          <w:left w:val="single" w:sz="4" w:space="4" w:color="auto"/>
          <w:bottom w:val="single" w:sz="4" w:space="1" w:color="auto"/>
          <w:right w:val="single" w:sz="4" w:space="4" w:color="auto"/>
        </w:pBdr>
        <w:ind w:left="1134" w:hanging="1134"/>
      </w:pPr>
      <w:r w:rsidRPr="00931B79">
        <w:t>i)</w:t>
      </w:r>
      <w:r w:rsidR="002B06E7" w:rsidRPr="00931B79">
        <w:tab/>
      </w:r>
      <w:r w:rsidRPr="00931B79">
        <w:t>a new data item “</w:t>
      </w:r>
      <w:r w:rsidRPr="00931B79">
        <w:rPr>
          <w:rStyle w:val="Emphasis"/>
        </w:rPr>
        <w:t>an indicator [Y/N] of whether the space station uses station-keeping to maintain the altitudes of the apogee and perigee</w:t>
      </w:r>
      <w:r w:rsidRPr="00931B79">
        <w:t>”, required for each orbital plane of a non-GSO satellite network or system with reference body “Earth”; and,</w:t>
      </w:r>
    </w:p>
    <w:p w14:paraId="65069C77" w14:textId="22CAD089" w:rsidR="0065223D" w:rsidRPr="00931B79" w:rsidRDefault="00B23ABD" w:rsidP="002B06E7">
      <w:pPr>
        <w:pStyle w:val="ECCTabletext"/>
        <w:widowControl w:val="0"/>
        <w:pBdr>
          <w:top w:val="single" w:sz="4" w:space="1" w:color="auto"/>
          <w:left w:val="single" w:sz="4" w:space="4" w:color="auto"/>
          <w:bottom w:val="single" w:sz="4" w:space="1" w:color="auto"/>
          <w:right w:val="single" w:sz="4" w:space="4" w:color="auto"/>
        </w:pBdr>
        <w:spacing w:before="120" w:after="0"/>
        <w:ind w:left="1134" w:hanging="1134"/>
        <w:rPr>
          <w:color w:val="000000"/>
        </w:rPr>
      </w:pPr>
      <w:r w:rsidRPr="00931B79">
        <w:rPr>
          <w:color w:val="000000"/>
        </w:rPr>
        <w:t>ii)</w:t>
      </w:r>
      <w:r w:rsidR="002B06E7" w:rsidRPr="00931B79">
        <w:rPr>
          <w:color w:val="000000"/>
        </w:rPr>
        <w:tab/>
      </w:r>
      <w:r w:rsidRPr="00931B79">
        <w:rPr>
          <w:color w:val="000000"/>
        </w:rPr>
        <w:t>a new data item “</w:t>
      </w:r>
      <w:r w:rsidRPr="00931B79">
        <w:rPr>
          <w:rStyle w:val="Emphasis"/>
          <w:b/>
          <w:color w:val="000000"/>
        </w:rPr>
        <w:t>the altitude of the apogee and perigee (km) as a function of the time (days) beginning from the date of bringing into use for all orbital planes with different orbital characteristics</w:t>
      </w:r>
      <w:r w:rsidRPr="00931B79">
        <w:rPr>
          <w:color w:val="000000"/>
        </w:rPr>
        <w:t>”, required for non-GSO satellite networks for which the indicator introduced above is “N”.</w:t>
      </w:r>
    </w:p>
    <w:p w14:paraId="49AD69AE" w14:textId="7DE5D22D" w:rsidR="0065223D" w:rsidRPr="00931B79" w:rsidRDefault="006628AB" w:rsidP="0065223D">
      <w:pPr>
        <w:rPr>
          <w:lang w:eastAsia="zh-CN"/>
        </w:rPr>
      </w:pPr>
      <w:r w:rsidRPr="00931B79">
        <w:rPr>
          <w:b/>
          <w:bCs/>
        </w:rPr>
        <w:t xml:space="preserve">Views and Proposals: </w:t>
      </w:r>
      <w:r w:rsidR="00504128" w:rsidRPr="00504128">
        <w:t>This Administration</w:t>
      </w:r>
      <w:r w:rsidRPr="00931B79">
        <w:t xml:space="preserve"> endorse</w:t>
      </w:r>
      <w:r w:rsidR="001C5618">
        <w:t>s</w:t>
      </w:r>
      <w:r w:rsidRPr="00931B79">
        <w:t xml:space="preserve"> the addition of the two new data </w:t>
      </w:r>
      <w:r w:rsidR="001C5618">
        <w:t>items</w:t>
      </w:r>
      <w:r w:rsidRPr="00931B79">
        <w:t xml:space="preserve"> to Annex 2 of </w:t>
      </w:r>
      <w:r w:rsidR="001C5618">
        <w:t xml:space="preserve">RR </w:t>
      </w:r>
      <w:r w:rsidRPr="00931B79">
        <w:t xml:space="preserve">Appendix </w:t>
      </w:r>
      <w:r w:rsidRPr="00931B79">
        <w:rPr>
          <w:b/>
          <w:bCs/>
        </w:rPr>
        <w:t>4</w:t>
      </w:r>
      <w:r w:rsidRPr="00931B79">
        <w:t xml:space="preserve"> as suggested, contingent upon the approval of the preceding proposal.</w:t>
      </w:r>
    </w:p>
    <w:p w14:paraId="5E4CB1DD" w14:textId="5A250AAF" w:rsidR="00921854" w:rsidRPr="00931B79" w:rsidRDefault="0065223D">
      <w:pPr>
        <w:pStyle w:val="Reasons"/>
        <w:rPr>
          <w:lang w:eastAsia="zh-CN"/>
        </w:rPr>
      </w:pPr>
      <w:r w:rsidRPr="00931B79">
        <w:rPr>
          <w:b/>
          <w:lang w:eastAsia="zh-CN"/>
        </w:rPr>
        <w:t>Reasons:</w:t>
      </w:r>
      <w:r w:rsidRPr="00931B79">
        <w:rPr>
          <w:lang w:eastAsia="zh-CN"/>
        </w:rPr>
        <w:tab/>
      </w:r>
      <w:r w:rsidR="001C5618" w:rsidRPr="00931B79">
        <w:rPr>
          <w:lang w:eastAsia="zh-CN"/>
        </w:rPr>
        <w:t>This Administration</w:t>
      </w:r>
      <w:r w:rsidR="006628AB" w:rsidRPr="00931B79">
        <w:t xml:space="preserve"> believe</w:t>
      </w:r>
      <w:r w:rsidR="001C5618">
        <w:t>s</w:t>
      </w:r>
      <w:r w:rsidR="006628AB" w:rsidRPr="00931B79">
        <w:t xml:space="preserve"> that the orbital decay data must be checked to ensure that it aligns with the anticipated lifespan of the space station</w:t>
      </w:r>
      <w:r w:rsidR="000C7C03" w:rsidRPr="00931B79">
        <w:t>.</w:t>
      </w:r>
    </w:p>
    <w:p w14:paraId="3F50510A" w14:textId="77777777" w:rsidR="00921854" w:rsidRPr="00931B79" w:rsidRDefault="0065223D">
      <w:pPr>
        <w:pStyle w:val="Proposal"/>
        <w:rPr>
          <w:lang w:eastAsia="zh-CN"/>
        </w:rPr>
      </w:pPr>
      <w:r w:rsidRPr="00931B79">
        <w:rPr>
          <w:lang w:eastAsia="zh-CN"/>
        </w:rPr>
        <w:tab/>
        <w:t>CHN/111A25A4/2</w:t>
      </w:r>
    </w:p>
    <w:p w14:paraId="280968F1" w14:textId="34AEA77F" w:rsidR="0065223D" w:rsidRPr="00931B79" w:rsidRDefault="0065223D" w:rsidP="002B06E7">
      <w:pPr>
        <w:pStyle w:val="Heading4"/>
        <w:rPr>
          <w:lang w:eastAsia="zh-CN"/>
        </w:rPr>
      </w:pPr>
      <w:r w:rsidRPr="00931B79">
        <w:rPr>
          <w:lang w:eastAsia="zh-CN"/>
        </w:rPr>
        <w:t>3.2.1.11</w:t>
      </w:r>
      <w:r w:rsidRPr="00931B79">
        <w:rPr>
          <w:lang w:eastAsia="zh-CN"/>
        </w:rPr>
        <w:tab/>
      </w:r>
      <w:r w:rsidR="006628AB" w:rsidRPr="00931B79">
        <w:t>Steerable beams</w:t>
      </w:r>
      <w:r w:rsidRPr="00931B79">
        <w:rPr>
          <w:lang w:eastAsia="zh-CN"/>
        </w:rPr>
        <w:t xml:space="preserve"> </w:t>
      </w:r>
    </w:p>
    <w:p w14:paraId="699968E9" w14:textId="4B06166E" w:rsidR="006628AB" w:rsidRPr="00931B79" w:rsidRDefault="006628AB" w:rsidP="006628AB">
      <w:pPr>
        <w:widowControl w:val="0"/>
        <w:pBdr>
          <w:top w:val="single" w:sz="4" w:space="1" w:color="auto"/>
          <w:left w:val="single" w:sz="4" w:space="4" w:color="auto"/>
          <w:bottom w:val="single" w:sz="4" w:space="1" w:color="auto"/>
          <w:right w:val="single" w:sz="4" w:space="4" w:color="auto"/>
        </w:pBdr>
        <w:rPr>
          <w:rFonts w:eastAsia="SimSun"/>
        </w:rPr>
      </w:pPr>
      <w:r w:rsidRPr="00931B79">
        <w:rPr>
          <w:rFonts w:eastAsia="SimSun"/>
        </w:rPr>
        <w:t xml:space="preserve">The Bureau notes that for steerable beams, when satellite antenna can be steered towards any point in the service area, </w:t>
      </w:r>
      <w:r w:rsidR="005635E5" w:rsidRPr="00931B79">
        <w:rPr>
          <w:rFonts w:eastAsia="SimSun"/>
        </w:rPr>
        <w:t>administrations normally submit for this data element a note</w:t>
      </w:r>
      <w:r w:rsidRPr="00931B79">
        <w:rPr>
          <w:rFonts w:eastAsia="SimSun"/>
        </w:rPr>
        <w:t xml:space="preserve">, either indicating that this diagram cannot be provided or that gain will be constant and equal to the maximum gain (item B.3.a.1 of Appendix </w:t>
      </w:r>
      <w:r w:rsidRPr="00931B79">
        <w:rPr>
          <w:rFonts w:eastAsia="SimSun"/>
          <w:b/>
          <w:bCs/>
        </w:rPr>
        <w:t>4</w:t>
      </w:r>
      <w:r w:rsidRPr="00931B79">
        <w:rPr>
          <w:rFonts w:eastAsia="SimSun"/>
        </w:rPr>
        <w:t>) for any elevation angle (or submitting this diagram with a constant gain).</w:t>
      </w:r>
    </w:p>
    <w:p w14:paraId="3D5A9BEB" w14:textId="3D40502F" w:rsidR="006628AB" w:rsidRPr="00931B79" w:rsidRDefault="006628AB" w:rsidP="006628AB">
      <w:pPr>
        <w:widowControl w:val="0"/>
        <w:pBdr>
          <w:top w:val="single" w:sz="4" w:space="1" w:color="auto"/>
          <w:left w:val="single" w:sz="4" w:space="4" w:color="auto"/>
          <w:bottom w:val="single" w:sz="4" w:space="1" w:color="auto"/>
          <w:right w:val="single" w:sz="4" w:space="4" w:color="auto"/>
        </w:pBdr>
        <w:suppressAutoHyphens/>
        <w:overflowPunct/>
        <w:autoSpaceDE/>
        <w:autoSpaceDN/>
        <w:adjustRightInd/>
        <w:spacing w:before="0" w:after="60"/>
        <w:rPr>
          <w:rFonts w:eastAsia="SimSun"/>
        </w:rPr>
      </w:pPr>
      <w:r w:rsidRPr="00931B79">
        <w:rPr>
          <w:rFonts w:eastAsia="SimSun"/>
        </w:rPr>
        <w:t>Due to the difficulties in interpreting this information</w:t>
      </w:r>
      <w:r w:rsidR="005635E5" w:rsidRPr="00931B79">
        <w:rPr>
          <w:rFonts w:eastAsia="SimSun"/>
        </w:rPr>
        <w:t>,</w:t>
      </w:r>
      <w:r w:rsidRPr="00931B79">
        <w:rPr>
          <w:rFonts w:eastAsia="SimSun"/>
        </w:rPr>
        <w:t xml:space="preserve"> the Bureau currently does</w:t>
      </w:r>
      <w:r w:rsidR="005635E5" w:rsidRPr="00931B79">
        <w:rPr>
          <w:rFonts w:eastAsia="SimSun"/>
        </w:rPr>
        <w:t xml:space="preserve"> </w:t>
      </w:r>
      <w:r w:rsidRPr="00931B79">
        <w:rPr>
          <w:rFonts w:eastAsia="SimSun"/>
        </w:rPr>
        <w:t>n</w:t>
      </w:r>
      <w:r w:rsidR="005635E5" w:rsidRPr="00931B79">
        <w:rPr>
          <w:rFonts w:eastAsia="SimSun"/>
        </w:rPr>
        <w:t>o</w:t>
      </w:r>
      <w:r w:rsidRPr="00931B79">
        <w:rPr>
          <w:rFonts w:eastAsia="SimSun"/>
        </w:rPr>
        <w:t xml:space="preserve">t generally use information provided in item B.4.b.2 for the examination under RR Article </w:t>
      </w:r>
      <w:r w:rsidRPr="00931B79">
        <w:rPr>
          <w:rFonts w:eastAsia="SimSun"/>
          <w:b/>
          <w:bCs/>
        </w:rPr>
        <w:t>21</w:t>
      </w:r>
      <w:r w:rsidRPr="00931B79">
        <w:rPr>
          <w:rFonts w:eastAsia="SimSun"/>
        </w:rPr>
        <w:t xml:space="preserve"> or other provisions of </w:t>
      </w:r>
      <w:r w:rsidRPr="00931B79">
        <w:rPr>
          <w:rFonts w:eastAsia="SimSun"/>
        </w:rPr>
        <w:lastRenderedPageBreak/>
        <w:t xml:space="preserve">the Radio </w:t>
      </w:r>
      <w:r w:rsidR="005635E5" w:rsidRPr="00931B79">
        <w:rPr>
          <w:rFonts w:eastAsia="SimSun"/>
        </w:rPr>
        <w:t>R</w:t>
      </w:r>
      <w:r w:rsidRPr="00931B79">
        <w:rPr>
          <w:rFonts w:eastAsia="SimSun"/>
        </w:rPr>
        <w:t>egulations.</w:t>
      </w:r>
    </w:p>
    <w:p w14:paraId="581C6814" w14:textId="01657561" w:rsidR="006628AB" w:rsidRPr="00931B79" w:rsidRDefault="006628AB" w:rsidP="006628AB">
      <w:pPr>
        <w:widowControl w:val="0"/>
        <w:pBdr>
          <w:top w:val="single" w:sz="4" w:space="1" w:color="auto"/>
          <w:left w:val="single" w:sz="4" w:space="4" w:color="auto"/>
          <w:bottom w:val="single" w:sz="4" w:space="1" w:color="auto"/>
          <w:right w:val="single" w:sz="4" w:space="4" w:color="auto"/>
        </w:pBdr>
        <w:suppressAutoHyphens/>
        <w:overflowPunct/>
        <w:autoSpaceDE/>
        <w:autoSpaceDN/>
        <w:adjustRightInd/>
        <w:spacing w:before="0" w:after="60"/>
        <w:rPr>
          <w:rFonts w:eastAsia="SimSun"/>
          <w:color w:val="000000"/>
        </w:rPr>
      </w:pPr>
      <w:r w:rsidRPr="00931B79">
        <w:rPr>
          <w:rFonts w:eastAsia="SimSun"/>
          <w:color w:val="000000"/>
        </w:rPr>
        <w:t>However, the Bureau considers introducing an additional element which would indicate maximum gain versus elevation for steerable beams using phased-array antennas or electronically steered beams.</w:t>
      </w:r>
      <w:r w:rsidR="00931B79">
        <w:rPr>
          <w:rFonts w:eastAsia="SimSun"/>
          <w:color w:val="000000"/>
        </w:rPr>
        <w:t xml:space="preserve"> </w:t>
      </w:r>
      <w:r w:rsidRPr="00931B79">
        <w:rPr>
          <w:rFonts w:eastAsia="SimSun"/>
          <w:color w:val="000000"/>
        </w:rPr>
        <w:t xml:space="preserve">Furthermore, the Bureau believes that such data should not be limited to only non-GSO space stations that are being submitted in accordance with RR Nos. </w:t>
      </w:r>
      <w:r w:rsidRPr="00931B79">
        <w:rPr>
          <w:rFonts w:eastAsia="SimSun"/>
          <w:b/>
          <w:bCs/>
          <w:color w:val="000000"/>
        </w:rPr>
        <w:t>9.11A</w:t>
      </w:r>
      <w:r w:rsidRPr="00931B79">
        <w:rPr>
          <w:rFonts w:eastAsia="SimSun"/>
          <w:color w:val="000000"/>
        </w:rPr>
        <w:t xml:space="preserve">, </w:t>
      </w:r>
      <w:r w:rsidRPr="00931B79">
        <w:rPr>
          <w:rFonts w:eastAsia="SimSun"/>
          <w:b/>
          <w:bCs/>
          <w:color w:val="000000"/>
        </w:rPr>
        <w:t>9.12</w:t>
      </w:r>
      <w:r w:rsidRPr="00931B79">
        <w:rPr>
          <w:rFonts w:eastAsia="SimSun"/>
          <w:color w:val="000000"/>
        </w:rPr>
        <w:t xml:space="preserve"> or </w:t>
      </w:r>
      <w:r w:rsidRPr="00931B79">
        <w:rPr>
          <w:rFonts w:eastAsia="SimSun"/>
          <w:b/>
          <w:bCs/>
          <w:color w:val="000000"/>
        </w:rPr>
        <w:t>9.12A</w:t>
      </w:r>
      <w:r w:rsidRPr="00931B79">
        <w:rPr>
          <w:rFonts w:eastAsia="SimSun"/>
          <w:color w:val="000000"/>
        </w:rPr>
        <w:t>.</w:t>
      </w:r>
    </w:p>
    <w:p w14:paraId="0339961B" w14:textId="17C86B1B" w:rsidR="0065223D" w:rsidRPr="00931B79" w:rsidRDefault="006628AB" w:rsidP="002B06E7">
      <w:pPr>
        <w:pBdr>
          <w:top w:val="single" w:sz="4" w:space="1" w:color="auto"/>
          <w:left w:val="single" w:sz="4" w:space="4" w:color="auto"/>
          <w:bottom w:val="single" w:sz="4" w:space="1" w:color="auto"/>
          <w:right w:val="single" w:sz="4" w:space="4" w:color="auto"/>
        </w:pBdr>
        <w:rPr>
          <w:lang w:eastAsia="zh-CN"/>
        </w:rPr>
      </w:pPr>
      <w:r w:rsidRPr="00931B79">
        <w:rPr>
          <w:rFonts w:eastAsia="SimSun"/>
          <w:color w:val="000000"/>
        </w:rPr>
        <w:t>The Bureau invites the Conference to consider</w:t>
      </w:r>
      <w:r w:rsidRPr="00931B79">
        <w:rPr>
          <w:lang w:eastAsia="zh-CN"/>
        </w:rPr>
        <w:t>:</w:t>
      </w:r>
    </w:p>
    <w:p w14:paraId="53403CC2" w14:textId="6750FF8D" w:rsidR="0065223D" w:rsidRPr="00931B79" w:rsidRDefault="0065223D" w:rsidP="0065223D">
      <w:pPr>
        <w:pStyle w:val="enumlev1"/>
        <w:pBdr>
          <w:top w:val="single" w:sz="4" w:space="1" w:color="auto"/>
          <w:left w:val="single" w:sz="4" w:space="4" w:color="auto"/>
          <w:bottom w:val="single" w:sz="4" w:space="1" w:color="auto"/>
          <w:right w:val="single" w:sz="4" w:space="4" w:color="auto"/>
        </w:pBdr>
        <w:rPr>
          <w:lang w:eastAsia="zh-CN"/>
        </w:rPr>
      </w:pPr>
      <w:r w:rsidRPr="00931B79">
        <w:rPr>
          <w:lang w:eastAsia="zh-CN"/>
        </w:rPr>
        <w:t>1)</w:t>
      </w:r>
      <w:r w:rsidRPr="00931B79">
        <w:rPr>
          <w:lang w:eastAsia="zh-CN"/>
        </w:rPr>
        <w:tab/>
      </w:r>
      <w:r w:rsidR="006628AB" w:rsidRPr="00931B79">
        <w:rPr>
          <w:rFonts w:eastAsia="SimSun"/>
          <w:color w:val="000000"/>
        </w:rPr>
        <w:t xml:space="preserve">proposed modifications </w:t>
      </w:r>
      <w:r w:rsidR="004062A1" w:rsidRPr="00931B79">
        <w:rPr>
          <w:rFonts w:eastAsia="SimSun"/>
          <w:color w:val="000000"/>
        </w:rPr>
        <w:t xml:space="preserve">to </w:t>
      </w:r>
      <w:r w:rsidR="006628AB" w:rsidRPr="00931B79">
        <w:rPr>
          <w:rFonts w:eastAsia="SimSun"/>
          <w:color w:val="000000"/>
        </w:rPr>
        <w:t xml:space="preserve">item B.4.b.2 of Appendix </w:t>
      </w:r>
      <w:r w:rsidR="006628AB" w:rsidRPr="00931B79">
        <w:rPr>
          <w:rFonts w:eastAsia="SimSun"/>
          <w:b/>
          <w:bCs/>
          <w:color w:val="000000"/>
        </w:rPr>
        <w:t>4</w:t>
      </w:r>
      <w:r w:rsidR="006628AB" w:rsidRPr="00931B79">
        <w:rPr>
          <w:rFonts w:eastAsia="SimSun"/>
          <w:color w:val="000000"/>
        </w:rPr>
        <w:t xml:space="preserve"> or,</w:t>
      </w:r>
    </w:p>
    <w:p w14:paraId="6267CC19" w14:textId="7E71B924" w:rsidR="0065223D" w:rsidRPr="00931B79" w:rsidRDefault="0065223D" w:rsidP="0065223D">
      <w:pPr>
        <w:pStyle w:val="enumlev1"/>
        <w:pBdr>
          <w:top w:val="single" w:sz="4" w:space="1" w:color="auto"/>
          <w:left w:val="single" w:sz="4" w:space="4" w:color="auto"/>
          <w:bottom w:val="single" w:sz="4" w:space="1" w:color="auto"/>
          <w:right w:val="single" w:sz="4" w:space="4" w:color="auto"/>
        </w:pBdr>
        <w:rPr>
          <w:lang w:eastAsia="zh-CN"/>
        </w:rPr>
      </w:pPr>
      <w:r w:rsidRPr="00931B79">
        <w:rPr>
          <w:lang w:eastAsia="zh-CN"/>
        </w:rPr>
        <w:t>2)</w:t>
      </w:r>
      <w:r w:rsidRPr="00931B79">
        <w:rPr>
          <w:lang w:eastAsia="zh-CN"/>
        </w:rPr>
        <w:tab/>
      </w:r>
      <w:r w:rsidR="006628AB" w:rsidRPr="00931B79">
        <w:rPr>
          <w:rFonts w:eastAsia="SimSun"/>
          <w:color w:val="000000"/>
        </w:rPr>
        <w:t>the suppression of item B.4.b.2.</w:t>
      </w:r>
    </w:p>
    <w:p w14:paraId="430DC1F5" w14:textId="427AE9BE" w:rsidR="0065223D" w:rsidRPr="00931B79" w:rsidRDefault="00860536" w:rsidP="002B06E7">
      <w:pPr>
        <w:rPr>
          <w:lang w:eastAsia="zh-CN"/>
        </w:rPr>
      </w:pPr>
      <w:r w:rsidRPr="00931B79">
        <w:rPr>
          <w:b/>
          <w:bCs/>
        </w:rPr>
        <w:t xml:space="preserve">Views and Proposals: </w:t>
      </w:r>
      <w:r w:rsidR="000554C7" w:rsidRPr="00931B79">
        <w:rPr>
          <w:lang w:eastAsia="zh-CN"/>
        </w:rPr>
        <w:t>This Administration</w:t>
      </w:r>
      <w:r w:rsidRPr="00931B79">
        <w:t xml:space="preserve"> support</w:t>
      </w:r>
      <w:r w:rsidR="000554C7">
        <w:t>s</w:t>
      </w:r>
      <w:r w:rsidRPr="00931B79">
        <w:t xml:space="preserve"> the Bureau's addition of an element detailing the maximum gain versus elevation for phased-array antennas or electronically steered beams, and the removal of item B.4.b.2</w:t>
      </w:r>
      <w:r w:rsidR="000C7C03" w:rsidRPr="00931B79">
        <w:rPr>
          <w:b/>
          <w:bCs/>
        </w:rPr>
        <w:t>.</w:t>
      </w:r>
    </w:p>
    <w:p w14:paraId="3B717E28" w14:textId="11E466FA" w:rsidR="0065223D" w:rsidRPr="00931B79" w:rsidRDefault="0065223D" w:rsidP="0065223D">
      <w:pPr>
        <w:pStyle w:val="Reasons"/>
        <w:rPr>
          <w:lang w:eastAsia="zh-CN"/>
        </w:rPr>
      </w:pPr>
      <w:r w:rsidRPr="00931B79">
        <w:rPr>
          <w:b/>
          <w:lang w:eastAsia="zh-CN"/>
        </w:rPr>
        <w:t>Reasons:</w:t>
      </w:r>
      <w:r w:rsidRPr="00931B79">
        <w:rPr>
          <w:lang w:eastAsia="zh-CN"/>
        </w:rPr>
        <w:tab/>
      </w:r>
      <w:r w:rsidR="00860536" w:rsidRPr="00931B79">
        <w:t xml:space="preserve">For phased array antennas, the gain changes regardless of the elevation angle. Therefore, a new parameter is needed to describe the above characteristics, so that the calibration of </w:t>
      </w:r>
      <w:r w:rsidR="00272BE0">
        <w:t xml:space="preserve">RR </w:t>
      </w:r>
      <w:r w:rsidR="00860536" w:rsidRPr="00931B79">
        <w:t xml:space="preserve">Article </w:t>
      </w:r>
      <w:r w:rsidR="00860536" w:rsidRPr="00931B79">
        <w:rPr>
          <w:b/>
          <w:bCs/>
        </w:rPr>
        <w:t>21</w:t>
      </w:r>
      <w:r w:rsidR="00860536" w:rsidRPr="00931B79">
        <w:t xml:space="preserve"> can also use the curve of elevation angle and maximum gain.</w:t>
      </w:r>
    </w:p>
    <w:p w14:paraId="7F7F379C" w14:textId="08825786" w:rsidR="00921854" w:rsidRDefault="0065223D" w:rsidP="0065223D">
      <w:pPr>
        <w:jc w:val="center"/>
      </w:pPr>
      <w:r w:rsidRPr="00931B79">
        <w:t>______________</w:t>
      </w:r>
    </w:p>
    <w:sectPr w:rsidR="00921854"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1B78" w14:textId="77777777" w:rsidR="00675377" w:rsidRDefault="00675377">
      <w:r>
        <w:separator/>
      </w:r>
    </w:p>
  </w:endnote>
  <w:endnote w:type="continuationSeparator" w:id="0">
    <w:p w14:paraId="23D54C65" w14:textId="77777777" w:rsidR="00675377" w:rsidRDefault="0067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C7D3" w14:textId="77777777" w:rsidR="00E45D05" w:rsidRDefault="00E45D05">
    <w:pPr>
      <w:framePr w:wrap="around" w:vAnchor="text" w:hAnchor="margin" w:xAlign="right" w:y="1"/>
    </w:pPr>
    <w:r>
      <w:fldChar w:fldCharType="begin"/>
    </w:r>
    <w:r>
      <w:instrText xml:space="preserve">PAGE  </w:instrText>
    </w:r>
    <w:r>
      <w:fldChar w:fldCharType="end"/>
    </w:r>
  </w:p>
  <w:p w14:paraId="306DA90B" w14:textId="13D88BA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4340A">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0D67" w14:textId="5A71B829" w:rsidR="00E45D05" w:rsidRDefault="00E45D05" w:rsidP="009B1EA1">
    <w:pPr>
      <w:pStyle w:val="Footer"/>
    </w:pPr>
    <w:r>
      <w:fldChar w:fldCharType="begin"/>
    </w:r>
    <w:r w:rsidRPr="0041348E">
      <w:rPr>
        <w:lang w:val="en-US"/>
      </w:rPr>
      <w:instrText xml:space="preserve"> FILENAME \p  \* MERGEFORMAT </w:instrText>
    </w:r>
    <w:r>
      <w:fldChar w:fldCharType="separate"/>
    </w:r>
    <w:r w:rsidR="008A22CA">
      <w:rPr>
        <w:lang w:val="en-US"/>
      </w:rPr>
      <w:t>P:\TRAD\E\ITU-R\CONF-R\CMR23\100\111ADD25ADD04E.docx</w:t>
    </w:r>
    <w:r>
      <w:fldChar w:fldCharType="end"/>
    </w:r>
    <w:r w:rsidR="0065223D">
      <w:t xml:space="preserve"> (530545)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0A58" w14:textId="79635E9E" w:rsidR="0065223D" w:rsidRDefault="0065223D" w:rsidP="0065223D">
    <w:pPr>
      <w:pStyle w:val="Footer"/>
    </w:pPr>
    <w:r>
      <w:fldChar w:fldCharType="begin"/>
    </w:r>
    <w:r w:rsidRPr="0041348E">
      <w:rPr>
        <w:lang w:val="en-US"/>
      </w:rPr>
      <w:instrText xml:space="preserve"> FILENAME \p  \* MERGEFORMAT </w:instrText>
    </w:r>
    <w:r>
      <w:fldChar w:fldCharType="separate"/>
    </w:r>
    <w:r w:rsidR="002B06E7">
      <w:rPr>
        <w:lang w:val="en-US"/>
      </w:rPr>
      <w:t>P:\ENG\ITU-R\CONF-R\CMR23\100\111ADD25ADD04E.docx</w:t>
    </w:r>
    <w:r>
      <w:fldChar w:fldCharType="end"/>
    </w:r>
    <w:r>
      <w:t xml:space="preserve"> (530545)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0127" w14:textId="77777777" w:rsidR="00675377" w:rsidRDefault="00675377">
      <w:r>
        <w:rPr>
          <w:b/>
        </w:rPr>
        <w:t>_______________</w:t>
      </w:r>
    </w:p>
  </w:footnote>
  <w:footnote w:type="continuationSeparator" w:id="0">
    <w:p w14:paraId="138C62BB" w14:textId="77777777" w:rsidR="00675377" w:rsidRDefault="00675377">
      <w:r>
        <w:continuationSeparator/>
      </w:r>
    </w:p>
  </w:footnote>
  <w:footnote w:id="1">
    <w:p w14:paraId="572C36AE" w14:textId="77777777" w:rsidR="0065223D" w:rsidRDefault="0065223D"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BBB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9D17768" w14:textId="77777777" w:rsidR="00A066F1" w:rsidRPr="00A066F1" w:rsidRDefault="00BC75DE" w:rsidP="00241FA2">
    <w:pPr>
      <w:pStyle w:val="Header"/>
    </w:pPr>
    <w:r>
      <w:t>WRC</w:t>
    </w:r>
    <w:r w:rsidR="006D70B0">
      <w:t>23</w:t>
    </w:r>
    <w:r w:rsidR="00A066F1">
      <w:t>/</w:t>
    </w:r>
    <w:bookmarkStart w:id="8" w:name="OLE_LINK1"/>
    <w:bookmarkStart w:id="9" w:name="OLE_LINK2"/>
    <w:bookmarkStart w:id="10" w:name="OLE_LINK3"/>
    <w:r w:rsidR="00EB55C6">
      <w:t>111(Add.</w:t>
    </w:r>
    <w:proofErr w:type="gramStart"/>
    <w:r w:rsidR="00EB55C6">
      <w:t>25)(</w:t>
    </w:r>
    <w:proofErr w:type="gramEnd"/>
    <w:r w:rsidR="00EB55C6">
      <w:t>Add.4)</w:t>
    </w:r>
    <w:bookmarkEnd w:id="8"/>
    <w:bookmarkEnd w:id="9"/>
    <w:bookmarkEnd w:id="1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96781941">
    <w:abstractNumId w:val="0"/>
  </w:num>
  <w:num w:numId="2" w16cid:durableId="127455953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54C7"/>
    <w:rsid w:val="000705F2"/>
    <w:rsid w:val="00077239"/>
    <w:rsid w:val="0007795D"/>
    <w:rsid w:val="00086491"/>
    <w:rsid w:val="00091346"/>
    <w:rsid w:val="0009706C"/>
    <w:rsid w:val="000C7C03"/>
    <w:rsid w:val="000D154B"/>
    <w:rsid w:val="000D2DAF"/>
    <w:rsid w:val="000E463E"/>
    <w:rsid w:val="000F73FF"/>
    <w:rsid w:val="00114CF7"/>
    <w:rsid w:val="00116C7A"/>
    <w:rsid w:val="00123B68"/>
    <w:rsid w:val="00126F2E"/>
    <w:rsid w:val="00146F6F"/>
    <w:rsid w:val="00161F26"/>
    <w:rsid w:val="00187BD9"/>
    <w:rsid w:val="00190B55"/>
    <w:rsid w:val="001B6C02"/>
    <w:rsid w:val="001C3B5F"/>
    <w:rsid w:val="001C5618"/>
    <w:rsid w:val="001D058F"/>
    <w:rsid w:val="002009EA"/>
    <w:rsid w:val="00200BB3"/>
    <w:rsid w:val="00202756"/>
    <w:rsid w:val="00202CA0"/>
    <w:rsid w:val="00216B6D"/>
    <w:rsid w:val="0022757F"/>
    <w:rsid w:val="00241FA2"/>
    <w:rsid w:val="00253613"/>
    <w:rsid w:val="00271316"/>
    <w:rsid w:val="00272BE0"/>
    <w:rsid w:val="002B06E7"/>
    <w:rsid w:val="002B349C"/>
    <w:rsid w:val="002D58BE"/>
    <w:rsid w:val="002E12E0"/>
    <w:rsid w:val="002F4747"/>
    <w:rsid w:val="00302605"/>
    <w:rsid w:val="00361B37"/>
    <w:rsid w:val="00377BD3"/>
    <w:rsid w:val="00384088"/>
    <w:rsid w:val="003852CE"/>
    <w:rsid w:val="0039169B"/>
    <w:rsid w:val="003A7F8C"/>
    <w:rsid w:val="003B2284"/>
    <w:rsid w:val="003B532E"/>
    <w:rsid w:val="003D0F8B"/>
    <w:rsid w:val="003E0DB6"/>
    <w:rsid w:val="0040179E"/>
    <w:rsid w:val="004062A1"/>
    <w:rsid w:val="0041348E"/>
    <w:rsid w:val="00420873"/>
    <w:rsid w:val="00492075"/>
    <w:rsid w:val="004969AD"/>
    <w:rsid w:val="004A26C4"/>
    <w:rsid w:val="004B13CB"/>
    <w:rsid w:val="004D26EA"/>
    <w:rsid w:val="004D2BFB"/>
    <w:rsid w:val="004D5D5C"/>
    <w:rsid w:val="004F3DC0"/>
    <w:rsid w:val="0050139F"/>
    <w:rsid w:val="00504128"/>
    <w:rsid w:val="0055140B"/>
    <w:rsid w:val="005635E5"/>
    <w:rsid w:val="005861D7"/>
    <w:rsid w:val="005964AB"/>
    <w:rsid w:val="005C099A"/>
    <w:rsid w:val="005C31A5"/>
    <w:rsid w:val="005E10C9"/>
    <w:rsid w:val="005E290B"/>
    <w:rsid w:val="005E61DD"/>
    <w:rsid w:val="005F04D8"/>
    <w:rsid w:val="006023DF"/>
    <w:rsid w:val="00615426"/>
    <w:rsid w:val="00616219"/>
    <w:rsid w:val="00645B7D"/>
    <w:rsid w:val="0065223D"/>
    <w:rsid w:val="00657DE0"/>
    <w:rsid w:val="006628AB"/>
    <w:rsid w:val="00675377"/>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7E0011"/>
    <w:rsid w:val="00800972"/>
    <w:rsid w:val="00804475"/>
    <w:rsid w:val="00811633"/>
    <w:rsid w:val="00814037"/>
    <w:rsid w:val="00841216"/>
    <w:rsid w:val="00842AF0"/>
    <w:rsid w:val="00860536"/>
    <w:rsid w:val="0086171E"/>
    <w:rsid w:val="00872FC8"/>
    <w:rsid w:val="008845D0"/>
    <w:rsid w:val="00884D60"/>
    <w:rsid w:val="00892923"/>
    <w:rsid w:val="00896E56"/>
    <w:rsid w:val="008A22CA"/>
    <w:rsid w:val="008B43F2"/>
    <w:rsid w:val="008B6CFF"/>
    <w:rsid w:val="00921854"/>
    <w:rsid w:val="009274B4"/>
    <w:rsid w:val="00931B79"/>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07D8C"/>
    <w:rsid w:val="00B23ABD"/>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41CFC"/>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0BC9"/>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62345"/>
    <w:rsid w:val="00E976C1"/>
    <w:rsid w:val="00EA12E5"/>
    <w:rsid w:val="00EA22FE"/>
    <w:rsid w:val="00EB0812"/>
    <w:rsid w:val="00EB54B2"/>
    <w:rsid w:val="00EB55C6"/>
    <w:rsid w:val="00EF1932"/>
    <w:rsid w:val="00EF71B6"/>
    <w:rsid w:val="00F02766"/>
    <w:rsid w:val="00F05BD4"/>
    <w:rsid w:val="00F06473"/>
    <w:rsid w:val="00F320AA"/>
    <w:rsid w:val="00F4340A"/>
    <w:rsid w:val="00F6155B"/>
    <w:rsid w:val="00F65C19"/>
    <w:rsid w:val="00F822B0"/>
    <w:rsid w:val="00FB0CA5"/>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A280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hAnsiTheme="minorHAnsi" w:cstheme="minorBidi"/>
      <w:b/>
      <w:bCs/>
      <w:sz w:val="32"/>
      <w:szCs w:val="32"/>
      <w:lang w:val="en-US" w:eastAsia="zh-CN"/>
    </w:rPr>
  </w:style>
  <w:style w:type="character" w:styleId="Hyperlink">
    <w:name w:val="Hyperlink"/>
    <w:basedOn w:val="DefaultParagraphFont"/>
    <w:unhideWhenUsed/>
    <w:qFormat/>
    <w:rPr>
      <w:color w:val="0000FF" w:themeColor="hyperlink"/>
      <w:u w:val="single"/>
    </w:rPr>
  </w:style>
  <w:style w:type="character" w:styleId="FollowedHyperlink">
    <w:name w:val="FollowedHyperlink"/>
    <w:basedOn w:val="DefaultParagraphFont"/>
    <w:semiHidden/>
    <w:unhideWhenUsed/>
    <w:rsid w:val="0065223D"/>
    <w:rPr>
      <w:color w:val="800080" w:themeColor="followedHyperlink"/>
      <w:u w:val="single"/>
    </w:rPr>
  </w:style>
  <w:style w:type="character" w:customStyle="1" w:styleId="ReasonsChar">
    <w:name w:val="Reasons Char"/>
    <w:basedOn w:val="DefaultParagraphFont"/>
    <w:link w:val="Reasons"/>
    <w:qFormat/>
    <w:locked/>
    <w:rsid w:val="0065223D"/>
    <w:rPr>
      <w:rFonts w:ascii="Times New Roman" w:hAnsi="Times New Roman"/>
      <w:sz w:val="24"/>
      <w:lang w:val="en-GB" w:eastAsia="en-US"/>
    </w:rPr>
  </w:style>
  <w:style w:type="character" w:customStyle="1" w:styleId="ECCHLbold">
    <w:name w:val="ECC HL bold"/>
    <w:basedOn w:val="DefaultParagraphFont"/>
    <w:qFormat/>
    <w:rsid w:val="0040179E"/>
    <w:rPr>
      <w:b/>
      <w:bCs/>
    </w:rPr>
  </w:style>
  <w:style w:type="paragraph" w:customStyle="1" w:styleId="ECCTabletext">
    <w:name w:val="ECC Table text"/>
    <w:basedOn w:val="Normal"/>
    <w:qFormat/>
    <w:rsid w:val="00B23ABD"/>
    <w:pPr>
      <w:suppressAutoHyphens/>
      <w:overflowPunct/>
      <w:autoSpaceDE/>
      <w:autoSpaceDN/>
      <w:adjustRightInd/>
      <w:spacing w:before="0" w:after="60"/>
    </w:pPr>
    <w:rPr>
      <w:rFonts w:eastAsia="SimSun"/>
    </w:rPr>
  </w:style>
  <w:style w:type="character" w:styleId="Emphasis">
    <w:name w:val="Emphasis"/>
    <w:qFormat/>
    <w:rsid w:val="00B23ABD"/>
    <w:rPr>
      <w:i/>
    </w:rPr>
  </w:style>
  <w:style w:type="paragraph" w:styleId="Revision">
    <w:name w:val="Revision"/>
    <w:hidden/>
    <w:uiPriority w:val="99"/>
    <w:semiHidden/>
    <w:rsid w:val="007E001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WRC23-C-000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R23-WRC23-C-0111!A25-A4!MSW-E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1094-31AC-4F1F-893B-9120C6D246E8}">
  <ds:schemaRefs>
    <ds:schemaRef ds:uri="http://schemas.microsoft.com/sharepoint/v3/contenttype/forms"/>
  </ds:schemaRefs>
</ds:datastoreItem>
</file>

<file path=customXml/itemProps2.xml><?xml version="1.0" encoding="utf-8"?>
<ds:datastoreItem xmlns:ds="http://schemas.openxmlformats.org/officeDocument/2006/customXml" ds:itemID="{34FD76D1-E959-4ECF-902A-B8FD2838D539}">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5490FA8C-64C1-45D6-8601-9065627DF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97E0E-D8C7-4304-A724-CDA9175745A7}">
  <ds:schemaRefs>
    <ds:schemaRef ds:uri="http://schemas.microsoft.com/sharepoint/events"/>
  </ds:schemaRefs>
</ds:datastoreItem>
</file>

<file path=customXml/itemProps5.xml><?xml version="1.0" encoding="utf-8"?>
<ds:datastoreItem xmlns:ds="http://schemas.openxmlformats.org/officeDocument/2006/customXml" ds:itemID="{35D12517-3C5F-4B23-96FD-4C0B9E50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R23-WRC23-C-0111!A25-A4!MSW-E</vt:lpstr>
    </vt:vector>
  </TitlesOfParts>
  <Manager>General Secretariat - Pool</Manager>
  <Company>International Telecommunication Union (ITU)</Company>
  <LinksUpToDate>false</LinksUpToDate>
  <CharactersWithSpaces>5759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R23-WRC23-C-0111!A25-A4!MSW-E</dc:title>
  <dc:subject>World Radiocommunication Conference - 2023</dc:subject>
  <dc:creator>Documents Proposals Manager (DPM)</dc:creator>
  <cp:keywords>DPM_v2023.8.1.1_prod</cp:keywords>
  <dc:description>Uploaded on 2015.07.06</dc:description>
  <cp:lastModifiedBy>Xue, Kun</cp:lastModifiedBy>
  <cp:revision>3</cp:revision>
  <cp:lastPrinted>2017-02-10T08:23:00Z</cp:lastPrinted>
  <dcterms:created xsi:type="dcterms:W3CDTF">2023-11-06T17:33:00Z</dcterms:created>
  <dcterms:modified xsi:type="dcterms:W3CDTF">2023-11-06T17:34:00Z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