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37F7E3E" w14:textId="77777777" w:rsidTr="00752552">
        <w:trPr>
          <w:cantSplit/>
          <w:trHeight w:val="20"/>
        </w:trPr>
        <w:tc>
          <w:tcPr>
            <w:tcW w:w="1589" w:type="dxa"/>
            <w:vAlign w:val="center"/>
          </w:tcPr>
          <w:p w14:paraId="489610F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1521E7F" wp14:editId="2668E52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016F24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B5A9B3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E0150A3" w14:textId="77777777" w:rsidR="00752552" w:rsidRPr="000D1EE4" w:rsidRDefault="00752552" w:rsidP="00752552">
            <w:pPr>
              <w:jc w:val="right"/>
              <w:rPr>
                <w:rtl/>
                <w:lang w:bidi="ar-EG"/>
              </w:rPr>
            </w:pPr>
            <w:bookmarkStart w:id="0" w:name="ditulogo"/>
            <w:bookmarkEnd w:id="0"/>
            <w:r>
              <w:rPr>
                <w:noProof/>
              </w:rPr>
              <w:drawing>
                <wp:inline distT="0" distB="0" distL="0" distR="0" wp14:anchorId="212AC130" wp14:editId="004209A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5AB8CB4" w14:textId="77777777" w:rsidTr="00752552">
        <w:trPr>
          <w:cantSplit/>
          <w:trHeight w:val="20"/>
        </w:trPr>
        <w:tc>
          <w:tcPr>
            <w:tcW w:w="6696" w:type="dxa"/>
            <w:gridSpan w:val="2"/>
            <w:tcBorders>
              <w:bottom w:val="single" w:sz="12" w:space="0" w:color="auto"/>
            </w:tcBorders>
          </w:tcPr>
          <w:p w14:paraId="0D1AE246" w14:textId="77777777" w:rsidR="000D1EE4" w:rsidRPr="000D1EE4" w:rsidRDefault="000D1EE4" w:rsidP="000D1EE4">
            <w:pPr>
              <w:rPr>
                <w:rtl/>
                <w:lang w:bidi="ar-EG"/>
              </w:rPr>
            </w:pPr>
          </w:p>
        </w:tc>
        <w:tc>
          <w:tcPr>
            <w:tcW w:w="2970" w:type="dxa"/>
            <w:gridSpan w:val="2"/>
            <w:tcBorders>
              <w:bottom w:val="single" w:sz="12" w:space="0" w:color="auto"/>
            </w:tcBorders>
          </w:tcPr>
          <w:p w14:paraId="5B67516C" w14:textId="77777777" w:rsidR="000D1EE4" w:rsidRPr="000D1EE4" w:rsidRDefault="000D1EE4" w:rsidP="000D1EE4">
            <w:pPr>
              <w:rPr>
                <w:lang w:val="en-GB" w:bidi="ar-EG"/>
              </w:rPr>
            </w:pPr>
          </w:p>
        </w:tc>
      </w:tr>
      <w:tr w:rsidR="000D1EE4" w:rsidRPr="000D1EE4" w14:paraId="2074FF35" w14:textId="77777777" w:rsidTr="00752552">
        <w:trPr>
          <w:cantSplit/>
          <w:trHeight w:val="20"/>
        </w:trPr>
        <w:tc>
          <w:tcPr>
            <w:tcW w:w="6696" w:type="dxa"/>
            <w:gridSpan w:val="2"/>
            <w:tcBorders>
              <w:top w:val="single" w:sz="12" w:space="0" w:color="auto"/>
            </w:tcBorders>
          </w:tcPr>
          <w:p w14:paraId="4141A185" w14:textId="77777777" w:rsidR="000D1EE4" w:rsidRPr="000D1EE4" w:rsidRDefault="000D1EE4" w:rsidP="00A301E6">
            <w:pPr>
              <w:spacing w:before="0" w:line="240" w:lineRule="exact"/>
              <w:rPr>
                <w:b/>
                <w:bCs/>
                <w:rtl/>
                <w:lang w:bidi="ar-EG"/>
              </w:rPr>
            </w:pPr>
          </w:p>
        </w:tc>
        <w:tc>
          <w:tcPr>
            <w:tcW w:w="2970" w:type="dxa"/>
            <w:gridSpan w:val="2"/>
            <w:tcBorders>
              <w:top w:val="single" w:sz="12" w:space="0" w:color="auto"/>
            </w:tcBorders>
          </w:tcPr>
          <w:p w14:paraId="0DDE33C7" w14:textId="77777777" w:rsidR="000D1EE4" w:rsidRPr="000D1EE4" w:rsidRDefault="000D1EE4" w:rsidP="00A301E6">
            <w:pPr>
              <w:spacing w:before="0" w:line="240" w:lineRule="exact"/>
              <w:rPr>
                <w:b/>
                <w:bCs/>
                <w:lang w:bidi="ar-EG"/>
              </w:rPr>
            </w:pPr>
          </w:p>
        </w:tc>
      </w:tr>
      <w:tr w:rsidR="000D1EE4" w:rsidRPr="000D1EE4" w14:paraId="57DAAEBF" w14:textId="77777777" w:rsidTr="00752552">
        <w:trPr>
          <w:cantSplit/>
        </w:trPr>
        <w:tc>
          <w:tcPr>
            <w:tcW w:w="6696" w:type="dxa"/>
            <w:gridSpan w:val="2"/>
          </w:tcPr>
          <w:p w14:paraId="436F6AA5" w14:textId="77777777" w:rsidR="000D1EE4" w:rsidRPr="00505B26" w:rsidRDefault="00E50850" w:rsidP="00950C2C">
            <w:pPr>
              <w:pStyle w:val="Committee"/>
              <w:bidi/>
              <w:spacing w:line="260" w:lineRule="exact"/>
              <w:rPr>
                <w:rtl/>
                <w:lang w:bidi="ar-EG"/>
              </w:rPr>
            </w:pPr>
            <w:r w:rsidRPr="0018721C">
              <w:rPr>
                <w:rtl/>
                <w:lang w:bidi="ar-EG"/>
              </w:rPr>
              <w:t>الجلسة العامة</w:t>
            </w:r>
          </w:p>
        </w:tc>
        <w:tc>
          <w:tcPr>
            <w:tcW w:w="2970" w:type="dxa"/>
            <w:gridSpan w:val="2"/>
          </w:tcPr>
          <w:p w14:paraId="245B2657" w14:textId="77777777" w:rsidR="000D1EE4" w:rsidRPr="00C86C20" w:rsidRDefault="00E50850" w:rsidP="00950C2C">
            <w:pPr>
              <w:spacing w:before="60" w:after="60" w:line="260" w:lineRule="exact"/>
              <w:jc w:val="left"/>
              <w:rPr>
                <w:b/>
                <w:bCs/>
                <w:rtl/>
                <w:lang w:bidi="ar-EG"/>
              </w:rPr>
            </w:pPr>
            <w:r w:rsidRPr="00C86C20">
              <w:rPr>
                <w:rFonts w:eastAsia="SimSun"/>
                <w:b/>
                <w:bCs/>
                <w:rtl/>
                <w:lang w:bidi="ar-EG"/>
              </w:rPr>
              <w:t>الإضافة 4</w:t>
            </w:r>
            <w:r w:rsidRPr="00C86C20">
              <w:rPr>
                <w:rFonts w:eastAsia="SimSun"/>
                <w:b/>
                <w:bCs/>
                <w:rtl/>
                <w:lang w:bidi="ar-EG"/>
              </w:rPr>
              <w:br/>
              <w:t xml:space="preserve">للوثيقة </w:t>
            </w:r>
            <w:r w:rsidRPr="00C86C20">
              <w:rPr>
                <w:rFonts w:eastAsia="SimSun"/>
                <w:b/>
                <w:bCs/>
              </w:rPr>
              <w:t>111(Add.</w:t>
            </w:r>
            <w:proofErr w:type="gramStart"/>
            <w:r w:rsidRPr="00C86C20">
              <w:rPr>
                <w:rFonts w:eastAsia="SimSun"/>
                <w:b/>
                <w:bCs/>
              </w:rPr>
              <w:t>25)-</w:t>
            </w:r>
            <w:proofErr w:type="gramEnd"/>
            <w:r w:rsidRPr="00C86C20">
              <w:rPr>
                <w:rFonts w:eastAsia="SimSun"/>
                <w:b/>
                <w:bCs/>
              </w:rPr>
              <w:t>A</w:t>
            </w:r>
          </w:p>
        </w:tc>
      </w:tr>
      <w:tr w:rsidR="000D1EE4" w:rsidRPr="000D1EE4" w14:paraId="0A4E7B9B" w14:textId="77777777" w:rsidTr="00752552">
        <w:trPr>
          <w:cantSplit/>
        </w:trPr>
        <w:tc>
          <w:tcPr>
            <w:tcW w:w="6696" w:type="dxa"/>
            <w:gridSpan w:val="2"/>
          </w:tcPr>
          <w:p w14:paraId="7B6EB8BD" w14:textId="77777777" w:rsidR="000D1EE4" w:rsidRPr="000D1EE4" w:rsidRDefault="000D1EE4" w:rsidP="00950C2C">
            <w:pPr>
              <w:spacing w:before="60" w:after="60" w:line="260" w:lineRule="exact"/>
              <w:rPr>
                <w:b/>
                <w:bCs/>
                <w:rtl/>
                <w:lang w:bidi="ar-EG"/>
              </w:rPr>
            </w:pPr>
          </w:p>
        </w:tc>
        <w:tc>
          <w:tcPr>
            <w:tcW w:w="2970" w:type="dxa"/>
            <w:gridSpan w:val="2"/>
          </w:tcPr>
          <w:p w14:paraId="61B22551" w14:textId="77777777" w:rsidR="000D1EE4" w:rsidRPr="00C86C20" w:rsidRDefault="00E50850" w:rsidP="00950C2C">
            <w:pPr>
              <w:spacing w:before="60" w:after="60" w:line="260" w:lineRule="exact"/>
              <w:rPr>
                <w:b/>
                <w:bCs/>
                <w:rtl/>
                <w:lang w:bidi="ar-EG"/>
              </w:rPr>
            </w:pPr>
            <w:r w:rsidRPr="00C86C20">
              <w:rPr>
                <w:rFonts w:eastAsia="SimSun"/>
                <w:b/>
                <w:bCs/>
              </w:rPr>
              <w:t>30</w:t>
            </w:r>
            <w:r w:rsidRPr="00C86C20">
              <w:rPr>
                <w:rFonts w:eastAsia="SimSun"/>
                <w:b/>
                <w:bCs/>
                <w:rtl/>
              </w:rPr>
              <w:t xml:space="preserve"> أكتوبر </w:t>
            </w:r>
            <w:r w:rsidRPr="00C86C20">
              <w:rPr>
                <w:rFonts w:eastAsia="SimSun"/>
                <w:b/>
                <w:bCs/>
              </w:rPr>
              <w:t>2023</w:t>
            </w:r>
          </w:p>
        </w:tc>
      </w:tr>
      <w:tr w:rsidR="000D1EE4" w:rsidRPr="000D1EE4" w14:paraId="2CF64719" w14:textId="77777777" w:rsidTr="00752552">
        <w:trPr>
          <w:cantSplit/>
        </w:trPr>
        <w:tc>
          <w:tcPr>
            <w:tcW w:w="6696" w:type="dxa"/>
            <w:gridSpan w:val="2"/>
          </w:tcPr>
          <w:p w14:paraId="7FE8A15A" w14:textId="77777777" w:rsidR="000D1EE4" w:rsidRPr="000D1EE4" w:rsidRDefault="000D1EE4" w:rsidP="00950C2C">
            <w:pPr>
              <w:spacing w:before="60" w:after="60" w:line="260" w:lineRule="exact"/>
              <w:rPr>
                <w:b/>
                <w:bCs/>
                <w:rtl/>
                <w:lang w:bidi="ar-EG"/>
              </w:rPr>
            </w:pPr>
          </w:p>
        </w:tc>
        <w:tc>
          <w:tcPr>
            <w:tcW w:w="2970" w:type="dxa"/>
            <w:gridSpan w:val="2"/>
          </w:tcPr>
          <w:p w14:paraId="1A82F4CE" w14:textId="77777777" w:rsidR="000D1EE4" w:rsidRPr="00C86C20" w:rsidRDefault="00E50850" w:rsidP="00950C2C">
            <w:pPr>
              <w:spacing w:before="60" w:after="60" w:line="260" w:lineRule="exact"/>
              <w:rPr>
                <w:b/>
                <w:bCs/>
                <w:lang w:bidi="ar-EG"/>
              </w:rPr>
            </w:pPr>
            <w:r w:rsidRPr="00C86C20">
              <w:rPr>
                <w:rFonts w:ascii="Verdana Bold" w:hAnsi="Verdana Bold"/>
                <w:b/>
                <w:bCs/>
                <w:rtl/>
                <w:lang w:bidi="ar-EG"/>
              </w:rPr>
              <w:t>الأصل: بالصينية</w:t>
            </w:r>
          </w:p>
        </w:tc>
      </w:tr>
      <w:tr w:rsidR="000D1EE4" w:rsidRPr="000D1EE4" w14:paraId="7C8AE931" w14:textId="77777777" w:rsidTr="00752552">
        <w:trPr>
          <w:cantSplit/>
        </w:trPr>
        <w:tc>
          <w:tcPr>
            <w:tcW w:w="9666" w:type="dxa"/>
            <w:gridSpan w:val="4"/>
          </w:tcPr>
          <w:p w14:paraId="7F124FC3" w14:textId="77777777" w:rsidR="000D1EE4" w:rsidRPr="000D1EE4" w:rsidRDefault="000D1EE4" w:rsidP="000D1EE4">
            <w:pPr>
              <w:rPr>
                <w:b/>
                <w:bCs/>
                <w:lang w:bidi="ar-EG"/>
              </w:rPr>
            </w:pPr>
          </w:p>
        </w:tc>
      </w:tr>
      <w:tr w:rsidR="000D1EE4" w:rsidRPr="000D1EE4" w14:paraId="23F0289D" w14:textId="77777777" w:rsidTr="00752552">
        <w:trPr>
          <w:cantSplit/>
        </w:trPr>
        <w:tc>
          <w:tcPr>
            <w:tcW w:w="9666" w:type="dxa"/>
            <w:gridSpan w:val="4"/>
          </w:tcPr>
          <w:p w14:paraId="7820F8A7"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374D129F" w14:textId="77777777" w:rsidTr="00752552">
        <w:trPr>
          <w:cantSplit/>
        </w:trPr>
        <w:tc>
          <w:tcPr>
            <w:tcW w:w="9666" w:type="dxa"/>
            <w:gridSpan w:val="4"/>
          </w:tcPr>
          <w:p w14:paraId="4F52D1F2" w14:textId="3950D960" w:rsidR="000D1EE4" w:rsidRPr="000D1EE4" w:rsidRDefault="00C86C20" w:rsidP="000D1EE4">
            <w:pPr>
              <w:pStyle w:val="Title1"/>
              <w:rPr>
                <w:rtl/>
              </w:rPr>
            </w:pPr>
            <w:r>
              <w:rPr>
                <w:rFonts w:hint="cs"/>
                <w:rtl/>
              </w:rPr>
              <w:t>مقترحات بشأن أعمال المؤتمر</w:t>
            </w:r>
          </w:p>
        </w:tc>
      </w:tr>
      <w:tr w:rsidR="000D1EE4" w:rsidRPr="000D1EE4" w14:paraId="2822E9EE" w14:textId="77777777" w:rsidTr="00752552">
        <w:trPr>
          <w:cantSplit/>
        </w:trPr>
        <w:tc>
          <w:tcPr>
            <w:tcW w:w="9666" w:type="dxa"/>
            <w:gridSpan w:val="4"/>
          </w:tcPr>
          <w:p w14:paraId="22D03235" w14:textId="77777777" w:rsidR="000D1EE4" w:rsidRPr="000D1EE4" w:rsidRDefault="000D1EE4" w:rsidP="000D1EE4">
            <w:pPr>
              <w:pStyle w:val="Title2"/>
              <w:rPr>
                <w:rtl/>
              </w:rPr>
            </w:pPr>
          </w:p>
        </w:tc>
      </w:tr>
      <w:tr w:rsidR="00E50850" w:rsidRPr="000D1EE4" w14:paraId="4E261302" w14:textId="77777777" w:rsidTr="00752552">
        <w:trPr>
          <w:cantSplit/>
        </w:trPr>
        <w:tc>
          <w:tcPr>
            <w:tcW w:w="9666" w:type="dxa"/>
            <w:gridSpan w:val="4"/>
          </w:tcPr>
          <w:p w14:paraId="5E751EA9" w14:textId="43B4F97A" w:rsidR="00E50850" w:rsidRPr="000D1EE4" w:rsidRDefault="00E50850" w:rsidP="00E50850">
            <w:pPr>
              <w:pStyle w:val="Agendaitem"/>
            </w:pPr>
            <w:r>
              <w:rPr>
                <w:rtl/>
              </w:rPr>
              <w:t>بند جدول الأعمال</w:t>
            </w:r>
            <w:r w:rsidR="00B95D0B">
              <w:rPr>
                <w:rFonts w:hint="cs"/>
                <w:rtl/>
              </w:rPr>
              <w:t xml:space="preserve"> </w:t>
            </w:r>
            <w:r w:rsidR="00B95D0B">
              <w:rPr>
                <w:rtl/>
              </w:rPr>
              <w:t>2.9</w:t>
            </w:r>
          </w:p>
        </w:tc>
      </w:tr>
    </w:tbl>
    <w:p w14:paraId="25B416DC" w14:textId="77777777" w:rsidR="00DB18A0" w:rsidRPr="00FE2CFF" w:rsidRDefault="00C955C2" w:rsidP="00A01929">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3C818B2A" w14:textId="77777777" w:rsidR="00DB18A0" w:rsidRPr="00FE2CFF" w:rsidRDefault="00C955C2"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50C4A093" w14:textId="0911DCAB" w:rsidR="00DB18A0" w:rsidRDefault="0039399D" w:rsidP="00B95D0B">
      <w:pPr>
        <w:pStyle w:val="Title4"/>
        <w:rPr>
          <w:rtl/>
        </w:rPr>
      </w:pPr>
      <w:r>
        <w:rPr>
          <w:rFonts w:hint="cs"/>
          <w:rtl/>
        </w:rPr>
        <w:t>الخبرات المكتسبة من تطبيق الإجراءات التنظيمية في مجال الاتصالات الراديوية</w:t>
      </w:r>
    </w:p>
    <w:p w14:paraId="111217E3" w14:textId="585556B4" w:rsidR="0072364F" w:rsidRDefault="0072364F" w:rsidP="00B95D0B">
      <w:pPr>
        <w:pStyle w:val="Heading2"/>
        <w:jc w:val="center"/>
        <w:rPr>
          <w:rtl/>
        </w:rPr>
      </w:pPr>
      <w:r>
        <w:rPr>
          <w:rFonts w:hint="cs"/>
          <w:rtl/>
        </w:rPr>
        <w:t xml:space="preserve">القسم 2.3 </w:t>
      </w:r>
      <w:r w:rsidR="00125132" w:rsidRPr="00125132">
        <w:rPr>
          <w:rFonts w:hint="eastAsia"/>
          <w:b w:val="0"/>
          <w:bCs w:val="0"/>
          <w:rtl/>
        </w:rPr>
        <w:t>–</w:t>
      </w:r>
      <w:r w:rsidR="00125132">
        <w:rPr>
          <w:rFonts w:hint="cs"/>
          <w:rtl/>
        </w:rPr>
        <w:t xml:space="preserve"> </w:t>
      </w:r>
      <w:proofErr w:type="spellStart"/>
      <w:r w:rsidR="0039399D">
        <w:rPr>
          <w:rFonts w:hint="cs"/>
          <w:rtl/>
        </w:rPr>
        <w:t>تذييلات</w:t>
      </w:r>
      <w:proofErr w:type="spellEnd"/>
      <w:r w:rsidR="0039399D">
        <w:rPr>
          <w:rFonts w:hint="cs"/>
          <w:rtl/>
        </w:rPr>
        <w:t xml:space="preserve"> لوائح الراديو</w:t>
      </w:r>
    </w:p>
    <w:p w14:paraId="7F02FF46" w14:textId="7E51AF5D" w:rsidR="0072364F" w:rsidRDefault="0072364F" w:rsidP="00B95D0B">
      <w:pPr>
        <w:pStyle w:val="Headingb"/>
        <w:rPr>
          <w:rtl/>
        </w:rPr>
      </w:pPr>
      <w:r>
        <w:rPr>
          <w:rFonts w:hint="cs"/>
          <w:rtl/>
        </w:rPr>
        <w:t>مقدمة</w:t>
      </w:r>
    </w:p>
    <w:p w14:paraId="1EC174FA" w14:textId="67F046EF" w:rsidR="0072364F" w:rsidRDefault="0039399D" w:rsidP="0072364F">
      <w:pPr>
        <w:rPr>
          <w:rtl/>
        </w:rPr>
      </w:pPr>
      <w:r>
        <w:rPr>
          <w:rFonts w:hint="cs"/>
          <w:rtl/>
        </w:rPr>
        <w:t xml:space="preserve">بما أن تجميع وتحليل الصعوبات وحالات التضارب التي </w:t>
      </w:r>
      <w:proofErr w:type="spellStart"/>
      <w:r>
        <w:rPr>
          <w:rFonts w:hint="cs"/>
          <w:rtl/>
        </w:rPr>
        <w:t>يواجهها</w:t>
      </w:r>
      <w:proofErr w:type="spellEnd"/>
      <w:r>
        <w:rPr>
          <w:rFonts w:hint="cs"/>
          <w:rtl/>
        </w:rPr>
        <w:t xml:space="preserve"> تطبيق الأحكام ذات الصلة يتم في الجزء 2 من تقرير مدير مكتب الاتصالات </w:t>
      </w:r>
      <w:r w:rsidRPr="001927C3">
        <w:rPr>
          <w:rFonts w:hint="cs"/>
          <w:rtl/>
        </w:rPr>
        <w:t xml:space="preserve">الراديوية </w:t>
      </w:r>
      <w:r w:rsidR="00223E85" w:rsidRPr="001927C3">
        <w:rPr>
          <w:rtl/>
          <w:lang w:bidi="ar-LB"/>
        </w:rPr>
        <w:t>(</w:t>
      </w:r>
      <w:hyperlink r:id="rId15">
        <w:r w:rsidR="00223E85" w:rsidRPr="001927C3">
          <w:rPr>
            <w:rStyle w:val="Hyperlink"/>
            <w:rFonts w:ascii="Dubai" w:hAnsi="Dubai" w:cs="Dubai"/>
            <w:rtl/>
            <w:lang w:eastAsia="zh-CN"/>
          </w:rPr>
          <w:t xml:space="preserve">الوثيقة </w:t>
        </w:r>
        <w:r w:rsidR="00454684" w:rsidRPr="001927C3">
          <w:rPr>
            <w:rStyle w:val="Hyperlink"/>
            <w:rFonts w:ascii="Dubai" w:hAnsi="Dubai" w:cs="Dubai"/>
            <w:lang w:eastAsia="zh-CN"/>
          </w:rPr>
          <w:t>(</w:t>
        </w:r>
        <w:r w:rsidR="00223E85" w:rsidRPr="001927C3">
          <w:rPr>
            <w:rStyle w:val="Hyperlink"/>
            <w:rFonts w:ascii="Dubai" w:hAnsi="Dubai" w:cs="Dubai"/>
            <w:lang w:eastAsia="zh-CN"/>
          </w:rPr>
          <w:t>Add</w:t>
        </w:r>
        <w:r w:rsidR="00454684" w:rsidRPr="001927C3">
          <w:rPr>
            <w:rStyle w:val="Hyperlink"/>
            <w:rFonts w:ascii="Dubai" w:hAnsi="Dubai" w:cs="Dubai"/>
            <w:lang w:eastAsia="zh-CN"/>
          </w:rPr>
          <w:t>.2)</w:t>
        </w:r>
        <w:r w:rsidR="00870B89" w:rsidRPr="00870B89">
          <w:rPr>
            <w:u w:val="single"/>
          </w:rPr>
          <w:t xml:space="preserve"> </w:t>
        </w:r>
        <w:r w:rsidR="00870B89" w:rsidRPr="00870B89">
          <w:rPr>
            <w:rStyle w:val="Hyperlink"/>
            <w:rFonts w:ascii="Dubai" w:hAnsi="Dubai" w:cs="Dubai"/>
            <w:lang w:eastAsia="zh-CN"/>
          </w:rPr>
          <w:t>4</w:t>
        </w:r>
      </w:hyperlink>
      <w:r w:rsidR="00223E85" w:rsidRPr="001927C3">
        <w:rPr>
          <w:rtl/>
          <w:lang w:bidi="ar-LB"/>
        </w:rPr>
        <w:t>)</w:t>
      </w:r>
      <w:r w:rsidRPr="001927C3">
        <w:rPr>
          <w:rtl/>
          <w:lang w:bidi="ar-LB"/>
        </w:rPr>
        <w:t xml:space="preserve">، </w:t>
      </w:r>
      <w:r w:rsidR="00222EF9" w:rsidRPr="00870B89">
        <w:rPr>
          <w:rFonts w:hint="cs"/>
          <w:rtl/>
          <w:lang w:bidi="ar-LB"/>
        </w:rPr>
        <w:t>ت</w:t>
      </w:r>
      <w:r w:rsidR="00222EF9">
        <w:rPr>
          <w:rFonts w:hint="cs"/>
          <w:rtl/>
          <w:lang w:bidi="ar-LB"/>
        </w:rPr>
        <w:t>تضمن</w:t>
      </w:r>
      <w:r>
        <w:rPr>
          <w:rFonts w:hint="cs"/>
          <w:rtl/>
          <w:lang w:bidi="ar-LB"/>
        </w:rPr>
        <w:t xml:space="preserve"> هذه الوثيقة ملخص</w:t>
      </w:r>
      <w:r w:rsidR="00222EF9">
        <w:rPr>
          <w:rFonts w:hint="cs"/>
          <w:rtl/>
          <w:lang w:bidi="ar-LB"/>
        </w:rPr>
        <w:t>اً</w:t>
      </w:r>
      <w:r>
        <w:rPr>
          <w:rFonts w:hint="cs"/>
          <w:rtl/>
          <w:lang w:bidi="ar-LB"/>
        </w:rPr>
        <w:t xml:space="preserve"> لآرائنا ومقترحاتنا </w:t>
      </w:r>
      <w:r w:rsidR="00222EF9">
        <w:rPr>
          <w:rFonts w:hint="cs"/>
          <w:rtl/>
          <w:lang w:bidi="ar-LB"/>
        </w:rPr>
        <w:t>بشأن</w:t>
      </w:r>
      <w:r>
        <w:rPr>
          <w:rFonts w:hint="cs"/>
          <w:rtl/>
          <w:lang w:bidi="ar-LB"/>
        </w:rPr>
        <w:t xml:space="preserve"> عدد </w:t>
      </w:r>
      <w:r w:rsidR="00222EF9">
        <w:rPr>
          <w:rFonts w:hint="cs"/>
          <w:rtl/>
          <w:lang w:bidi="ar-LB"/>
        </w:rPr>
        <w:t xml:space="preserve">البنود يركّز على الخبرة المكتسبة من تطبيق الإجراءات التنظيمية في مجال الاتصالات الراديوية بموجب القسم </w:t>
      </w:r>
      <w:r w:rsidR="00222EF9">
        <w:rPr>
          <w:lang w:bidi="ar-LB"/>
        </w:rPr>
        <w:t>2</w:t>
      </w:r>
      <w:r w:rsidR="00F04F8B">
        <w:rPr>
          <w:lang w:bidi="ar-LB"/>
        </w:rPr>
        <w:t>.</w:t>
      </w:r>
      <w:r w:rsidR="00222EF9">
        <w:rPr>
          <w:lang w:bidi="ar-LB"/>
        </w:rPr>
        <w:t>3</w:t>
      </w:r>
      <w:r w:rsidR="00222EF9">
        <w:rPr>
          <w:rFonts w:hint="cs"/>
          <w:rtl/>
          <w:lang w:bidi="ar-LB"/>
        </w:rPr>
        <w:t xml:space="preserve"> </w:t>
      </w:r>
      <w:r w:rsidR="00222EF9">
        <w:rPr>
          <w:rtl/>
          <w:lang w:bidi="ar-LB"/>
        </w:rPr>
        <w:t>–</w:t>
      </w:r>
      <w:r w:rsidR="00222EF9">
        <w:rPr>
          <w:rFonts w:hint="cs"/>
          <w:rtl/>
          <w:lang w:bidi="ar-LB"/>
        </w:rPr>
        <w:t xml:space="preserve"> </w:t>
      </w:r>
      <w:proofErr w:type="spellStart"/>
      <w:r w:rsidR="00222EF9">
        <w:rPr>
          <w:rFonts w:hint="cs"/>
          <w:rtl/>
          <w:lang w:bidi="ar-LB"/>
        </w:rPr>
        <w:t>تذييلات</w:t>
      </w:r>
      <w:proofErr w:type="spellEnd"/>
      <w:r w:rsidR="00222EF9">
        <w:rPr>
          <w:rFonts w:hint="cs"/>
          <w:rtl/>
          <w:lang w:bidi="ar-LB"/>
        </w:rPr>
        <w:t xml:space="preserve"> لوائح الراديو</w:t>
      </w:r>
      <w:r>
        <w:rPr>
          <w:rFonts w:hint="cs"/>
          <w:rtl/>
        </w:rPr>
        <w:t>.</w:t>
      </w:r>
    </w:p>
    <w:p w14:paraId="56D6AD7B" w14:textId="59A25016" w:rsidR="0072364F" w:rsidRDefault="0072364F" w:rsidP="00B95D0B">
      <w:pPr>
        <w:pStyle w:val="Headingb"/>
        <w:rPr>
          <w:rtl/>
        </w:rPr>
      </w:pPr>
      <w:r>
        <w:rPr>
          <w:rFonts w:hint="cs"/>
          <w:rtl/>
        </w:rPr>
        <w:t>المقترحات</w:t>
      </w:r>
    </w:p>
    <w:p w14:paraId="42E7548D" w14:textId="3F488114" w:rsidR="0072364F" w:rsidRPr="00112DE5" w:rsidRDefault="00222EF9" w:rsidP="0072364F">
      <w:pPr>
        <w:rPr>
          <w:rtl/>
        </w:rPr>
      </w:pPr>
      <w:r>
        <w:rPr>
          <w:rFonts w:hint="cs"/>
          <w:rtl/>
        </w:rPr>
        <w:t>تقدم ال</w:t>
      </w:r>
      <w:r w:rsidR="00886C00">
        <w:rPr>
          <w:rFonts w:hint="cs"/>
          <w:rtl/>
          <w:lang w:bidi="ar-EG"/>
        </w:rPr>
        <w:t>إ</w:t>
      </w:r>
      <w:r>
        <w:rPr>
          <w:rFonts w:hint="cs"/>
          <w:rtl/>
        </w:rPr>
        <w:t>دارة آراءها ومقترحاتها بشأن عدد البنود لمواصلة مناقشتها خلال المؤتمر</w:t>
      </w:r>
      <w:r w:rsidR="0072364F">
        <w:rPr>
          <w:rFonts w:hint="cs"/>
          <w:rtl/>
        </w:rPr>
        <w:t>.</w:t>
      </w:r>
    </w:p>
    <w:p w14:paraId="5EFCCBC3" w14:textId="77777777" w:rsidR="004C67F1" w:rsidRDefault="004C67F1" w:rsidP="00223E85">
      <w:pPr>
        <w:tabs>
          <w:tab w:val="clear" w:pos="1134"/>
          <w:tab w:val="clear" w:pos="1871"/>
          <w:tab w:val="clear" w:pos="2268"/>
        </w:tabs>
        <w:spacing w:before="0" w:line="240" w:lineRule="auto"/>
        <w:jc w:val="left"/>
        <w:rPr>
          <w:rtl/>
          <w:lang w:val="en-GB" w:bidi="ar-EG"/>
        </w:rPr>
      </w:pPr>
      <w:r>
        <w:rPr>
          <w:rtl/>
          <w:lang w:val="en-GB" w:bidi="ar-EG"/>
        </w:rPr>
        <w:br w:type="page"/>
      </w:r>
    </w:p>
    <w:p w14:paraId="7B09C289" w14:textId="77777777" w:rsidR="00BB6D82" w:rsidRDefault="00C955C2">
      <w:pPr>
        <w:pStyle w:val="Proposal"/>
      </w:pPr>
      <w:r>
        <w:lastRenderedPageBreak/>
        <w:tab/>
        <w:t>CHN/111A25A4/1</w:t>
      </w:r>
    </w:p>
    <w:p w14:paraId="4078FCCD" w14:textId="087720C6" w:rsidR="00BB6D82" w:rsidRDefault="0072364F" w:rsidP="009B2370">
      <w:pPr>
        <w:pStyle w:val="Heading4"/>
      </w:pPr>
      <w:r w:rsidRPr="00EE74FD">
        <w:rPr>
          <w:rFonts w:hint="cs"/>
          <w:rtl/>
        </w:rPr>
        <w:t>6.1.2.3</w:t>
      </w:r>
      <w:r w:rsidRPr="00EE74FD">
        <w:rPr>
          <w:rtl/>
        </w:rPr>
        <w:tab/>
      </w:r>
      <w:r w:rsidR="00222EF9">
        <w:rPr>
          <w:rFonts w:hint="cs"/>
          <w:rtl/>
        </w:rPr>
        <w:t>معلمات جديدة للهبوط المداري</w:t>
      </w:r>
    </w:p>
    <w:p w14:paraId="7EB9381D" w14:textId="7642A9B3" w:rsidR="006F71E6" w:rsidRDefault="00870B89" w:rsidP="006F71E6">
      <w:pPr>
        <w:pBdr>
          <w:top w:val="single" w:sz="4" w:space="1" w:color="auto"/>
          <w:left w:val="single" w:sz="4" w:space="4" w:color="auto"/>
          <w:bottom w:val="single" w:sz="4" w:space="1" w:color="auto"/>
          <w:right w:val="single" w:sz="4" w:space="4" w:color="auto"/>
        </w:pBdr>
        <w:rPr>
          <w:rtl/>
          <w:lang w:eastAsia="zh-CN"/>
        </w:rPr>
      </w:pPr>
      <w:r w:rsidRPr="00870B89">
        <w:rPr>
          <w:rFonts w:hint="cs"/>
          <w:rtl/>
          <w:lang w:eastAsia="zh-CN"/>
        </w:rPr>
        <w:t xml:space="preserve">تظل بعض </w:t>
      </w:r>
      <w:proofErr w:type="spellStart"/>
      <w:r w:rsidRPr="00870B89">
        <w:rPr>
          <w:rFonts w:hint="cs"/>
          <w:rtl/>
          <w:lang w:eastAsia="zh-CN"/>
        </w:rPr>
        <w:t>السواتل</w:t>
      </w:r>
      <w:proofErr w:type="spellEnd"/>
      <w:r w:rsidRPr="00870B89">
        <w:rPr>
          <w:rFonts w:hint="cs"/>
          <w:rtl/>
          <w:lang w:eastAsia="zh-CN"/>
        </w:rPr>
        <w:t xml:space="preserve"> غير المستقرة بالنسبة إلى الأرض نشطة حتى إعادة إدخالها في الغلاف الجوي بسبب الهبوط الطبيعي أو</w:t>
      </w:r>
      <w:r w:rsidR="006F71E6">
        <w:rPr>
          <w:rFonts w:hint="eastAsia"/>
          <w:rtl/>
          <w:lang w:eastAsia="zh-CN"/>
        </w:rPr>
        <w:t> </w:t>
      </w:r>
      <w:r w:rsidRPr="00870B89">
        <w:rPr>
          <w:rFonts w:hint="cs"/>
          <w:rtl/>
          <w:lang w:eastAsia="zh-CN"/>
        </w:rPr>
        <w:t xml:space="preserve">مناورات مخلفات المدار. وقد لاحظ المكتب أن المعلمات المتاحة في التذييل </w:t>
      </w:r>
      <w:r w:rsidRPr="00870B89">
        <w:rPr>
          <w:rFonts w:hint="cs"/>
          <w:b/>
          <w:bCs/>
          <w:rtl/>
          <w:lang w:eastAsia="zh-CN"/>
        </w:rPr>
        <w:t>4</w:t>
      </w:r>
      <w:r w:rsidRPr="00870B89">
        <w:rPr>
          <w:rFonts w:hint="cs"/>
          <w:rtl/>
          <w:lang w:eastAsia="zh-CN"/>
        </w:rPr>
        <w:t xml:space="preserve"> في المرحلة الحالية لا تسمح للإدارات بأن تبين بوضوح الهبوط المداري في بطاقات التبليغ. ولكي تبين الإدارات التغييرات في ارتفاع الأوج و/أو الحضيض، ينبغي لها أن تتبع الإجراء الوارد في الرقم </w:t>
      </w:r>
      <w:r w:rsidR="00A301E6" w:rsidRPr="00A301E6">
        <w:rPr>
          <w:rStyle w:val="Appref"/>
          <w:b/>
          <w:bCs/>
        </w:rPr>
        <w:t>11.43B</w:t>
      </w:r>
      <w:r w:rsidRPr="00870B89">
        <w:rPr>
          <w:rFonts w:hint="cs"/>
          <w:rtl/>
          <w:lang w:eastAsia="zh-CN"/>
        </w:rPr>
        <w:t>. وفي ضوء صعوبات هذا الإجراء، يعتمد المكتب الممارسة التالية لتمثيل بطاقات التبليغ عن هذه</w:t>
      </w:r>
      <w:r w:rsidR="006F71E6">
        <w:rPr>
          <w:rFonts w:hint="eastAsia"/>
          <w:rtl/>
          <w:lang w:eastAsia="zh-CN"/>
        </w:rPr>
        <w:t> </w:t>
      </w:r>
      <w:r w:rsidRPr="00870B89">
        <w:rPr>
          <w:rFonts w:hint="cs"/>
          <w:rtl/>
          <w:lang w:eastAsia="zh-CN"/>
        </w:rPr>
        <w:t>الأنظمة</w:t>
      </w:r>
      <w:r w:rsidR="006F71E6">
        <w:rPr>
          <w:rFonts w:hint="cs"/>
          <w:rtl/>
          <w:lang w:eastAsia="zh-CN"/>
        </w:rPr>
        <w:t>:</w:t>
      </w:r>
    </w:p>
    <w:p w14:paraId="68510C4F" w14:textId="77777777" w:rsidR="00870B89" w:rsidRPr="00870B89" w:rsidRDefault="00870B89" w:rsidP="006F71E6">
      <w:pPr>
        <w:pBdr>
          <w:top w:val="single" w:sz="4" w:space="1" w:color="auto"/>
          <w:left w:val="single" w:sz="4" w:space="4" w:color="auto"/>
          <w:bottom w:val="single" w:sz="4" w:space="1" w:color="auto"/>
          <w:right w:val="single" w:sz="4" w:space="4" w:color="auto"/>
        </w:pBdr>
        <w:spacing w:before="80"/>
        <w:ind w:left="794" w:hanging="794"/>
        <w:rPr>
          <w:rtl/>
          <w:lang w:eastAsia="zh-CN"/>
        </w:rPr>
      </w:pPr>
      <w:r w:rsidRPr="00870B89">
        <w:rPr>
          <w:rFonts w:hint="cs"/>
          <w:rtl/>
          <w:lang w:eastAsia="zh-CN"/>
        </w:rPr>
        <w:t> </w:t>
      </w:r>
      <w:proofErr w:type="gramStart"/>
      <w:r w:rsidRPr="00870B89">
        <w:rPr>
          <w:rFonts w:hint="cs"/>
          <w:rtl/>
          <w:lang w:eastAsia="zh-CN"/>
        </w:rPr>
        <w:t>أ )</w:t>
      </w:r>
      <w:proofErr w:type="gramEnd"/>
      <w:r w:rsidRPr="00870B89">
        <w:rPr>
          <w:rtl/>
          <w:lang w:eastAsia="zh-CN"/>
        </w:rPr>
        <w:tab/>
      </w:r>
      <w:r w:rsidRPr="00870B89">
        <w:rPr>
          <w:rtl/>
          <w:lang w:eastAsia="zh-CN" w:bidi="ar-EG"/>
        </w:rPr>
        <w:t>يشير ارتفاعا الأوج والحضيض للمحطة الفضائية إلى المعلمات المدارية الأولية وقت وضعها في الخدمة</w:t>
      </w:r>
      <w:r w:rsidRPr="00870B89">
        <w:rPr>
          <w:rFonts w:hint="cs"/>
          <w:rtl/>
          <w:lang w:eastAsia="zh-CN" w:bidi="ar-EG"/>
        </w:rPr>
        <w:t>؛</w:t>
      </w:r>
    </w:p>
    <w:p w14:paraId="08520EF1" w14:textId="77777777" w:rsidR="00870B89" w:rsidRPr="00870B89" w:rsidRDefault="00870B89" w:rsidP="006F71E6">
      <w:pPr>
        <w:pBdr>
          <w:top w:val="single" w:sz="4" w:space="1" w:color="auto"/>
          <w:left w:val="single" w:sz="4" w:space="4" w:color="auto"/>
          <w:bottom w:val="single" w:sz="4" w:space="1" w:color="auto"/>
          <w:right w:val="single" w:sz="4" w:space="4" w:color="auto"/>
        </w:pBdr>
        <w:spacing w:before="80"/>
        <w:ind w:left="794" w:hanging="794"/>
        <w:rPr>
          <w:rtl/>
          <w:lang w:eastAsia="zh-CN"/>
        </w:rPr>
      </w:pPr>
      <w:r w:rsidRPr="00870B89">
        <w:rPr>
          <w:rFonts w:hint="cs"/>
          <w:rtl/>
          <w:lang w:eastAsia="zh-CN"/>
        </w:rPr>
        <w:t>ب)</w:t>
      </w:r>
      <w:r w:rsidRPr="00870B89">
        <w:rPr>
          <w:rtl/>
          <w:lang w:eastAsia="zh-CN"/>
        </w:rPr>
        <w:tab/>
      </w:r>
      <w:r w:rsidRPr="00870B89">
        <w:rPr>
          <w:rtl/>
          <w:lang w:eastAsia="zh-CN" w:bidi="ar-EG"/>
        </w:rPr>
        <w:t xml:space="preserve">الارتفاع الأدنى للمحطة الفضائية فوق سطح الأرض الذي يبث عنده أي ساتل (البند </w:t>
      </w:r>
      <w:r w:rsidRPr="00870B89">
        <w:rPr>
          <w:lang w:eastAsia="zh-CN"/>
        </w:rPr>
        <w:t>.</w:t>
      </w:r>
      <w:proofErr w:type="gramStart"/>
      <w:r w:rsidRPr="00870B89">
        <w:rPr>
          <w:lang w:eastAsia="zh-CN"/>
        </w:rPr>
        <w:t>4.A</w:t>
      </w:r>
      <w:r w:rsidRPr="00870B89">
        <w:rPr>
          <w:rtl/>
          <w:lang w:eastAsia="zh-CN" w:bidi="ar-EG"/>
        </w:rPr>
        <w:t>ب.4.</w:t>
      </w:r>
      <w:r w:rsidRPr="00870B89">
        <w:rPr>
          <w:rFonts w:hint="cs"/>
          <w:rtl/>
          <w:lang w:eastAsia="zh-CN" w:bidi="ar-EG"/>
        </w:rPr>
        <w:t>و</w:t>
      </w:r>
      <w:proofErr w:type="gramEnd"/>
      <w:r w:rsidRPr="00870B89">
        <w:rPr>
          <w:rFonts w:hint="cs"/>
          <w:rtl/>
          <w:lang w:eastAsia="zh-CN" w:bidi="ar-EG"/>
        </w:rPr>
        <w:t xml:space="preserve"> من</w:t>
      </w:r>
      <w:r w:rsidRPr="00870B89">
        <w:rPr>
          <w:rtl/>
          <w:lang w:eastAsia="zh-CN" w:bidi="ar-EG"/>
        </w:rPr>
        <w:t xml:space="preserve"> التذييل </w:t>
      </w:r>
      <w:r w:rsidRPr="00F14C41">
        <w:rPr>
          <w:rStyle w:val="Appref"/>
          <w:b/>
          <w:bCs/>
          <w:rtl/>
        </w:rPr>
        <w:t>4</w:t>
      </w:r>
      <w:r w:rsidRPr="00870B89">
        <w:rPr>
          <w:rtl/>
          <w:lang w:eastAsia="zh-CN" w:bidi="ar-EG"/>
        </w:rPr>
        <w:t xml:space="preserve">) يشير إلى الارتفاع الأدنى الذي تظل عنده </w:t>
      </w:r>
      <w:proofErr w:type="spellStart"/>
      <w:r w:rsidRPr="00870B89">
        <w:rPr>
          <w:rtl/>
          <w:lang w:eastAsia="zh-CN" w:bidi="ar-EG"/>
        </w:rPr>
        <w:t>السواتل</w:t>
      </w:r>
      <w:proofErr w:type="spellEnd"/>
      <w:r w:rsidRPr="00870B89">
        <w:rPr>
          <w:rtl/>
          <w:lang w:eastAsia="zh-CN" w:bidi="ar-EG"/>
        </w:rPr>
        <w:t xml:space="preserve"> قيد التشغيل خلال كامل العمر</w:t>
      </w:r>
      <w:r w:rsidRPr="00870B89">
        <w:rPr>
          <w:rFonts w:hint="cs"/>
          <w:rtl/>
          <w:lang w:eastAsia="zh-CN" w:bidi="ar-EG"/>
        </w:rPr>
        <w:t xml:space="preserve"> التشغيلي؛</w:t>
      </w:r>
    </w:p>
    <w:p w14:paraId="4F13D7AA" w14:textId="77777777" w:rsidR="00870B89" w:rsidRPr="00870B89" w:rsidRDefault="00870B89" w:rsidP="006F71E6">
      <w:pPr>
        <w:pBdr>
          <w:top w:val="single" w:sz="4" w:space="1" w:color="auto"/>
          <w:left w:val="single" w:sz="4" w:space="4" w:color="auto"/>
          <w:bottom w:val="single" w:sz="4" w:space="1" w:color="auto"/>
          <w:right w:val="single" w:sz="4" w:space="4" w:color="auto"/>
        </w:pBdr>
        <w:spacing w:before="80"/>
        <w:ind w:left="794" w:hanging="794"/>
        <w:rPr>
          <w:rtl/>
          <w:lang w:eastAsia="zh-CN"/>
        </w:rPr>
      </w:pPr>
      <w:r w:rsidRPr="00870B89">
        <w:rPr>
          <w:rFonts w:hint="cs"/>
          <w:rtl/>
          <w:lang w:eastAsia="zh-CN"/>
        </w:rPr>
        <w:t>ج)</w:t>
      </w:r>
      <w:r w:rsidRPr="00870B89">
        <w:rPr>
          <w:rtl/>
          <w:lang w:eastAsia="zh-CN"/>
        </w:rPr>
        <w:tab/>
      </w:r>
      <w:r w:rsidRPr="00870B89">
        <w:rPr>
          <w:rtl/>
          <w:lang w:eastAsia="zh-CN" w:bidi="ar-EG"/>
        </w:rPr>
        <w:t xml:space="preserve">هذه الشبكة </w:t>
      </w:r>
      <w:proofErr w:type="spellStart"/>
      <w:r w:rsidRPr="00870B89">
        <w:rPr>
          <w:rtl/>
          <w:lang w:eastAsia="zh-CN" w:bidi="ar-EG"/>
        </w:rPr>
        <w:t>الساتلية</w:t>
      </w:r>
      <w:proofErr w:type="spellEnd"/>
      <w:r w:rsidRPr="00870B89">
        <w:rPr>
          <w:rtl/>
          <w:lang w:eastAsia="zh-CN" w:bidi="ar-EG"/>
        </w:rPr>
        <w:t xml:space="preserve"> محمية بمعلمات مدارية أولية (الأوج والحضيض، </w:t>
      </w:r>
      <w:r w:rsidRPr="00870B89">
        <w:rPr>
          <w:rFonts w:hint="cs"/>
          <w:rtl/>
          <w:lang w:eastAsia="zh-CN" w:bidi="ar-EG"/>
        </w:rPr>
        <w:t>و</w:t>
      </w:r>
      <w:r w:rsidRPr="00870B89">
        <w:rPr>
          <w:rtl/>
          <w:lang w:eastAsia="zh-CN" w:bidi="ar-EG"/>
        </w:rPr>
        <w:t xml:space="preserve">قد لا تتضمن الارتفاع الأدنى)، وبالتالي فإن الالتزامات بأن الشبكة </w:t>
      </w:r>
      <w:proofErr w:type="spellStart"/>
      <w:r w:rsidRPr="00870B89">
        <w:rPr>
          <w:rtl/>
          <w:lang w:eastAsia="zh-CN" w:bidi="ar-EG"/>
        </w:rPr>
        <w:t>الساتلية</w:t>
      </w:r>
      <w:proofErr w:type="spellEnd"/>
      <w:r w:rsidRPr="00870B89">
        <w:rPr>
          <w:rtl/>
          <w:lang w:eastAsia="zh-CN" w:bidi="ar-EG"/>
        </w:rPr>
        <w:t xml:space="preserve"> لن تتسبب في مزيد من التداخل أو تتطلب المزيد من الحماية، مقارنة بالمعلمات المدارية الأولية، ينبغي أن تقدمها الإدار</w:t>
      </w:r>
      <w:r w:rsidRPr="00870B89">
        <w:rPr>
          <w:rFonts w:hint="cs"/>
          <w:rtl/>
          <w:lang w:eastAsia="zh-CN" w:bidi="ar-EG"/>
        </w:rPr>
        <w:t>ات؛</w:t>
      </w:r>
    </w:p>
    <w:p w14:paraId="474583BA" w14:textId="77777777" w:rsidR="00870B89" w:rsidRPr="00870B89" w:rsidRDefault="00870B89" w:rsidP="006F71E6">
      <w:pPr>
        <w:pBdr>
          <w:top w:val="single" w:sz="4" w:space="1" w:color="auto"/>
          <w:left w:val="single" w:sz="4" w:space="4" w:color="auto"/>
          <w:bottom w:val="single" w:sz="4" w:space="1" w:color="auto"/>
          <w:right w:val="single" w:sz="4" w:space="4" w:color="auto"/>
        </w:pBdr>
        <w:spacing w:before="80"/>
        <w:ind w:left="794" w:hanging="794"/>
        <w:rPr>
          <w:rtl/>
          <w:lang w:eastAsia="zh-CN"/>
        </w:rPr>
      </w:pPr>
      <w:proofErr w:type="gramStart"/>
      <w:r w:rsidRPr="00870B89">
        <w:rPr>
          <w:rFonts w:hint="cs"/>
          <w:rtl/>
          <w:lang w:eastAsia="zh-CN"/>
        </w:rPr>
        <w:t>د )</w:t>
      </w:r>
      <w:proofErr w:type="gramEnd"/>
      <w:r w:rsidRPr="00870B89">
        <w:rPr>
          <w:rtl/>
          <w:lang w:eastAsia="zh-CN"/>
        </w:rPr>
        <w:tab/>
      </w:r>
      <w:r w:rsidRPr="00870B89">
        <w:rPr>
          <w:rtl/>
          <w:lang w:eastAsia="zh-CN" w:bidi="ar-EG"/>
        </w:rPr>
        <w:t>ينبغي إجراء ال</w:t>
      </w:r>
      <w:r w:rsidRPr="00870B89">
        <w:rPr>
          <w:rFonts w:hint="cs"/>
          <w:rtl/>
          <w:lang w:eastAsia="zh-CN" w:bidi="ar-EG"/>
        </w:rPr>
        <w:t>ت</w:t>
      </w:r>
      <w:r w:rsidRPr="00870B89">
        <w:rPr>
          <w:rtl/>
          <w:lang w:eastAsia="zh-CN" w:bidi="ar-EG"/>
        </w:rPr>
        <w:t xml:space="preserve">فحص، بموجب الرقم </w:t>
      </w:r>
      <w:r w:rsidRPr="00F14C41">
        <w:rPr>
          <w:rStyle w:val="Appref"/>
          <w:b/>
          <w:bCs/>
          <w:rtl/>
        </w:rPr>
        <w:t>16.21</w:t>
      </w:r>
      <w:r w:rsidRPr="00870B89">
        <w:rPr>
          <w:rtl/>
          <w:lang w:eastAsia="zh-CN" w:bidi="ar-EG"/>
        </w:rPr>
        <w:t xml:space="preserve"> مثلاً، على أساس نهج أسوأ حالة بالنسبة لأي ارتفاعات مدارية بين الارتفاع الأولي والارتفاع الأدنى</w:t>
      </w:r>
      <w:r w:rsidRPr="00870B89">
        <w:rPr>
          <w:rFonts w:hint="cs"/>
          <w:rtl/>
          <w:lang w:eastAsia="zh-CN" w:bidi="ar-EG"/>
        </w:rPr>
        <w:t>.</w:t>
      </w:r>
    </w:p>
    <w:p w14:paraId="50DB50C9" w14:textId="299E3010" w:rsidR="00870B89" w:rsidRPr="00870B89" w:rsidRDefault="00870B89" w:rsidP="00870B89">
      <w:pPr>
        <w:pBdr>
          <w:top w:val="single" w:sz="4" w:space="1" w:color="auto"/>
          <w:left w:val="single" w:sz="4" w:space="4" w:color="auto"/>
          <w:bottom w:val="single" w:sz="4" w:space="1" w:color="auto"/>
          <w:right w:val="single" w:sz="4" w:space="4" w:color="auto"/>
        </w:pBdr>
        <w:rPr>
          <w:rtl/>
          <w:lang w:eastAsia="zh-CN"/>
        </w:rPr>
      </w:pPr>
      <w:r w:rsidRPr="00870B89">
        <w:rPr>
          <w:rFonts w:hint="cs"/>
          <w:rtl/>
          <w:lang w:eastAsia="zh-CN"/>
        </w:rPr>
        <w:t xml:space="preserve">ولتمثيل هذه الأنظمة بشكل أفضل في التنسيق والتبليغ من أجل تسجيل بطاقات التبليغ عن الشبكات </w:t>
      </w:r>
      <w:proofErr w:type="spellStart"/>
      <w:r w:rsidRPr="00870B89">
        <w:rPr>
          <w:rFonts w:hint="cs"/>
          <w:rtl/>
          <w:lang w:eastAsia="zh-CN"/>
        </w:rPr>
        <w:t>الساتلية</w:t>
      </w:r>
      <w:proofErr w:type="spellEnd"/>
      <w:r w:rsidRPr="00870B89">
        <w:rPr>
          <w:rFonts w:hint="cs"/>
          <w:rtl/>
          <w:lang w:eastAsia="zh-CN"/>
        </w:rPr>
        <w:t xml:space="preserve"> المقدمة إلى الاتحاد ومساعدة المكتب أثناء التحقق من وضع هذه الشبكات </w:t>
      </w:r>
      <w:proofErr w:type="spellStart"/>
      <w:r w:rsidRPr="00870B89">
        <w:rPr>
          <w:rFonts w:hint="cs"/>
          <w:rtl/>
          <w:lang w:eastAsia="zh-CN"/>
        </w:rPr>
        <w:t>الساتلية</w:t>
      </w:r>
      <w:proofErr w:type="spellEnd"/>
      <w:r w:rsidRPr="00870B89">
        <w:rPr>
          <w:rFonts w:hint="cs"/>
          <w:rtl/>
          <w:lang w:eastAsia="zh-CN"/>
        </w:rPr>
        <w:t xml:space="preserve"> في الخدمة واستمرار استعمالها، يدعو المكتب المؤتمر للنظر في إضافة بنود البيانات التالية إلى الملحق 2 بالتذييل </w:t>
      </w:r>
      <w:r w:rsidRPr="00F14C41">
        <w:rPr>
          <w:rStyle w:val="Appref"/>
          <w:b/>
          <w:bCs/>
        </w:rPr>
        <w:t>4</w:t>
      </w:r>
      <w:r w:rsidR="00546DDA">
        <w:rPr>
          <w:rFonts w:hint="cs"/>
          <w:rtl/>
          <w:lang w:eastAsia="zh-CN" w:bidi="ar-LB"/>
        </w:rPr>
        <w:t>:</w:t>
      </w:r>
    </w:p>
    <w:p w14:paraId="08B6FD2C" w14:textId="02A5CDAA" w:rsidR="00870B89" w:rsidRPr="00870B89" w:rsidRDefault="00870B89" w:rsidP="00546DDA">
      <w:pPr>
        <w:pBdr>
          <w:top w:val="single" w:sz="4" w:space="1" w:color="auto"/>
          <w:left w:val="single" w:sz="4" w:space="4" w:color="auto"/>
          <w:bottom w:val="single" w:sz="4" w:space="1" w:color="auto"/>
          <w:right w:val="single" w:sz="4" w:space="4" w:color="auto"/>
        </w:pBdr>
        <w:spacing w:before="80"/>
        <w:ind w:left="794" w:hanging="794"/>
        <w:rPr>
          <w:rtl/>
          <w:lang w:eastAsia="zh-CN" w:bidi="ar-EG"/>
        </w:rPr>
      </w:pPr>
      <w:r w:rsidRPr="00870B89">
        <w:rPr>
          <w:rtl/>
          <w:lang w:eastAsia="zh-CN"/>
        </w:rPr>
        <w:t>’1‘</w:t>
      </w:r>
      <w:r w:rsidRPr="00870B89">
        <w:rPr>
          <w:rtl/>
          <w:lang w:eastAsia="zh-CN"/>
        </w:rPr>
        <w:tab/>
      </w:r>
      <w:r w:rsidRPr="00870B89">
        <w:rPr>
          <w:rtl/>
          <w:lang w:eastAsia="zh-CN" w:bidi="ar-EG"/>
        </w:rPr>
        <w:t>بند بيانات جديد</w:t>
      </w:r>
      <w:r w:rsidRPr="00870B89">
        <w:rPr>
          <w:rFonts w:hint="cs"/>
          <w:rtl/>
          <w:lang w:eastAsia="zh-CN" w:bidi="ar-EG"/>
        </w:rPr>
        <w:t xml:space="preserve"> بعنوان</w:t>
      </w:r>
      <w:r w:rsidRPr="00870B89">
        <w:rPr>
          <w:rtl/>
          <w:lang w:eastAsia="zh-CN" w:bidi="ar-EG"/>
        </w:rPr>
        <w:t xml:space="preserve"> "</w:t>
      </w:r>
      <w:r w:rsidRPr="00870B89">
        <w:rPr>
          <w:i/>
          <w:iCs/>
          <w:rtl/>
          <w:lang w:eastAsia="zh-CN" w:bidi="ar-EG"/>
        </w:rPr>
        <w:t>مؤشر</w:t>
      </w:r>
      <w:r w:rsidR="00D4035E">
        <w:rPr>
          <w:rFonts w:hint="cs"/>
          <w:i/>
          <w:iCs/>
          <w:rtl/>
          <w:lang w:eastAsia="zh-CN" w:bidi="ar-EG"/>
        </w:rPr>
        <w:t xml:space="preserve"> </w:t>
      </w:r>
      <w:r w:rsidR="00D4035E" w:rsidRPr="00931B79">
        <w:rPr>
          <w:rStyle w:val="Emphasis"/>
        </w:rPr>
        <w:t>[Y/N]</w:t>
      </w:r>
      <w:r w:rsidRPr="00870B89">
        <w:rPr>
          <w:i/>
          <w:iCs/>
          <w:rtl/>
          <w:lang w:eastAsia="zh-CN" w:bidi="ar-EG"/>
        </w:rPr>
        <w:t xml:space="preserve"> على ما إذا كانت المحطة الفضائية تستعمل </w:t>
      </w:r>
      <w:r w:rsidRPr="00870B89">
        <w:rPr>
          <w:rFonts w:hint="cs"/>
          <w:i/>
          <w:iCs/>
          <w:rtl/>
          <w:lang w:eastAsia="zh-CN" w:bidi="ar-EG"/>
        </w:rPr>
        <w:t>الثبات في المدار</w:t>
      </w:r>
      <w:r w:rsidRPr="00870B89">
        <w:rPr>
          <w:i/>
          <w:iCs/>
          <w:rtl/>
          <w:lang w:eastAsia="zh-CN" w:bidi="ar-EG"/>
        </w:rPr>
        <w:t xml:space="preserve"> للحفاظ على ارتفاعات الأوج والحضيض</w:t>
      </w:r>
      <w:r w:rsidRPr="00870B89">
        <w:rPr>
          <w:rtl/>
          <w:lang w:eastAsia="zh-CN" w:bidi="ar-EG"/>
        </w:rPr>
        <w:t>" المطلوبة لكل مستو</w:t>
      </w:r>
      <w:r w:rsidRPr="00870B89">
        <w:rPr>
          <w:rFonts w:hint="cs"/>
          <w:rtl/>
          <w:lang w:eastAsia="zh-CN" w:bidi="ar-EG"/>
        </w:rPr>
        <w:t>ٍ</w:t>
      </w:r>
      <w:r w:rsidRPr="00870B89">
        <w:rPr>
          <w:rtl/>
          <w:lang w:eastAsia="zh-CN" w:bidi="ar-EG"/>
        </w:rPr>
        <w:t xml:space="preserve"> مداري لشبك</w:t>
      </w:r>
      <w:r w:rsidRPr="00870B89">
        <w:rPr>
          <w:rFonts w:hint="cs"/>
          <w:rtl/>
          <w:lang w:eastAsia="zh-CN" w:bidi="ar-EG"/>
        </w:rPr>
        <w:t>ات</w:t>
      </w:r>
      <w:r w:rsidRPr="00870B89">
        <w:rPr>
          <w:rtl/>
          <w:lang w:eastAsia="zh-CN" w:bidi="ar-EG"/>
        </w:rPr>
        <w:t xml:space="preserve"> أو </w:t>
      </w:r>
      <w:r w:rsidRPr="00870B89">
        <w:rPr>
          <w:rFonts w:hint="cs"/>
          <w:rtl/>
          <w:lang w:eastAsia="zh-CN" w:bidi="ar-EG"/>
        </w:rPr>
        <w:t>أنظمة</w:t>
      </w:r>
      <w:r w:rsidRPr="00870B89">
        <w:rPr>
          <w:rtl/>
          <w:lang w:eastAsia="zh-CN" w:bidi="ar-EG"/>
        </w:rPr>
        <w:t xml:space="preserve"> </w:t>
      </w:r>
      <w:proofErr w:type="spellStart"/>
      <w:r w:rsidRPr="00870B89">
        <w:rPr>
          <w:rtl/>
          <w:lang w:eastAsia="zh-CN" w:bidi="ar-EG"/>
        </w:rPr>
        <w:t>ساتلي</w:t>
      </w:r>
      <w:r w:rsidRPr="00870B89">
        <w:rPr>
          <w:rFonts w:hint="cs"/>
          <w:rtl/>
          <w:lang w:eastAsia="zh-CN" w:bidi="ar-EG"/>
        </w:rPr>
        <w:t>ة</w:t>
      </w:r>
      <w:proofErr w:type="spellEnd"/>
      <w:r w:rsidRPr="00870B89">
        <w:rPr>
          <w:rtl/>
          <w:lang w:eastAsia="zh-CN" w:bidi="ar-EG"/>
        </w:rPr>
        <w:t xml:space="preserve"> غير مستقر</w:t>
      </w:r>
      <w:r w:rsidRPr="00870B89">
        <w:rPr>
          <w:rFonts w:hint="cs"/>
          <w:rtl/>
          <w:lang w:eastAsia="zh-CN" w:bidi="ar-EG"/>
        </w:rPr>
        <w:t>ة</w:t>
      </w:r>
      <w:r w:rsidRPr="00870B89">
        <w:rPr>
          <w:rtl/>
          <w:lang w:eastAsia="zh-CN" w:bidi="ar-EG"/>
        </w:rPr>
        <w:t xml:space="preserve"> بالنسبة إلى الأرض </w:t>
      </w:r>
      <w:r w:rsidRPr="00870B89">
        <w:rPr>
          <w:rFonts w:hint="cs"/>
          <w:rtl/>
          <w:lang w:eastAsia="zh-CN" w:bidi="ar-EG"/>
        </w:rPr>
        <w:t>و</w:t>
      </w:r>
      <w:r w:rsidRPr="00870B89">
        <w:rPr>
          <w:rtl/>
          <w:lang w:eastAsia="zh-CN" w:bidi="ar-EG"/>
        </w:rPr>
        <w:t>جسم</w:t>
      </w:r>
      <w:r w:rsidRPr="00870B89">
        <w:rPr>
          <w:rFonts w:hint="cs"/>
          <w:rtl/>
          <w:lang w:eastAsia="zh-CN" w:bidi="ar-EG"/>
        </w:rPr>
        <w:t>ها</w:t>
      </w:r>
      <w:r w:rsidRPr="00870B89">
        <w:rPr>
          <w:rtl/>
          <w:lang w:eastAsia="zh-CN" w:bidi="ar-EG"/>
        </w:rPr>
        <w:t xml:space="preserve"> </w:t>
      </w:r>
      <w:r w:rsidRPr="00870B89">
        <w:rPr>
          <w:rFonts w:hint="cs"/>
          <w:rtl/>
          <w:lang w:eastAsia="zh-CN" w:bidi="ar-EG"/>
        </w:rPr>
        <w:t>ال</w:t>
      </w:r>
      <w:r w:rsidRPr="00870B89">
        <w:rPr>
          <w:rtl/>
          <w:lang w:eastAsia="zh-CN" w:bidi="ar-EG"/>
        </w:rPr>
        <w:t>مرجعي</w:t>
      </w:r>
      <w:r w:rsidRPr="00870B89">
        <w:rPr>
          <w:rFonts w:hint="cs"/>
          <w:rtl/>
          <w:lang w:eastAsia="zh-CN" w:bidi="ar-EG"/>
        </w:rPr>
        <w:t xml:space="preserve"> هو</w:t>
      </w:r>
      <w:r w:rsidRPr="00870B89">
        <w:rPr>
          <w:rtl/>
          <w:lang w:eastAsia="zh-CN" w:bidi="ar-EG"/>
        </w:rPr>
        <w:t xml:space="preserve"> "الأرض</w:t>
      </w:r>
      <w:r w:rsidRPr="00870B89">
        <w:rPr>
          <w:rFonts w:hint="cs"/>
          <w:rtl/>
          <w:lang w:eastAsia="zh-CN" w:bidi="ar-EG"/>
        </w:rPr>
        <w:t>"</w:t>
      </w:r>
      <w:r w:rsidR="003A74E3">
        <w:rPr>
          <w:rFonts w:hint="cs"/>
          <w:rtl/>
          <w:lang w:eastAsia="zh-CN" w:bidi="ar-EG"/>
        </w:rPr>
        <w:t>؛</w:t>
      </w:r>
    </w:p>
    <w:p w14:paraId="24FEF5AB" w14:textId="2DCFA663" w:rsidR="00870B89" w:rsidRDefault="00870B89" w:rsidP="00546DDA">
      <w:pPr>
        <w:pBdr>
          <w:top w:val="single" w:sz="4" w:space="1" w:color="auto"/>
          <w:left w:val="single" w:sz="4" w:space="4" w:color="auto"/>
          <w:bottom w:val="single" w:sz="4" w:space="1" w:color="auto"/>
          <w:right w:val="single" w:sz="4" w:space="4" w:color="auto"/>
        </w:pBdr>
        <w:spacing w:before="80"/>
        <w:ind w:left="794" w:hanging="794"/>
        <w:rPr>
          <w:rtl/>
          <w:lang w:eastAsia="zh-CN"/>
        </w:rPr>
      </w:pPr>
      <w:r w:rsidRPr="00870B89">
        <w:rPr>
          <w:rtl/>
          <w:lang w:eastAsia="zh-CN"/>
        </w:rPr>
        <w:t>’</w:t>
      </w:r>
      <w:r w:rsidRPr="00870B89">
        <w:rPr>
          <w:rFonts w:hint="cs"/>
          <w:rtl/>
          <w:lang w:eastAsia="zh-CN"/>
        </w:rPr>
        <w:t>2</w:t>
      </w:r>
      <w:r w:rsidRPr="00870B89">
        <w:rPr>
          <w:rtl/>
          <w:lang w:eastAsia="zh-CN"/>
        </w:rPr>
        <w:t>‘</w:t>
      </w:r>
      <w:r w:rsidRPr="00870B89">
        <w:rPr>
          <w:rtl/>
          <w:lang w:eastAsia="zh-CN"/>
        </w:rPr>
        <w:tab/>
      </w:r>
      <w:r w:rsidRPr="00870B89">
        <w:rPr>
          <w:rtl/>
          <w:lang w:eastAsia="zh-CN" w:bidi="ar-EG"/>
        </w:rPr>
        <w:t>بند بيانات جديد</w:t>
      </w:r>
      <w:r w:rsidRPr="00870B89">
        <w:rPr>
          <w:rFonts w:hint="cs"/>
          <w:rtl/>
          <w:lang w:eastAsia="zh-CN" w:bidi="ar-EG"/>
        </w:rPr>
        <w:t xml:space="preserve"> بعنوان</w:t>
      </w:r>
      <w:r w:rsidRPr="00870B89">
        <w:rPr>
          <w:rtl/>
          <w:lang w:eastAsia="zh-CN" w:bidi="ar-EG"/>
        </w:rPr>
        <w:t xml:space="preserve"> "</w:t>
      </w:r>
      <w:r w:rsidRPr="00870B89">
        <w:rPr>
          <w:b/>
          <w:bCs/>
          <w:i/>
          <w:iCs/>
          <w:rtl/>
          <w:lang w:eastAsia="zh-CN" w:bidi="ar-EG"/>
        </w:rPr>
        <w:t>ارتفاع الأوج والحضيض (</w:t>
      </w:r>
      <w:r w:rsidRPr="00870B89">
        <w:rPr>
          <w:b/>
          <w:bCs/>
          <w:i/>
          <w:iCs/>
          <w:lang w:eastAsia="zh-CN"/>
        </w:rPr>
        <w:t>km</w:t>
      </w:r>
      <w:r w:rsidRPr="00870B89">
        <w:rPr>
          <w:b/>
          <w:bCs/>
          <w:i/>
          <w:iCs/>
          <w:rtl/>
          <w:lang w:eastAsia="zh-CN" w:bidi="ar-EG"/>
        </w:rPr>
        <w:t xml:space="preserve">) كدالة </w:t>
      </w:r>
      <w:r w:rsidRPr="00870B89">
        <w:rPr>
          <w:rFonts w:hint="cs"/>
          <w:b/>
          <w:bCs/>
          <w:i/>
          <w:iCs/>
          <w:rtl/>
          <w:lang w:eastAsia="zh-CN" w:bidi="ar-EG"/>
        </w:rPr>
        <w:t>للزمن</w:t>
      </w:r>
      <w:r w:rsidRPr="00870B89">
        <w:rPr>
          <w:b/>
          <w:bCs/>
          <w:i/>
          <w:iCs/>
          <w:rtl/>
          <w:lang w:eastAsia="zh-CN" w:bidi="ar-EG"/>
        </w:rPr>
        <w:t xml:space="preserve"> (</w:t>
      </w:r>
      <w:r w:rsidRPr="00870B89">
        <w:rPr>
          <w:rFonts w:hint="cs"/>
          <w:b/>
          <w:bCs/>
          <w:i/>
          <w:iCs/>
          <w:rtl/>
          <w:lang w:eastAsia="zh-CN" w:bidi="ar-EG"/>
        </w:rPr>
        <w:t>ب</w:t>
      </w:r>
      <w:r w:rsidRPr="00870B89">
        <w:rPr>
          <w:b/>
          <w:bCs/>
          <w:i/>
          <w:iCs/>
          <w:rtl/>
          <w:lang w:eastAsia="zh-CN" w:bidi="ar-EG"/>
        </w:rPr>
        <w:t>الأيام) ابتداء من تاريخ الوضع في الخدمة لجميع المستو</w:t>
      </w:r>
      <w:r w:rsidRPr="00870B89">
        <w:rPr>
          <w:rFonts w:hint="cs"/>
          <w:b/>
          <w:bCs/>
          <w:i/>
          <w:iCs/>
          <w:rtl/>
          <w:lang w:eastAsia="zh-CN" w:bidi="ar-EG"/>
        </w:rPr>
        <w:t>ِ</w:t>
      </w:r>
      <w:r w:rsidRPr="00870B89">
        <w:rPr>
          <w:b/>
          <w:bCs/>
          <w:i/>
          <w:iCs/>
          <w:rtl/>
          <w:lang w:eastAsia="zh-CN" w:bidi="ar-EG"/>
        </w:rPr>
        <w:t>يات المدارية ذات الخصائص المدارية المختلفة</w:t>
      </w:r>
      <w:r w:rsidRPr="00870B89">
        <w:rPr>
          <w:rtl/>
          <w:lang w:eastAsia="zh-CN" w:bidi="ar-EG"/>
        </w:rPr>
        <w:t xml:space="preserve">"، </w:t>
      </w:r>
      <w:r w:rsidRPr="00870B89">
        <w:rPr>
          <w:rFonts w:hint="cs"/>
          <w:rtl/>
          <w:lang w:eastAsia="zh-CN" w:bidi="ar-EG"/>
        </w:rPr>
        <w:t xml:space="preserve">وهو </w:t>
      </w:r>
      <w:r w:rsidRPr="00870B89">
        <w:rPr>
          <w:rtl/>
          <w:lang w:eastAsia="zh-CN" w:bidi="ar-EG"/>
        </w:rPr>
        <w:t xml:space="preserve">مطلوب للشبكات </w:t>
      </w:r>
      <w:proofErr w:type="spellStart"/>
      <w:r w:rsidRPr="00870B89">
        <w:rPr>
          <w:rtl/>
          <w:lang w:eastAsia="zh-CN" w:bidi="ar-EG"/>
        </w:rPr>
        <w:t>الساتلية</w:t>
      </w:r>
      <w:proofErr w:type="spellEnd"/>
      <w:r w:rsidRPr="00870B89">
        <w:rPr>
          <w:rtl/>
          <w:lang w:eastAsia="zh-CN" w:bidi="ar-EG"/>
        </w:rPr>
        <w:t xml:space="preserve"> غير المستقرة بالنسبة إلى الأرض </w:t>
      </w:r>
      <w:r w:rsidRPr="00870B89">
        <w:rPr>
          <w:rFonts w:hint="cs"/>
          <w:rtl/>
          <w:lang w:eastAsia="zh-CN" w:bidi="ar-EG"/>
        </w:rPr>
        <w:t>التي</w:t>
      </w:r>
      <w:r w:rsidRPr="00870B89">
        <w:rPr>
          <w:rtl/>
          <w:lang w:eastAsia="zh-CN" w:bidi="ar-EG"/>
        </w:rPr>
        <w:t xml:space="preserve"> </w:t>
      </w:r>
      <w:r w:rsidRPr="00870B89">
        <w:rPr>
          <w:rFonts w:hint="cs"/>
          <w:rtl/>
          <w:lang w:eastAsia="zh-CN" w:bidi="ar-EG"/>
        </w:rPr>
        <w:t xml:space="preserve">يُرمز </w:t>
      </w:r>
      <w:r w:rsidRPr="00870B89">
        <w:rPr>
          <w:rtl/>
          <w:lang w:eastAsia="zh-CN" w:bidi="ar-EG"/>
        </w:rPr>
        <w:t>لمؤشر</w:t>
      </w:r>
      <w:r w:rsidRPr="00870B89">
        <w:rPr>
          <w:rFonts w:hint="cs"/>
          <w:rtl/>
          <w:lang w:eastAsia="zh-CN" w:bidi="ar-EG"/>
        </w:rPr>
        <w:t>ها</w:t>
      </w:r>
      <w:r w:rsidRPr="00870B89">
        <w:rPr>
          <w:rtl/>
          <w:lang w:eastAsia="zh-CN" w:bidi="ar-EG"/>
        </w:rPr>
        <w:t xml:space="preserve"> </w:t>
      </w:r>
      <w:r w:rsidRPr="00870B89">
        <w:rPr>
          <w:rFonts w:hint="cs"/>
          <w:rtl/>
          <w:lang w:eastAsia="zh-CN" w:bidi="ar-EG"/>
        </w:rPr>
        <w:t>المستحدَث</w:t>
      </w:r>
      <w:r w:rsidRPr="00870B89">
        <w:rPr>
          <w:rtl/>
          <w:lang w:eastAsia="zh-CN" w:bidi="ar-EG"/>
        </w:rPr>
        <w:t xml:space="preserve"> أعلاه </w:t>
      </w:r>
      <w:r w:rsidRPr="00870B89">
        <w:rPr>
          <w:rFonts w:hint="cs"/>
          <w:rtl/>
          <w:lang w:eastAsia="zh-CN" w:bidi="ar-EG"/>
        </w:rPr>
        <w:t>بالحرف</w:t>
      </w:r>
      <w:r w:rsidRPr="00870B89">
        <w:rPr>
          <w:rtl/>
          <w:lang w:eastAsia="zh-CN" w:bidi="ar-EG"/>
        </w:rPr>
        <w:t xml:space="preserve"> "</w:t>
      </w:r>
      <w:r w:rsidRPr="00870B89">
        <w:rPr>
          <w:lang w:eastAsia="zh-CN"/>
        </w:rPr>
        <w:t>N</w:t>
      </w:r>
      <w:r w:rsidRPr="00870B89">
        <w:rPr>
          <w:rtl/>
          <w:lang w:eastAsia="zh-CN" w:bidi="ar-EG"/>
        </w:rPr>
        <w:t>"</w:t>
      </w:r>
      <w:r w:rsidR="003A74E3">
        <w:rPr>
          <w:rFonts w:hint="cs"/>
          <w:rtl/>
          <w:lang w:eastAsia="zh-CN" w:bidi="ar-EG"/>
        </w:rPr>
        <w:t>.</w:t>
      </w:r>
    </w:p>
    <w:p w14:paraId="04845C9C" w14:textId="6117A8F8" w:rsidR="0072364F" w:rsidRDefault="00956BBF">
      <w:pPr>
        <w:rPr>
          <w:rtl/>
        </w:rPr>
      </w:pPr>
      <w:r w:rsidRPr="00956BBF">
        <w:rPr>
          <w:rFonts w:hint="cs"/>
          <w:b/>
          <w:bCs/>
          <w:rtl/>
        </w:rPr>
        <w:t>الآراء والمقترحات</w:t>
      </w:r>
      <w:r>
        <w:rPr>
          <w:rFonts w:hint="cs"/>
          <w:rtl/>
        </w:rPr>
        <w:t xml:space="preserve">: تؤيد الإدارة إضافة البندين </w:t>
      </w:r>
      <w:proofErr w:type="spellStart"/>
      <w:r>
        <w:rPr>
          <w:rFonts w:hint="cs"/>
          <w:rtl/>
        </w:rPr>
        <w:t>الجديدن</w:t>
      </w:r>
      <w:proofErr w:type="spellEnd"/>
      <w:r>
        <w:rPr>
          <w:rFonts w:hint="cs"/>
          <w:rtl/>
        </w:rPr>
        <w:t xml:space="preserve"> للبيانات إلى الملحق 2 بالتذييل </w:t>
      </w:r>
      <w:r w:rsidRPr="00F14C41">
        <w:rPr>
          <w:rStyle w:val="Appref"/>
          <w:b/>
          <w:bCs/>
        </w:rPr>
        <w:t>4</w:t>
      </w:r>
      <w:r>
        <w:rPr>
          <w:rFonts w:hint="cs"/>
          <w:rtl/>
          <w:lang w:bidi="ar-LB"/>
        </w:rPr>
        <w:t xml:space="preserve"> للوائح الراديو على النحو المقترح، على أن يخضع </w:t>
      </w:r>
      <w:r w:rsidR="00D56600">
        <w:rPr>
          <w:rFonts w:hint="cs"/>
          <w:rtl/>
          <w:lang w:bidi="ar-LB"/>
        </w:rPr>
        <w:t>ذلك للموافقة على المقترح السابق.</w:t>
      </w:r>
    </w:p>
    <w:p w14:paraId="7C872833" w14:textId="1C225AD8" w:rsidR="00BB6D82" w:rsidRDefault="00C955C2">
      <w:pPr>
        <w:pStyle w:val="Reasons"/>
        <w:rPr>
          <w:b w:val="0"/>
          <w:bCs w:val="0"/>
          <w:rtl/>
        </w:rPr>
      </w:pPr>
      <w:r>
        <w:rPr>
          <w:rtl/>
        </w:rPr>
        <w:t>الأسباب:</w:t>
      </w:r>
      <w:r>
        <w:tab/>
      </w:r>
      <w:r w:rsidR="00D56600">
        <w:rPr>
          <w:rFonts w:hint="cs"/>
          <w:b w:val="0"/>
          <w:bCs w:val="0"/>
          <w:rtl/>
        </w:rPr>
        <w:t>تعتقد الإدارة أنه يجب التحقق من بيانات الهبوط المداري للتأكد من أنها تتماشى مع العمر المتوقع للمحطة الفضائية</w:t>
      </w:r>
      <w:r w:rsidR="0072364F" w:rsidRPr="0072364F">
        <w:rPr>
          <w:rFonts w:hint="cs"/>
          <w:b w:val="0"/>
          <w:bCs w:val="0"/>
          <w:rtl/>
        </w:rPr>
        <w:t>.</w:t>
      </w:r>
    </w:p>
    <w:p w14:paraId="17951531" w14:textId="2684019F" w:rsidR="00C57261" w:rsidRDefault="00C57261" w:rsidP="00C57261">
      <w:pPr>
        <w:rPr>
          <w:rtl/>
        </w:rPr>
      </w:pPr>
      <w:r>
        <w:rPr>
          <w:rtl/>
        </w:rPr>
        <w:br w:type="page"/>
      </w:r>
    </w:p>
    <w:p w14:paraId="681E23A9" w14:textId="77777777" w:rsidR="00BB6D82" w:rsidRDefault="00C955C2">
      <w:pPr>
        <w:pStyle w:val="Proposal"/>
      </w:pPr>
      <w:r>
        <w:lastRenderedPageBreak/>
        <w:tab/>
        <w:t>CHN/111A25A4/2</w:t>
      </w:r>
    </w:p>
    <w:p w14:paraId="674B0367" w14:textId="6506B863" w:rsidR="00BB6D82" w:rsidRDefault="00EE74FD" w:rsidP="009B2370">
      <w:pPr>
        <w:pStyle w:val="Heading4"/>
        <w:rPr>
          <w:rtl/>
        </w:rPr>
      </w:pPr>
      <w:r w:rsidRPr="00EE74FD">
        <w:t>11.1.2.3</w:t>
      </w:r>
      <w:r w:rsidRPr="00EE74FD">
        <w:tab/>
      </w:r>
      <w:r w:rsidR="00D56600">
        <w:rPr>
          <w:rFonts w:hint="cs"/>
          <w:rtl/>
        </w:rPr>
        <w:t>الحزم القابلة للتوجيه</w:t>
      </w:r>
    </w:p>
    <w:p w14:paraId="20E89C35" w14:textId="14E7FDAF" w:rsidR="00C57261" w:rsidRPr="00C57261" w:rsidRDefault="00C57261" w:rsidP="00C57261">
      <w:pPr>
        <w:pBdr>
          <w:top w:val="single" w:sz="4" w:space="1" w:color="auto"/>
          <w:left w:val="single" w:sz="4" w:space="4" w:color="auto"/>
          <w:bottom w:val="single" w:sz="4" w:space="1" w:color="auto"/>
          <w:right w:val="single" w:sz="4" w:space="4" w:color="auto"/>
        </w:pBdr>
        <w:rPr>
          <w:b/>
          <w:rtl/>
          <w:lang w:eastAsia="zh-CN"/>
        </w:rPr>
      </w:pPr>
      <w:r w:rsidRPr="00C57261">
        <w:rPr>
          <w:b/>
          <w:rtl/>
          <w:lang w:eastAsia="zh-CN" w:bidi="ar-EG"/>
        </w:rPr>
        <w:t xml:space="preserve">بالنسبة إلى الحزم القابلة للتوجيه عندما يمكن توجيه هوائي </w:t>
      </w:r>
      <w:proofErr w:type="spellStart"/>
      <w:r w:rsidRPr="00C57261">
        <w:rPr>
          <w:b/>
          <w:rtl/>
          <w:lang w:eastAsia="zh-CN" w:bidi="ar-EG"/>
        </w:rPr>
        <w:t>الساتل</w:t>
      </w:r>
      <w:proofErr w:type="spellEnd"/>
      <w:r w:rsidRPr="00C57261">
        <w:rPr>
          <w:b/>
          <w:rtl/>
          <w:lang w:eastAsia="zh-CN" w:bidi="ar-EG"/>
        </w:rPr>
        <w:t xml:space="preserve"> نحو أي نقطة في منطقة الخدمة، يشير المكتب إلى أن الإدارات تقدم عادة </w:t>
      </w:r>
      <w:r w:rsidRPr="00C57261">
        <w:rPr>
          <w:rFonts w:hint="cs"/>
          <w:b/>
          <w:rtl/>
          <w:lang w:eastAsia="zh-CN" w:bidi="ar-EG"/>
        </w:rPr>
        <w:t>مذكرة</w:t>
      </w:r>
      <w:r w:rsidRPr="00C57261">
        <w:rPr>
          <w:b/>
          <w:rtl/>
          <w:lang w:eastAsia="zh-CN" w:bidi="ar-EG"/>
        </w:rPr>
        <w:t xml:space="preserve"> </w:t>
      </w:r>
      <w:r w:rsidRPr="00C57261">
        <w:rPr>
          <w:rFonts w:hint="cs"/>
          <w:b/>
          <w:rtl/>
          <w:lang w:eastAsia="zh-CN" w:bidi="ar-EG"/>
        </w:rPr>
        <w:t>بشأن</w:t>
      </w:r>
      <w:r w:rsidRPr="00C57261">
        <w:rPr>
          <w:rFonts w:hint="cs"/>
          <w:b/>
          <w:rtl/>
          <w:lang w:eastAsia="zh-CN" w:bidi="ar-SY"/>
        </w:rPr>
        <w:t xml:space="preserve"> بند</w:t>
      </w:r>
      <w:r w:rsidRPr="00C57261">
        <w:rPr>
          <w:b/>
          <w:rtl/>
          <w:lang w:eastAsia="zh-CN" w:bidi="ar-SY"/>
        </w:rPr>
        <w:t xml:space="preserve"> البيانات هذا، إما تشير إلى </w:t>
      </w:r>
      <w:r w:rsidRPr="00C57261">
        <w:rPr>
          <w:rFonts w:hint="cs"/>
          <w:b/>
          <w:rtl/>
          <w:lang w:eastAsia="zh-CN" w:bidi="ar-SY"/>
        </w:rPr>
        <w:t>تعذر</w:t>
      </w:r>
      <w:r w:rsidRPr="00C57261">
        <w:rPr>
          <w:b/>
          <w:rtl/>
          <w:lang w:eastAsia="zh-CN" w:bidi="ar-SY"/>
        </w:rPr>
        <w:t xml:space="preserve"> تقديم هذا المخطط أو إلى أن الكسب سيكون ثابتاً ويساوي الكسب الأقصى (البند </w:t>
      </w:r>
      <w:r w:rsidRPr="00C57261">
        <w:rPr>
          <w:bCs/>
          <w:lang w:eastAsia="zh-CN"/>
        </w:rPr>
        <w:t>B</w:t>
      </w:r>
      <w:r w:rsidRPr="00C57261">
        <w:rPr>
          <w:rFonts w:hint="cs"/>
          <w:b/>
          <w:rtl/>
          <w:lang w:eastAsia="zh-CN"/>
        </w:rPr>
        <w:t>.</w:t>
      </w:r>
      <w:r w:rsidRPr="00C57261">
        <w:rPr>
          <w:rFonts w:hint="cs"/>
          <w:b/>
          <w:rtl/>
          <w:lang w:eastAsia="zh-CN" w:bidi="ar-EG"/>
        </w:rPr>
        <w:t>3</w:t>
      </w:r>
      <w:r w:rsidRPr="00C57261">
        <w:rPr>
          <w:b/>
          <w:rtl/>
          <w:lang w:eastAsia="zh-CN" w:bidi="ar-EG"/>
        </w:rPr>
        <w:t>.</w:t>
      </w:r>
      <w:r w:rsidRPr="00C57261">
        <w:rPr>
          <w:rFonts w:hint="cs"/>
          <w:b/>
          <w:rtl/>
          <w:lang w:eastAsia="zh-CN" w:bidi="ar-EG"/>
        </w:rPr>
        <w:t>أ</w:t>
      </w:r>
      <w:r w:rsidRPr="00C57261">
        <w:rPr>
          <w:b/>
          <w:rtl/>
          <w:lang w:eastAsia="zh-CN" w:bidi="ar-EG"/>
        </w:rPr>
        <w:t>.</w:t>
      </w:r>
      <w:r w:rsidRPr="00C57261">
        <w:rPr>
          <w:rFonts w:hint="cs"/>
          <w:b/>
          <w:rtl/>
          <w:lang w:eastAsia="zh-CN" w:bidi="ar-EG"/>
        </w:rPr>
        <w:t>1</w:t>
      </w:r>
      <w:r w:rsidRPr="00C57261">
        <w:rPr>
          <w:b/>
          <w:rtl/>
          <w:lang w:eastAsia="zh-CN" w:bidi="ar-SY"/>
        </w:rPr>
        <w:t xml:space="preserve"> </w:t>
      </w:r>
      <w:r w:rsidR="00B13973">
        <w:rPr>
          <w:rFonts w:hint="cs"/>
          <w:b/>
          <w:rtl/>
          <w:lang w:eastAsia="zh-CN" w:bidi="ar-SY"/>
        </w:rPr>
        <w:t xml:space="preserve">من </w:t>
      </w:r>
      <w:r w:rsidRPr="00C57261">
        <w:rPr>
          <w:b/>
          <w:rtl/>
          <w:lang w:eastAsia="zh-CN" w:bidi="ar-SY"/>
        </w:rPr>
        <w:t xml:space="preserve">التذييل </w:t>
      </w:r>
      <w:r w:rsidRPr="00C57261">
        <w:rPr>
          <w:b/>
          <w:bCs/>
          <w:rtl/>
          <w:lang w:eastAsia="zh-CN" w:bidi="ar-SY"/>
        </w:rPr>
        <w:t>4</w:t>
      </w:r>
      <w:r w:rsidRPr="00C57261">
        <w:rPr>
          <w:b/>
          <w:rtl/>
          <w:lang w:eastAsia="zh-CN" w:bidi="ar-SY"/>
        </w:rPr>
        <w:t>) لأي زاوية ارتفاع (أو تقدم هذا المخطط بكسب ثابت).</w:t>
      </w:r>
    </w:p>
    <w:p w14:paraId="16BD50F5" w14:textId="77777777" w:rsidR="00C57261" w:rsidRPr="00C57261" w:rsidRDefault="00C57261" w:rsidP="00C57261">
      <w:pPr>
        <w:pBdr>
          <w:top w:val="single" w:sz="4" w:space="1" w:color="auto"/>
          <w:left w:val="single" w:sz="4" w:space="4" w:color="auto"/>
          <w:bottom w:val="single" w:sz="4" w:space="1" w:color="auto"/>
          <w:right w:val="single" w:sz="4" w:space="4" w:color="auto"/>
        </w:pBdr>
        <w:rPr>
          <w:b/>
          <w:rtl/>
          <w:lang w:eastAsia="zh-CN"/>
        </w:rPr>
      </w:pPr>
      <w:r w:rsidRPr="00C57261">
        <w:rPr>
          <w:b/>
          <w:rtl/>
          <w:lang w:eastAsia="zh-CN" w:bidi="ar-SY"/>
        </w:rPr>
        <w:t xml:space="preserve">ونظراً للصعوبات في تفسير هذه المعلومات، لا يستعمل المكتب حالياً عموماً المعلومات المقدمة في بند البيانات </w:t>
      </w:r>
      <w:r w:rsidRPr="00C57261">
        <w:rPr>
          <w:bCs/>
          <w:lang w:eastAsia="zh-CN"/>
        </w:rPr>
        <w:t>4.B</w:t>
      </w:r>
      <w:r w:rsidRPr="00C57261">
        <w:rPr>
          <w:b/>
          <w:rtl/>
          <w:lang w:eastAsia="zh-CN" w:bidi="ar-SY"/>
        </w:rPr>
        <w:t xml:space="preserve">.ب.2 للتفحص بموجب المادة </w:t>
      </w:r>
      <w:r w:rsidRPr="00F14C41">
        <w:rPr>
          <w:rStyle w:val="Appref"/>
          <w:b/>
          <w:bCs/>
          <w:rtl/>
        </w:rPr>
        <w:t>21</w:t>
      </w:r>
      <w:r w:rsidRPr="00C57261">
        <w:rPr>
          <w:b/>
          <w:rtl/>
          <w:lang w:eastAsia="zh-CN" w:bidi="ar-SY"/>
        </w:rPr>
        <w:t xml:space="preserve"> من لوائح الراديو أو غيرها من أحكام لوائح الراديو.</w:t>
      </w:r>
    </w:p>
    <w:p w14:paraId="77D78737" w14:textId="6E1F39AB" w:rsidR="00C57261" w:rsidRPr="00C57261" w:rsidRDefault="00C57261" w:rsidP="00C57261">
      <w:pPr>
        <w:pBdr>
          <w:top w:val="single" w:sz="4" w:space="1" w:color="auto"/>
          <w:left w:val="single" w:sz="4" w:space="4" w:color="auto"/>
          <w:bottom w:val="single" w:sz="4" w:space="1" w:color="auto"/>
          <w:right w:val="single" w:sz="4" w:space="4" w:color="auto"/>
        </w:pBdr>
        <w:rPr>
          <w:b/>
          <w:rtl/>
          <w:lang w:eastAsia="zh-CN"/>
        </w:rPr>
      </w:pPr>
      <w:r w:rsidRPr="00C57261">
        <w:rPr>
          <w:rFonts w:hint="cs"/>
          <w:b/>
          <w:rtl/>
          <w:lang w:eastAsia="zh-CN"/>
        </w:rPr>
        <w:t xml:space="preserve">غير أن المكتب ينظر في استحداث عنصر إضافي يبين الكسب الأقصى مقابل الحزم القابلة للتوجيه باستخدام هوائيات صفيف مرتب الأطوار أو حزم موجهة إلكترونياً. علاوة </w:t>
      </w:r>
      <w:r w:rsidR="00B13973">
        <w:rPr>
          <w:rFonts w:hint="cs"/>
          <w:b/>
          <w:rtl/>
          <w:lang w:eastAsia="zh-CN"/>
        </w:rPr>
        <w:t>ع</w:t>
      </w:r>
      <w:r w:rsidRPr="00C57261">
        <w:rPr>
          <w:rFonts w:hint="cs"/>
          <w:b/>
          <w:rtl/>
          <w:lang w:eastAsia="zh-CN"/>
        </w:rPr>
        <w:t xml:space="preserve">لى ذلك، يرى المكتب أن هذه البيانات ينبغي ألّا تقتصر فقط على المحطات الفضائية غير المستقرة بالنسبة إلى الأرض التي يجري تقديمها وفقاً للأرقام </w:t>
      </w:r>
      <w:r w:rsidRPr="00F14C41">
        <w:rPr>
          <w:rStyle w:val="Appref"/>
          <w:rFonts w:hint="cs"/>
          <w:b/>
          <w:bCs/>
          <w:rtl/>
        </w:rPr>
        <w:t>9.</w:t>
      </w:r>
      <w:r w:rsidRPr="00F14C41">
        <w:rPr>
          <w:rStyle w:val="Appref"/>
          <w:b/>
          <w:bCs/>
        </w:rPr>
        <w:t>11A</w:t>
      </w:r>
      <w:r w:rsidRPr="00C57261">
        <w:rPr>
          <w:rFonts w:hint="cs"/>
          <w:b/>
          <w:rtl/>
          <w:lang w:eastAsia="zh-CN"/>
        </w:rPr>
        <w:t xml:space="preserve"> و</w:t>
      </w:r>
      <w:r w:rsidRPr="00F14C41">
        <w:rPr>
          <w:rStyle w:val="Appref"/>
          <w:rFonts w:hint="cs"/>
          <w:b/>
          <w:bCs/>
          <w:rtl/>
        </w:rPr>
        <w:t>12.9</w:t>
      </w:r>
      <w:r w:rsidRPr="00C57261">
        <w:rPr>
          <w:rFonts w:hint="cs"/>
          <w:b/>
          <w:rtl/>
          <w:lang w:eastAsia="zh-CN"/>
        </w:rPr>
        <w:t xml:space="preserve"> و</w:t>
      </w:r>
      <w:r w:rsidRPr="00F14C41">
        <w:rPr>
          <w:rStyle w:val="Appref"/>
          <w:rFonts w:hint="cs"/>
          <w:b/>
          <w:bCs/>
          <w:rtl/>
        </w:rPr>
        <w:t>9.</w:t>
      </w:r>
      <w:r w:rsidRPr="00F14C41">
        <w:rPr>
          <w:rStyle w:val="Appref"/>
          <w:b/>
          <w:bCs/>
        </w:rPr>
        <w:t>12A</w:t>
      </w:r>
      <w:r w:rsidRPr="00C57261">
        <w:rPr>
          <w:rFonts w:hint="cs"/>
          <w:b/>
          <w:bCs/>
          <w:rtl/>
          <w:lang w:eastAsia="zh-CN"/>
        </w:rPr>
        <w:t xml:space="preserve"> </w:t>
      </w:r>
      <w:r w:rsidRPr="00C57261">
        <w:rPr>
          <w:rFonts w:hint="cs"/>
          <w:b/>
          <w:rtl/>
          <w:lang w:eastAsia="zh-CN"/>
        </w:rPr>
        <w:t>من لوائح الراديو.</w:t>
      </w:r>
    </w:p>
    <w:p w14:paraId="226B3C5F" w14:textId="77777777" w:rsidR="00C57261" w:rsidRPr="00C57261" w:rsidRDefault="00C57261" w:rsidP="00C57261">
      <w:pPr>
        <w:pBdr>
          <w:top w:val="single" w:sz="4" w:space="1" w:color="auto"/>
          <w:left w:val="single" w:sz="4" w:space="4" w:color="auto"/>
          <w:bottom w:val="single" w:sz="4" w:space="1" w:color="auto"/>
          <w:right w:val="single" w:sz="4" w:space="4" w:color="auto"/>
        </w:pBdr>
        <w:rPr>
          <w:b/>
          <w:rtl/>
          <w:lang w:eastAsia="zh-CN"/>
        </w:rPr>
      </w:pPr>
      <w:r w:rsidRPr="00C57261">
        <w:rPr>
          <w:rFonts w:hint="cs"/>
          <w:b/>
          <w:rtl/>
          <w:lang w:eastAsia="zh-CN"/>
        </w:rPr>
        <w:t>ويدعو المكتب المؤتمر للنظر في:</w:t>
      </w:r>
    </w:p>
    <w:p w14:paraId="06F7D7DD" w14:textId="67C44009" w:rsidR="00C57261" w:rsidRPr="00C57261" w:rsidRDefault="00C57261" w:rsidP="00B13973">
      <w:pPr>
        <w:pBdr>
          <w:top w:val="single" w:sz="4" w:space="1" w:color="auto"/>
          <w:left w:val="single" w:sz="4" w:space="4" w:color="auto"/>
          <w:bottom w:val="single" w:sz="4" w:space="1" w:color="auto"/>
          <w:right w:val="single" w:sz="4" w:space="4" w:color="auto"/>
        </w:pBdr>
        <w:spacing w:before="80"/>
        <w:ind w:left="794" w:hanging="794"/>
        <w:rPr>
          <w:rtl/>
          <w:lang w:eastAsia="zh-CN"/>
        </w:rPr>
      </w:pPr>
      <w:r w:rsidRPr="00C57261">
        <w:rPr>
          <w:rFonts w:hint="cs"/>
          <w:rtl/>
          <w:lang w:eastAsia="zh-CN"/>
        </w:rPr>
        <w:t>1)</w:t>
      </w:r>
      <w:r w:rsidRPr="00C57261">
        <w:rPr>
          <w:rtl/>
          <w:lang w:eastAsia="zh-CN"/>
        </w:rPr>
        <w:tab/>
      </w:r>
      <w:r w:rsidRPr="00C57261">
        <w:rPr>
          <w:rFonts w:hint="cs"/>
          <w:rtl/>
          <w:lang w:eastAsia="zh-CN"/>
        </w:rPr>
        <w:t xml:space="preserve">التعديلات المقترحة </w:t>
      </w:r>
      <w:r w:rsidR="00B13973">
        <w:rPr>
          <w:rFonts w:hint="cs"/>
          <w:rtl/>
          <w:lang w:eastAsia="zh-CN"/>
        </w:rPr>
        <w:t>على</w:t>
      </w:r>
      <w:r w:rsidRPr="00C57261">
        <w:rPr>
          <w:rFonts w:hint="cs"/>
          <w:rtl/>
          <w:lang w:eastAsia="zh-CN"/>
        </w:rPr>
        <w:t xml:space="preserve"> </w:t>
      </w:r>
      <w:r w:rsidRPr="00C57261">
        <w:rPr>
          <w:rtl/>
          <w:lang w:eastAsia="zh-CN" w:bidi="ar-EG"/>
        </w:rPr>
        <w:t xml:space="preserve">البند </w:t>
      </w:r>
      <w:r w:rsidRPr="00C57261">
        <w:rPr>
          <w:lang w:eastAsia="zh-CN"/>
        </w:rPr>
        <w:t>.</w:t>
      </w:r>
      <w:proofErr w:type="gramStart"/>
      <w:r w:rsidRPr="00C57261">
        <w:rPr>
          <w:lang w:eastAsia="zh-CN"/>
        </w:rPr>
        <w:t>4.B</w:t>
      </w:r>
      <w:r w:rsidRPr="00C57261">
        <w:rPr>
          <w:rtl/>
          <w:lang w:eastAsia="zh-CN" w:bidi="ar-EG"/>
        </w:rPr>
        <w:t>ب.</w:t>
      </w:r>
      <w:r w:rsidR="00B13973">
        <w:rPr>
          <w:rFonts w:hint="cs"/>
          <w:rtl/>
          <w:lang w:eastAsia="zh-CN" w:bidi="ar-EG"/>
        </w:rPr>
        <w:t>2</w:t>
      </w:r>
      <w:r w:rsidRPr="00C57261">
        <w:rPr>
          <w:rtl/>
          <w:lang w:eastAsia="zh-CN" w:bidi="ar-EG"/>
        </w:rPr>
        <w:t>.</w:t>
      </w:r>
      <w:r w:rsidRPr="00C57261">
        <w:rPr>
          <w:rFonts w:hint="cs"/>
          <w:rtl/>
          <w:lang w:eastAsia="zh-CN" w:bidi="ar-EG"/>
        </w:rPr>
        <w:t>من</w:t>
      </w:r>
      <w:proofErr w:type="gramEnd"/>
      <w:r w:rsidRPr="00C57261">
        <w:rPr>
          <w:rtl/>
          <w:lang w:eastAsia="zh-CN" w:bidi="ar-EG"/>
        </w:rPr>
        <w:t xml:space="preserve"> التذييل </w:t>
      </w:r>
      <w:r w:rsidRPr="00F14C41">
        <w:rPr>
          <w:rStyle w:val="Appref"/>
          <w:b/>
          <w:bCs/>
          <w:rtl/>
        </w:rPr>
        <w:t>4</w:t>
      </w:r>
      <w:r w:rsidRPr="00C57261">
        <w:rPr>
          <w:rFonts w:hint="cs"/>
          <w:rtl/>
          <w:lang w:eastAsia="zh-CN" w:bidi="ar-EG"/>
        </w:rPr>
        <w:t>،</w:t>
      </w:r>
    </w:p>
    <w:p w14:paraId="6D20FA78" w14:textId="7C85F68C" w:rsidR="00C57261" w:rsidRPr="00C57261" w:rsidRDefault="00C57261" w:rsidP="00B13973">
      <w:pPr>
        <w:pBdr>
          <w:top w:val="single" w:sz="4" w:space="1" w:color="auto"/>
          <w:left w:val="single" w:sz="4" w:space="4" w:color="auto"/>
          <w:bottom w:val="single" w:sz="4" w:space="1" w:color="auto"/>
          <w:right w:val="single" w:sz="4" w:space="4" w:color="auto"/>
        </w:pBdr>
        <w:spacing w:before="80"/>
        <w:ind w:left="794" w:hanging="794"/>
        <w:rPr>
          <w:rtl/>
          <w:lang w:eastAsia="zh-CN"/>
        </w:rPr>
      </w:pPr>
      <w:r w:rsidRPr="00C57261">
        <w:rPr>
          <w:rFonts w:hint="cs"/>
          <w:rtl/>
          <w:lang w:eastAsia="zh-CN"/>
        </w:rPr>
        <w:t>2)</w:t>
      </w:r>
      <w:r w:rsidRPr="00C57261">
        <w:rPr>
          <w:rtl/>
          <w:lang w:eastAsia="zh-CN"/>
        </w:rPr>
        <w:tab/>
      </w:r>
      <w:r w:rsidRPr="00C57261">
        <w:rPr>
          <w:rFonts w:hint="cs"/>
          <w:rtl/>
          <w:lang w:eastAsia="zh-CN"/>
        </w:rPr>
        <w:t xml:space="preserve">أو إلغاء </w:t>
      </w:r>
      <w:r w:rsidRPr="00C57261">
        <w:rPr>
          <w:rtl/>
          <w:lang w:eastAsia="zh-CN" w:bidi="ar-EG"/>
        </w:rPr>
        <w:t xml:space="preserve">البند </w:t>
      </w:r>
      <w:r w:rsidRPr="00C57261">
        <w:rPr>
          <w:lang w:eastAsia="zh-CN"/>
        </w:rPr>
        <w:t>.</w:t>
      </w:r>
      <w:proofErr w:type="gramStart"/>
      <w:r w:rsidRPr="00C57261">
        <w:rPr>
          <w:lang w:eastAsia="zh-CN"/>
        </w:rPr>
        <w:t>4.B</w:t>
      </w:r>
      <w:proofErr w:type="gramEnd"/>
      <w:r w:rsidRPr="00C57261">
        <w:rPr>
          <w:rtl/>
          <w:lang w:eastAsia="zh-CN" w:bidi="ar-EG"/>
        </w:rPr>
        <w:t>ب.</w:t>
      </w:r>
      <w:r w:rsidR="00B13973">
        <w:rPr>
          <w:rFonts w:hint="cs"/>
          <w:rtl/>
          <w:lang w:eastAsia="zh-CN" w:bidi="ar-EG"/>
        </w:rPr>
        <w:t>2</w:t>
      </w:r>
      <w:r w:rsidRPr="00C57261">
        <w:rPr>
          <w:rtl/>
          <w:lang w:eastAsia="zh-CN" w:bidi="ar-EG"/>
        </w:rPr>
        <w:t>.</w:t>
      </w:r>
    </w:p>
    <w:p w14:paraId="11525CCD" w14:textId="12945CA8" w:rsidR="00EE74FD" w:rsidRDefault="00757D76">
      <w:pPr>
        <w:rPr>
          <w:b/>
          <w:rtl/>
        </w:rPr>
      </w:pPr>
      <w:r w:rsidRPr="004637CD">
        <w:rPr>
          <w:rFonts w:hint="cs"/>
          <w:bCs/>
          <w:rtl/>
        </w:rPr>
        <w:t>الآراء والمقترحات</w:t>
      </w:r>
      <w:r>
        <w:rPr>
          <w:rFonts w:hint="cs"/>
          <w:b/>
          <w:rtl/>
        </w:rPr>
        <w:t xml:space="preserve">: تؤيد هذه الإدارة إضافة المكتب لعنصر يفصّل الكسب الأقصى مقابل الارتفاع لهوائيات </w:t>
      </w:r>
      <w:proofErr w:type="spellStart"/>
      <w:r>
        <w:rPr>
          <w:rFonts w:hint="cs"/>
          <w:b/>
          <w:rtl/>
        </w:rPr>
        <w:t>صفبف</w:t>
      </w:r>
      <w:proofErr w:type="spellEnd"/>
      <w:r>
        <w:rPr>
          <w:rFonts w:hint="cs"/>
          <w:b/>
          <w:rtl/>
        </w:rPr>
        <w:t xml:space="preserve"> مرتب الأطوار أو حزم موجهة إلكترونياً، وإزالة البند </w:t>
      </w:r>
      <w:r w:rsidRPr="00B95D0B">
        <w:t>.</w:t>
      </w:r>
      <w:proofErr w:type="gramStart"/>
      <w:r w:rsidRPr="00B95D0B">
        <w:t>4.</w:t>
      </w:r>
      <w:r w:rsidR="00223E85">
        <w:t>B</w:t>
      </w:r>
      <w:proofErr w:type="gramEnd"/>
      <w:r w:rsidRPr="00B95D0B">
        <w:rPr>
          <w:rtl/>
          <w:lang w:bidi="ar-EG"/>
        </w:rPr>
        <w:t>ب.</w:t>
      </w:r>
      <w:r w:rsidR="004637CD">
        <w:rPr>
          <w:lang w:bidi="ar-EG"/>
        </w:rPr>
        <w:t>2</w:t>
      </w:r>
      <w:r w:rsidRPr="00B95D0B">
        <w:rPr>
          <w:rtl/>
          <w:lang w:bidi="ar-EG"/>
        </w:rPr>
        <w:t>.</w:t>
      </w:r>
    </w:p>
    <w:p w14:paraId="43CE6DAB" w14:textId="525962A1" w:rsidR="00BB6D82" w:rsidRDefault="00C955C2" w:rsidP="009B2370">
      <w:pPr>
        <w:pStyle w:val="Reasons"/>
        <w:rPr>
          <w:b w:val="0"/>
          <w:bCs w:val="0"/>
          <w:rtl/>
        </w:rPr>
      </w:pPr>
      <w:r>
        <w:rPr>
          <w:rtl/>
        </w:rPr>
        <w:t>الأسباب:</w:t>
      </w:r>
      <w:r>
        <w:tab/>
      </w:r>
      <w:r w:rsidR="00757D76">
        <w:rPr>
          <w:rFonts w:hint="cs"/>
          <w:b w:val="0"/>
          <w:bCs w:val="0"/>
          <w:rtl/>
        </w:rPr>
        <w:t>بالنسبة لهوائيات الصفيف المرتب الأطوار،</w:t>
      </w:r>
      <w:r w:rsidR="00DB18A0">
        <w:rPr>
          <w:rFonts w:hint="cs"/>
          <w:b w:val="0"/>
          <w:bCs w:val="0"/>
          <w:rtl/>
        </w:rPr>
        <w:t xml:space="preserve"> </w:t>
      </w:r>
      <w:r w:rsidR="00757D76">
        <w:rPr>
          <w:rFonts w:hint="cs"/>
          <w:b w:val="0"/>
          <w:bCs w:val="0"/>
          <w:rtl/>
        </w:rPr>
        <w:t>يتغير الكسب بصرف النظر عن زاوية الارتفاع. ولذلك يلزم معلمة جديدة لوصف الخصائص الواردة أعلاه،</w:t>
      </w:r>
      <w:r w:rsidR="00DB18A0">
        <w:rPr>
          <w:rFonts w:hint="cs"/>
          <w:b w:val="0"/>
          <w:bCs w:val="0"/>
          <w:rtl/>
        </w:rPr>
        <w:t xml:space="preserve"> بحيث يمكن أيضاً لمعايرة ا</w:t>
      </w:r>
      <w:r w:rsidR="00B95D0B" w:rsidRPr="009B2370">
        <w:rPr>
          <w:rFonts w:hint="cs"/>
          <w:b w:val="0"/>
          <w:bCs w:val="0"/>
          <w:rtl/>
        </w:rPr>
        <w:t xml:space="preserve">لمادة </w:t>
      </w:r>
      <w:r w:rsidR="00B95D0B" w:rsidRPr="00F14C41">
        <w:rPr>
          <w:rStyle w:val="Appref"/>
          <w:rFonts w:hint="cs"/>
          <w:rtl/>
        </w:rPr>
        <w:t>21</w:t>
      </w:r>
      <w:r w:rsidR="00B95D0B" w:rsidRPr="009B2370">
        <w:rPr>
          <w:rFonts w:hint="cs"/>
          <w:b w:val="0"/>
          <w:bCs w:val="0"/>
          <w:rtl/>
        </w:rPr>
        <w:t xml:space="preserve"> من لوائح الراديو </w:t>
      </w:r>
      <w:r w:rsidR="00DB18A0">
        <w:rPr>
          <w:rFonts w:hint="cs"/>
          <w:b w:val="0"/>
          <w:bCs w:val="0"/>
          <w:rtl/>
        </w:rPr>
        <w:t>أن تستعمل منحنى زاوية الارتفاع والكسب الأقصى.</w:t>
      </w:r>
    </w:p>
    <w:p w14:paraId="2A056C1D" w14:textId="4941C424" w:rsidR="009B2370" w:rsidRPr="009B2370" w:rsidRDefault="009B2370" w:rsidP="00F161B3">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9B2370" w:rsidRPr="009B2370" w:rsidSect="004C67F1">
      <w:headerReference w:type="even" r:id="rId16"/>
      <w:headerReference w:type="default" r:id="rId17"/>
      <w:footerReference w:type="even" r:id="rId18"/>
      <w:footerReference w:type="default" r:id="rId19"/>
      <w:footerReference w:type="first" r:id="rId20"/>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6C7B" w14:textId="77777777" w:rsidR="001A6F04" w:rsidRDefault="001A6F04" w:rsidP="002919E1">
      <w:r>
        <w:separator/>
      </w:r>
    </w:p>
    <w:p w14:paraId="090EADF6" w14:textId="77777777" w:rsidR="001A6F04" w:rsidRDefault="001A6F04" w:rsidP="002919E1"/>
    <w:p w14:paraId="133472D6" w14:textId="77777777" w:rsidR="001A6F04" w:rsidRDefault="001A6F04" w:rsidP="002919E1"/>
    <w:p w14:paraId="5E26459F" w14:textId="77777777" w:rsidR="001A6F04" w:rsidRDefault="001A6F04"/>
    <w:p w14:paraId="7D49C258" w14:textId="77777777" w:rsidR="001A6F04" w:rsidRDefault="001A6F04"/>
  </w:endnote>
  <w:endnote w:type="continuationSeparator" w:id="0">
    <w:p w14:paraId="67199452" w14:textId="77777777" w:rsidR="001A6F04" w:rsidRDefault="001A6F04" w:rsidP="002919E1">
      <w:r>
        <w:continuationSeparator/>
      </w:r>
    </w:p>
    <w:p w14:paraId="5B5BEEBF" w14:textId="77777777" w:rsidR="001A6F04" w:rsidRDefault="001A6F04" w:rsidP="002919E1"/>
    <w:p w14:paraId="70E2F0DF" w14:textId="77777777" w:rsidR="001A6F04" w:rsidRDefault="001A6F04" w:rsidP="002919E1"/>
    <w:p w14:paraId="4D3F92E6" w14:textId="77777777" w:rsidR="001A6F04" w:rsidRDefault="001A6F04"/>
    <w:p w14:paraId="1AF34D0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7C6" w14:textId="6152032F" w:rsidR="00D63A6F" w:rsidRPr="00223E85" w:rsidRDefault="00223E85" w:rsidP="00223E85">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P:\ARA\ITU-R\CONF-R\CMR23\100\111ADD25ADD04A.docx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530545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AF84" w14:textId="5C03DF73" w:rsidR="00C955C2" w:rsidRPr="00223E85" w:rsidRDefault="00223E85" w:rsidP="00223E85">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P:\ARA\ITU-R\CONF-R\CMR23\100\111ADD25ADD04A.docx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530545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C342" w14:textId="3FD684A5" w:rsidR="00B95D0B" w:rsidRPr="00B95D0B" w:rsidRDefault="00B95D0B" w:rsidP="00B95D0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23E85">
      <w:rPr>
        <w:noProof/>
        <w:sz w:val="16"/>
        <w:szCs w:val="16"/>
        <w:lang w:val="fr-FR"/>
      </w:rPr>
      <w:t>P:\ARA\ITU-R\CONF-R\CMR23\100\111ADD25ADD04A.docx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530545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525D" w14:textId="77777777" w:rsidR="001A6F04" w:rsidRDefault="001A6F04" w:rsidP="00C45930">
      <w:r>
        <w:separator/>
      </w:r>
    </w:p>
  </w:footnote>
  <w:footnote w:type="continuationSeparator" w:id="0">
    <w:p w14:paraId="4888686E" w14:textId="77777777" w:rsidR="001A6F04" w:rsidRDefault="001A6F04" w:rsidP="002919E1">
      <w:r>
        <w:continuationSeparator/>
      </w:r>
    </w:p>
    <w:p w14:paraId="341B146F" w14:textId="77777777" w:rsidR="001A6F04" w:rsidRDefault="001A6F04" w:rsidP="002919E1"/>
    <w:p w14:paraId="0DEBC350" w14:textId="77777777" w:rsidR="001A6F04" w:rsidRDefault="001A6F04" w:rsidP="002919E1"/>
    <w:p w14:paraId="28B09780" w14:textId="77777777" w:rsidR="001A6F04" w:rsidRDefault="001A6F04"/>
    <w:p w14:paraId="19B0CF43" w14:textId="77777777" w:rsidR="001A6F04" w:rsidRDefault="001A6F04"/>
  </w:footnote>
  <w:footnote w:id="1">
    <w:p w14:paraId="64877B0B" w14:textId="77777777" w:rsidR="00DB18A0" w:rsidRPr="00FE2CFF" w:rsidRDefault="00C955C2" w:rsidP="00886C00">
      <w:pPr>
        <w:pStyle w:val="FootnoteText"/>
        <w:tabs>
          <w:tab w:val="clear" w:pos="1134"/>
          <w:tab w:val="clear" w:pos="1871"/>
          <w:tab w:val="clear" w:pos="2268"/>
          <w:tab w:val="left" w:pos="419"/>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5A6" w14:textId="5D32B83C" w:rsidR="00D63A6F" w:rsidRPr="0072364F" w:rsidRDefault="005E5F16" w:rsidP="0072364F">
    <w:pPr>
      <w:bidi w:val="0"/>
      <w:spacing w:after="360" w:line="240" w:lineRule="auto"/>
      <w:jc w:val="center"/>
      <w:rPr>
        <w:sz w:val="20"/>
        <w:szCs w:val="20"/>
      </w:rPr>
    </w:pPr>
    <w:r w:rsidRPr="0072364F">
      <w:rPr>
        <w:rStyle w:val="PageNumber"/>
        <w:rFonts w:ascii="Dubai" w:hAnsi="Dubai" w:cs="Dubai"/>
      </w:rPr>
      <w:fldChar w:fldCharType="begin"/>
    </w:r>
    <w:r w:rsidRPr="0072364F">
      <w:rPr>
        <w:rStyle w:val="PageNumber"/>
        <w:rFonts w:ascii="Dubai" w:hAnsi="Dubai" w:cs="Dubai"/>
      </w:rPr>
      <w:instrText xml:space="preserve"> PAGE </w:instrText>
    </w:r>
    <w:r w:rsidRPr="0072364F">
      <w:rPr>
        <w:rStyle w:val="PageNumber"/>
        <w:rFonts w:ascii="Dubai" w:hAnsi="Dubai" w:cs="Dubai"/>
      </w:rPr>
      <w:fldChar w:fldCharType="separate"/>
    </w:r>
    <w:r w:rsidRPr="0072364F">
      <w:rPr>
        <w:rStyle w:val="PageNumber"/>
        <w:rFonts w:ascii="Dubai" w:hAnsi="Dubai" w:cs="Dubai"/>
      </w:rPr>
      <w:t>2</w:t>
    </w:r>
    <w:r w:rsidRPr="0072364F">
      <w:rPr>
        <w:rStyle w:val="PageNumber"/>
        <w:rFonts w:ascii="Dubai" w:hAnsi="Dubai" w:cs="Dubai"/>
      </w:rPr>
      <w:fldChar w:fldCharType="end"/>
    </w:r>
    <w:r w:rsidRPr="0072364F">
      <w:rPr>
        <w:rStyle w:val="PageNumber"/>
        <w:rFonts w:ascii="Dubai" w:hAnsi="Dubai" w:cs="Dubai"/>
        <w:rtl/>
      </w:rPr>
      <w:br/>
    </w:r>
    <w:r w:rsidR="004F5F29" w:rsidRPr="0072364F">
      <w:rPr>
        <w:rStyle w:val="PageNumber"/>
        <w:rFonts w:ascii="Dubai" w:hAnsi="Dubai" w:cs="Dubai"/>
      </w:rPr>
      <w:t>WRC</w:t>
    </w:r>
    <w:r w:rsidRPr="0072364F">
      <w:rPr>
        <w:rStyle w:val="PageNumber"/>
        <w:rFonts w:ascii="Dubai" w:hAnsi="Dubai" w:cs="Dubai"/>
      </w:rPr>
      <w:t>23/111(Add.</w:t>
    </w:r>
    <w:proofErr w:type="gramStart"/>
    <w:r w:rsidRPr="0072364F">
      <w:rPr>
        <w:rStyle w:val="PageNumber"/>
        <w:rFonts w:ascii="Dubai" w:hAnsi="Dubai" w:cs="Dubai"/>
      </w:rPr>
      <w:t>25)(</w:t>
    </w:r>
    <w:proofErr w:type="gramEnd"/>
    <w:r w:rsidRPr="0072364F">
      <w:rPr>
        <w:rStyle w:val="PageNumber"/>
        <w:rFonts w:ascii="Dubai" w:hAnsi="Dubai" w:cs="Dubai"/>
      </w:rPr>
      <w:t>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D0B" w14:textId="74254716" w:rsidR="00C955C2" w:rsidRDefault="00C955C2" w:rsidP="00C955C2">
    <w:pPr>
      <w:pStyle w:val="Header"/>
      <w:jc w:val="center"/>
    </w:pPr>
    <w:r w:rsidRPr="0072364F">
      <w:rPr>
        <w:rStyle w:val="PageNumber"/>
        <w:rFonts w:ascii="Dubai" w:hAnsi="Dubai" w:cs="Dubai"/>
      </w:rPr>
      <w:fldChar w:fldCharType="begin"/>
    </w:r>
    <w:r w:rsidRPr="0072364F">
      <w:rPr>
        <w:rStyle w:val="PageNumber"/>
        <w:rFonts w:ascii="Dubai" w:hAnsi="Dubai" w:cs="Dubai"/>
      </w:rPr>
      <w:instrText xml:space="preserve"> PAGE </w:instrText>
    </w:r>
    <w:r w:rsidRPr="0072364F">
      <w:rPr>
        <w:rStyle w:val="PageNumber"/>
        <w:rFonts w:ascii="Dubai" w:hAnsi="Dubai" w:cs="Dubai"/>
      </w:rPr>
      <w:fldChar w:fldCharType="separate"/>
    </w:r>
    <w:r>
      <w:rPr>
        <w:rStyle w:val="PageNumber"/>
      </w:rPr>
      <w:t>2</w:t>
    </w:r>
    <w:r w:rsidRPr="0072364F">
      <w:rPr>
        <w:rStyle w:val="PageNumber"/>
        <w:rFonts w:ascii="Dubai" w:hAnsi="Dubai" w:cs="Dubai"/>
      </w:rPr>
      <w:fldChar w:fldCharType="end"/>
    </w:r>
    <w:r w:rsidRPr="0072364F">
      <w:rPr>
        <w:rStyle w:val="PageNumber"/>
        <w:rFonts w:ascii="Dubai" w:hAnsi="Dubai" w:cs="Dubai"/>
        <w:rtl/>
      </w:rPr>
      <w:br/>
    </w:r>
    <w:r w:rsidRPr="0072364F">
      <w:rPr>
        <w:rStyle w:val="PageNumber"/>
        <w:rFonts w:ascii="Dubai" w:hAnsi="Dubai" w:cs="Dubai"/>
      </w:rPr>
      <w:t>WRC23/111(Add.</w:t>
    </w:r>
    <w:proofErr w:type="gramStart"/>
    <w:r w:rsidRPr="0072364F">
      <w:rPr>
        <w:rStyle w:val="PageNumber"/>
        <w:rFonts w:ascii="Dubai" w:hAnsi="Dubai" w:cs="Dubai"/>
      </w:rPr>
      <w:t>25)(</w:t>
    </w:r>
    <w:proofErr w:type="gramEnd"/>
    <w:r w:rsidRPr="0072364F">
      <w:rPr>
        <w:rStyle w:val="PageNumber"/>
        <w:rFonts w:ascii="Dubai" w:hAnsi="Dubai" w:cs="Dubai"/>
      </w:rPr>
      <w:t>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C8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B6C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C88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6A56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77674896">
    <w:abstractNumId w:val="9"/>
  </w:num>
  <w:num w:numId="2" w16cid:durableId="614944663">
    <w:abstractNumId w:val="13"/>
  </w:num>
  <w:num w:numId="3" w16cid:durableId="651838272">
    <w:abstractNumId w:val="11"/>
  </w:num>
  <w:num w:numId="4" w16cid:durableId="1152600920">
    <w:abstractNumId w:val="14"/>
  </w:num>
  <w:num w:numId="5" w16cid:durableId="1465654446">
    <w:abstractNumId w:val="7"/>
  </w:num>
  <w:num w:numId="6" w16cid:durableId="922841697">
    <w:abstractNumId w:val="6"/>
  </w:num>
  <w:num w:numId="7" w16cid:durableId="462381279">
    <w:abstractNumId w:val="5"/>
  </w:num>
  <w:num w:numId="8" w16cid:durableId="452599583">
    <w:abstractNumId w:val="4"/>
  </w:num>
  <w:num w:numId="9" w16cid:durableId="587889067">
    <w:abstractNumId w:val="8"/>
  </w:num>
  <w:num w:numId="10" w16cid:durableId="1923563308">
    <w:abstractNumId w:val="3"/>
  </w:num>
  <w:num w:numId="11" w16cid:durableId="2105295064">
    <w:abstractNumId w:val="2"/>
  </w:num>
  <w:num w:numId="12" w16cid:durableId="1483228240">
    <w:abstractNumId w:val="1"/>
  </w:num>
  <w:num w:numId="13" w16cid:durableId="433596403">
    <w:abstractNumId w:val="0"/>
  </w:num>
  <w:num w:numId="14" w16cid:durableId="698506240">
    <w:abstractNumId w:val="10"/>
  </w:num>
  <w:num w:numId="15" w16cid:durableId="1066220268">
    <w:abstractNumId w:val="15"/>
  </w:num>
  <w:num w:numId="16" w16cid:durableId="811749752">
    <w:abstractNumId w:val="12"/>
  </w:num>
  <w:num w:numId="17" w16cid:durableId="301470273">
    <w:abstractNumId w:val="6"/>
  </w:num>
  <w:num w:numId="18" w16cid:durableId="35203578">
    <w:abstractNumId w:val="5"/>
  </w:num>
  <w:num w:numId="19" w16cid:durableId="1825972799">
    <w:abstractNumId w:val="3"/>
  </w:num>
  <w:num w:numId="20" w16cid:durableId="1068919136">
    <w:abstractNumId w:val="2"/>
  </w:num>
  <w:num w:numId="21" w16cid:durableId="348918821">
    <w:abstractNumId w:val="6"/>
  </w:num>
  <w:num w:numId="22" w16cid:durableId="1183471927">
    <w:abstractNumId w:val="5"/>
  </w:num>
  <w:num w:numId="23" w16cid:durableId="1526678669">
    <w:abstractNumId w:val="3"/>
  </w:num>
  <w:num w:numId="24" w16cid:durableId="2077699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48B"/>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132"/>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27C3"/>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2EF9"/>
    <w:rsid w:val="00223C6C"/>
    <w:rsid w:val="00223E85"/>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399D"/>
    <w:rsid w:val="0039497E"/>
    <w:rsid w:val="003965FE"/>
    <w:rsid w:val="003A7216"/>
    <w:rsid w:val="003A74E3"/>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4684"/>
    <w:rsid w:val="004636E2"/>
    <w:rsid w:val="004637CD"/>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6DDA"/>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3B31"/>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14"/>
    <w:rsid w:val="0060446B"/>
    <w:rsid w:val="00605A1E"/>
    <w:rsid w:val="00610526"/>
    <w:rsid w:val="00612042"/>
    <w:rsid w:val="00613492"/>
    <w:rsid w:val="006208D2"/>
    <w:rsid w:val="006226F2"/>
    <w:rsid w:val="00623B39"/>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6F71E6"/>
    <w:rsid w:val="007057F3"/>
    <w:rsid w:val="00715285"/>
    <w:rsid w:val="007153A0"/>
    <w:rsid w:val="00716B1D"/>
    <w:rsid w:val="00717BA9"/>
    <w:rsid w:val="00717D5B"/>
    <w:rsid w:val="0072205D"/>
    <w:rsid w:val="0072364F"/>
    <w:rsid w:val="007248EC"/>
    <w:rsid w:val="00724DB1"/>
    <w:rsid w:val="00726098"/>
    <w:rsid w:val="00726744"/>
    <w:rsid w:val="00731150"/>
    <w:rsid w:val="00734E41"/>
    <w:rsid w:val="00736DCC"/>
    <w:rsid w:val="00741855"/>
    <w:rsid w:val="00742B73"/>
    <w:rsid w:val="00751251"/>
    <w:rsid w:val="00752552"/>
    <w:rsid w:val="0075482A"/>
    <w:rsid w:val="007579F6"/>
    <w:rsid w:val="00757D7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0B89"/>
    <w:rsid w:val="00873A6F"/>
    <w:rsid w:val="00880DBE"/>
    <w:rsid w:val="0088384B"/>
    <w:rsid w:val="00886C00"/>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0C2C"/>
    <w:rsid w:val="00951718"/>
    <w:rsid w:val="00951BEC"/>
    <w:rsid w:val="00954929"/>
    <w:rsid w:val="00955405"/>
    <w:rsid w:val="00956BBF"/>
    <w:rsid w:val="00960472"/>
    <w:rsid w:val="00960962"/>
    <w:rsid w:val="009633E4"/>
    <w:rsid w:val="00963EEA"/>
    <w:rsid w:val="00972CE0"/>
    <w:rsid w:val="00984018"/>
    <w:rsid w:val="009863EF"/>
    <w:rsid w:val="009906D6"/>
    <w:rsid w:val="00995CE3"/>
    <w:rsid w:val="009A3D30"/>
    <w:rsid w:val="009A5AC1"/>
    <w:rsid w:val="009B006F"/>
    <w:rsid w:val="009B2370"/>
    <w:rsid w:val="009C3927"/>
    <w:rsid w:val="009D15C6"/>
    <w:rsid w:val="009D6348"/>
    <w:rsid w:val="009E0A44"/>
    <w:rsid w:val="009E5007"/>
    <w:rsid w:val="009E613F"/>
    <w:rsid w:val="009F042B"/>
    <w:rsid w:val="009F2EC9"/>
    <w:rsid w:val="00A01929"/>
    <w:rsid w:val="00A03FD6"/>
    <w:rsid w:val="00A04CF4"/>
    <w:rsid w:val="00A116A8"/>
    <w:rsid w:val="00A13C5D"/>
    <w:rsid w:val="00A17E61"/>
    <w:rsid w:val="00A22AE9"/>
    <w:rsid w:val="00A26758"/>
    <w:rsid w:val="00A26D0E"/>
    <w:rsid w:val="00A27205"/>
    <w:rsid w:val="00A278E9"/>
    <w:rsid w:val="00A301E6"/>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3973"/>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5D0B"/>
    <w:rsid w:val="00B97131"/>
    <w:rsid w:val="00B9727C"/>
    <w:rsid w:val="00BA2033"/>
    <w:rsid w:val="00BA5669"/>
    <w:rsid w:val="00BA7D44"/>
    <w:rsid w:val="00BB6D82"/>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57261"/>
    <w:rsid w:val="00C6087E"/>
    <w:rsid w:val="00C61ACF"/>
    <w:rsid w:val="00C71759"/>
    <w:rsid w:val="00C71CEF"/>
    <w:rsid w:val="00C8199C"/>
    <w:rsid w:val="00C84112"/>
    <w:rsid w:val="00C841EB"/>
    <w:rsid w:val="00C8665F"/>
    <w:rsid w:val="00C86C20"/>
    <w:rsid w:val="00C917B5"/>
    <w:rsid w:val="00C94DFA"/>
    <w:rsid w:val="00C955C2"/>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035E"/>
    <w:rsid w:val="00D419CB"/>
    <w:rsid w:val="00D44350"/>
    <w:rsid w:val="00D44E3F"/>
    <w:rsid w:val="00D51132"/>
    <w:rsid w:val="00D51BB8"/>
    <w:rsid w:val="00D525F5"/>
    <w:rsid w:val="00D535D0"/>
    <w:rsid w:val="00D5660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18A0"/>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E74FD"/>
    <w:rsid w:val="00EF2B96"/>
    <w:rsid w:val="00EF38AF"/>
    <w:rsid w:val="00EF51F8"/>
    <w:rsid w:val="00F00143"/>
    <w:rsid w:val="00F02067"/>
    <w:rsid w:val="00F02B4D"/>
    <w:rsid w:val="00F046B4"/>
    <w:rsid w:val="00F04F8B"/>
    <w:rsid w:val="00F055F8"/>
    <w:rsid w:val="00F10CB4"/>
    <w:rsid w:val="00F11B3D"/>
    <w:rsid w:val="00F146AC"/>
    <w:rsid w:val="00F14763"/>
    <w:rsid w:val="00F14C41"/>
    <w:rsid w:val="00F161B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6C8A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qFormat/>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paragraph" w:customStyle="1" w:styleId="Refa">
    <w:name w:val="Ref_a"/>
    <w:basedOn w:val="Reasons"/>
    <w:rsid w:val="00B95D0B"/>
    <w:rPr>
      <w:b w:val="0"/>
      <w:bCs w:val="0"/>
    </w:rPr>
  </w:style>
  <w:style w:type="character" w:customStyle="1" w:styleId="ECCHLbold">
    <w:name w:val="ECC HL bold"/>
    <w:basedOn w:val="DefaultParagraphFont"/>
    <w:qFormat/>
    <w:rsid w:val="00A30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330c595-f1ff-40cd-bd00-78584e192330">DPM</DPM_x0020_Author>
    <DPM_x0020_File_x0020_name xmlns="9330c595-f1ff-40cd-bd00-78584e192330">R23-WRC23-C-0111!A25-A4!MSW-A</DPM_x0020_File_x0020_name>
    <DPM_x0020_Version xmlns="9330c595-f1ff-40cd-bd00-78584e192330">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30c595-f1ff-40cd-bd00-78584e192330" targetNamespace="http://schemas.microsoft.com/office/2006/metadata/properties" ma:root="true" ma:fieldsID="d41af5c836d734370eb92e7ee5f83852" ns2:_="" ns3:_="">
    <xsd:import namespace="996b2e75-67fd-4955-a3b0-5ab9934cb50b"/>
    <xsd:import namespace="9330c595-f1ff-40cd-bd00-78584e1923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30c595-f1ff-40cd-bd00-78584e1923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0c595-f1ff-40cd-bd00-78584e192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30c595-f1ff-40cd-bd00-78584e192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735</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R23-WRC23-C-0111!A25-A4!MSW-A</vt:lpstr>
    </vt:vector>
  </TitlesOfParts>
  <Manager>General Secretariat - Pool</Manager>
  <Company>International Telecommunication Union (ITU)</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R23-WRC23-C-0111!A25-A4!MSW-A</dc:title>
  <dc:creator>Documents Proposals Manager (DPM)</dc:creator>
  <cp:keywords>DPM_v2023.8.1.1_prod</cp:keywords>
  <cp:lastModifiedBy>Arabic-AAM</cp:lastModifiedBy>
  <cp:revision>21</cp:revision>
  <cp:lastPrinted>2020-08-11T14:28:00Z</cp:lastPrinted>
  <dcterms:created xsi:type="dcterms:W3CDTF">2023-11-17T13:59:00Z</dcterms:created>
  <dcterms:modified xsi:type="dcterms:W3CDTF">2023-11-17T15:34:00Z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