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D61DEF" w14:paraId="37E3C7B1" w14:textId="77777777" w:rsidTr="00C1305F">
        <w:trPr>
          <w:cantSplit/>
        </w:trPr>
        <w:tc>
          <w:tcPr>
            <w:tcW w:w="1418" w:type="dxa"/>
            <w:vAlign w:val="center"/>
          </w:tcPr>
          <w:p w14:paraId="7F4C3079" w14:textId="77777777" w:rsidR="00C1305F" w:rsidRPr="00D61DEF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61DEF">
              <w:rPr>
                <w:noProof/>
              </w:rPr>
              <w:drawing>
                <wp:inline distT="0" distB="0" distL="0" distR="0" wp14:anchorId="22175143" wp14:editId="7395421E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8EC9A8E" w14:textId="166BA943" w:rsidR="00C1305F" w:rsidRPr="00D61DEF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D61DEF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D61DEF">
              <w:rPr>
                <w:rFonts w:ascii="Verdana" w:hAnsi="Verdana"/>
                <w:b/>
                <w:bCs/>
                <w:sz w:val="20"/>
              </w:rPr>
              <w:br/>
            </w:r>
            <w:r w:rsidRPr="00D61DEF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E7084E" w:rsidRPr="00D61DEF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D61DEF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17F1F229" w14:textId="77777777" w:rsidR="00C1305F" w:rsidRPr="00D61DEF" w:rsidRDefault="00C1305F" w:rsidP="00C1305F">
            <w:pPr>
              <w:spacing w:before="0" w:line="240" w:lineRule="atLeast"/>
            </w:pPr>
            <w:bookmarkStart w:id="0" w:name="ditulogo"/>
            <w:bookmarkEnd w:id="0"/>
            <w:r w:rsidRPr="00D61DEF">
              <w:rPr>
                <w:noProof/>
              </w:rPr>
              <w:drawing>
                <wp:inline distT="0" distB="0" distL="0" distR="0" wp14:anchorId="40165D61" wp14:editId="35091C0B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D61DEF" w14:paraId="6FF17DD9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38709F01" w14:textId="77777777" w:rsidR="00BB1D82" w:rsidRPr="00D61DEF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5390AAB3" w14:textId="77777777" w:rsidR="00BB1D82" w:rsidRPr="00D61DEF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D61DEF" w14:paraId="01203E3C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1E75F275" w14:textId="77777777" w:rsidR="00BB1D82" w:rsidRPr="00D61DEF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2DE33976" w14:textId="77777777" w:rsidR="00BB1D82" w:rsidRPr="00D61DEF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D61DEF" w14:paraId="7B491504" w14:textId="77777777" w:rsidTr="00BB1D82">
        <w:trPr>
          <w:cantSplit/>
        </w:trPr>
        <w:tc>
          <w:tcPr>
            <w:tcW w:w="6911" w:type="dxa"/>
            <w:gridSpan w:val="2"/>
          </w:tcPr>
          <w:p w14:paraId="4D003985" w14:textId="77777777" w:rsidR="00BB1D82" w:rsidRPr="00D61DEF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61DEF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1CAB863A" w14:textId="77777777" w:rsidR="00BB1D82" w:rsidRPr="00D61DEF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D61DEF">
              <w:rPr>
                <w:rFonts w:ascii="Verdana" w:hAnsi="Verdana"/>
                <w:b/>
                <w:sz w:val="20"/>
              </w:rPr>
              <w:t>Addendum 1 au</w:t>
            </w:r>
            <w:r w:rsidRPr="00D61DEF">
              <w:rPr>
                <w:rFonts w:ascii="Verdana" w:hAnsi="Verdana"/>
                <w:b/>
                <w:sz w:val="20"/>
              </w:rPr>
              <w:br/>
              <w:t>Document 111(Add.25)</w:t>
            </w:r>
            <w:r w:rsidR="00BB1D82" w:rsidRPr="00D61DEF">
              <w:rPr>
                <w:rFonts w:ascii="Verdana" w:hAnsi="Verdana"/>
                <w:b/>
                <w:sz w:val="20"/>
              </w:rPr>
              <w:t>-</w:t>
            </w:r>
            <w:r w:rsidRPr="00D61DEF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1"/>
      <w:tr w:rsidR="00690C7B" w:rsidRPr="00D61DEF" w14:paraId="1B552EE6" w14:textId="77777777" w:rsidTr="00BB1D82">
        <w:trPr>
          <w:cantSplit/>
        </w:trPr>
        <w:tc>
          <w:tcPr>
            <w:tcW w:w="6911" w:type="dxa"/>
            <w:gridSpan w:val="2"/>
          </w:tcPr>
          <w:p w14:paraId="3DB83244" w14:textId="77777777" w:rsidR="00690C7B" w:rsidRPr="00D61DE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E6D1F43" w14:textId="77777777" w:rsidR="00690C7B" w:rsidRPr="00D61DE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61DEF">
              <w:rPr>
                <w:rFonts w:ascii="Verdana" w:hAnsi="Verdana"/>
                <w:b/>
                <w:sz w:val="20"/>
              </w:rPr>
              <w:t>30 octobre 2023</w:t>
            </w:r>
          </w:p>
        </w:tc>
      </w:tr>
      <w:tr w:rsidR="00690C7B" w:rsidRPr="00D61DEF" w14:paraId="2C113463" w14:textId="77777777" w:rsidTr="00BB1D82">
        <w:trPr>
          <w:cantSplit/>
        </w:trPr>
        <w:tc>
          <w:tcPr>
            <w:tcW w:w="6911" w:type="dxa"/>
            <w:gridSpan w:val="2"/>
          </w:tcPr>
          <w:p w14:paraId="2DF4F410" w14:textId="77777777" w:rsidR="00690C7B" w:rsidRPr="00D61DEF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2943E0BB" w14:textId="77777777" w:rsidR="00690C7B" w:rsidRPr="00D61DE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D61DEF">
              <w:rPr>
                <w:rFonts w:ascii="Verdana" w:hAnsi="Verdana"/>
                <w:b/>
                <w:sz w:val="20"/>
              </w:rPr>
              <w:t>Original: chinois</w:t>
            </w:r>
          </w:p>
        </w:tc>
      </w:tr>
      <w:tr w:rsidR="00690C7B" w:rsidRPr="00D61DEF" w14:paraId="245FEDF5" w14:textId="77777777" w:rsidTr="00C11970">
        <w:trPr>
          <w:cantSplit/>
        </w:trPr>
        <w:tc>
          <w:tcPr>
            <w:tcW w:w="10031" w:type="dxa"/>
            <w:gridSpan w:val="4"/>
          </w:tcPr>
          <w:p w14:paraId="2B137443" w14:textId="77777777" w:rsidR="00690C7B" w:rsidRPr="00D61DEF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D61DEF" w14:paraId="07522943" w14:textId="77777777" w:rsidTr="0050008E">
        <w:trPr>
          <w:cantSplit/>
        </w:trPr>
        <w:tc>
          <w:tcPr>
            <w:tcW w:w="10031" w:type="dxa"/>
            <w:gridSpan w:val="4"/>
          </w:tcPr>
          <w:p w14:paraId="0F388BA6" w14:textId="77777777" w:rsidR="00690C7B" w:rsidRPr="00D61DEF" w:rsidRDefault="00690C7B" w:rsidP="00690C7B">
            <w:pPr>
              <w:pStyle w:val="Source"/>
            </w:pPr>
            <w:bookmarkStart w:id="2" w:name="dsource" w:colFirst="0" w:colLast="0"/>
            <w:r w:rsidRPr="00D61DEF">
              <w:t>Chine (République populaire de)</w:t>
            </w:r>
          </w:p>
        </w:tc>
      </w:tr>
      <w:tr w:rsidR="00690C7B" w:rsidRPr="00D61DEF" w14:paraId="52DF0B1A" w14:textId="77777777" w:rsidTr="0050008E">
        <w:trPr>
          <w:cantSplit/>
        </w:trPr>
        <w:tc>
          <w:tcPr>
            <w:tcW w:w="10031" w:type="dxa"/>
            <w:gridSpan w:val="4"/>
          </w:tcPr>
          <w:p w14:paraId="7605AD87" w14:textId="685E95A9" w:rsidR="00690C7B" w:rsidRPr="00D61DEF" w:rsidRDefault="00E7084E" w:rsidP="00690C7B">
            <w:pPr>
              <w:pStyle w:val="Title1"/>
            </w:pPr>
            <w:bookmarkStart w:id="3" w:name="dtitle1" w:colFirst="0" w:colLast="0"/>
            <w:bookmarkEnd w:id="2"/>
            <w:r w:rsidRPr="00D61DEF">
              <w:t>PROPOSITIONS POUR LES TRAVAUX DE LA CONFÉRENCE</w:t>
            </w:r>
          </w:p>
        </w:tc>
      </w:tr>
      <w:tr w:rsidR="00690C7B" w:rsidRPr="00D61DEF" w14:paraId="61635E8C" w14:textId="77777777" w:rsidTr="0050008E">
        <w:trPr>
          <w:cantSplit/>
        </w:trPr>
        <w:tc>
          <w:tcPr>
            <w:tcW w:w="10031" w:type="dxa"/>
            <w:gridSpan w:val="4"/>
          </w:tcPr>
          <w:p w14:paraId="51B9D669" w14:textId="77777777" w:rsidR="00690C7B" w:rsidRPr="00D61DEF" w:rsidRDefault="00690C7B" w:rsidP="00690C7B">
            <w:pPr>
              <w:pStyle w:val="Title2"/>
            </w:pPr>
            <w:bookmarkStart w:id="4" w:name="dtitle2" w:colFirst="0" w:colLast="0"/>
            <w:bookmarkEnd w:id="3"/>
          </w:p>
        </w:tc>
      </w:tr>
      <w:tr w:rsidR="00690C7B" w:rsidRPr="00D61DEF" w14:paraId="739EDC50" w14:textId="77777777" w:rsidTr="0050008E">
        <w:trPr>
          <w:cantSplit/>
        </w:trPr>
        <w:tc>
          <w:tcPr>
            <w:tcW w:w="10031" w:type="dxa"/>
            <w:gridSpan w:val="4"/>
          </w:tcPr>
          <w:p w14:paraId="3C2F09FC" w14:textId="5830619E" w:rsidR="00690C7B" w:rsidRPr="00D61DEF" w:rsidRDefault="00690C7B" w:rsidP="00690C7B">
            <w:pPr>
              <w:pStyle w:val="Agendaitem"/>
              <w:rPr>
                <w:lang w:val="fr-FR"/>
              </w:rPr>
            </w:pPr>
            <w:bookmarkStart w:id="5" w:name="dtitle3" w:colFirst="0" w:colLast="0"/>
            <w:bookmarkEnd w:id="4"/>
            <w:r w:rsidRPr="00D61DEF">
              <w:rPr>
                <w:lang w:val="fr-FR"/>
              </w:rPr>
              <w:t>Point 9.2 de l</w:t>
            </w:r>
            <w:r w:rsidR="004E286C">
              <w:rPr>
                <w:lang w:val="fr-FR"/>
              </w:rPr>
              <w:t>'</w:t>
            </w:r>
            <w:r w:rsidRPr="00D61DEF">
              <w:rPr>
                <w:lang w:val="fr-FR"/>
              </w:rPr>
              <w:t>ordre du jour</w:t>
            </w:r>
          </w:p>
        </w:tc>
      </w:tr>
    </w:tbl>
    <w:bookmarkEnd w:id="5"/>
    <w:p w14:paraId="3076EC1D" w14:textId="62803359" w:rsidR="004D0EC7" w:rsidRPr="00D61DEF" w:rsidRDefault="005D07EC" w:rsidP="003D082A">
      <w:r w:rsidRPr="00D61DEF">
        <w:t>9</w:t>
      </w:r>
      <w:r w:rsidRPr="00D61DEF">
        <w:tab/>
        <w:t>examiner et approuver le rapport du Directeur du Bureau des radiocommunications, conformément à l</w:t>
      </w:r>
      <w:r w:rsidR="004E286C">
        <w:t>'</w:t>
      </w:r>
      <w:r w:rsidRPr="00D61DEF">
        <w:t>article 7 de la Convention de l</w:t>
      </w:r>
      <w:r w:rsidR="004E286C">
        <w:t>'</w:t>
      </w:r>
      <w:r w:rsidRPr="00D61DEF">
        <w:t>UIT:</w:t>
      </w:r>
    </w:p>
    <w:p w14:paraId="72E95B31" w14:textId="613696F2" w:rsidR="00D54E8B" w:rsidRPr="00D61DEF" w:rsidRDefault="005D07EC" w:rsidP="00485985">
      <w:r w:rsidRPr="00D61DEF">
        <w:t>9.2</w:t>
      </w:r>
      <w:r w:rsidRPr="00D61DEF">
        <w:tab/>
        <w:t>sur les difficultés rencontrées ou les incohérences constatées dans l</w:t>
      </w:r>
      <w:r w:rsidR="004E286C">
        <w:t>'</w:t>
      </w:r>
      <w:r w:rsidRPr="00D61DEF">
        <w:t>application du Règlement des radiocommunications</w:t>
      </w:r>
      <w:r w:rsidRPr="00D61DEF">
        <w:rPr>
          <w:rStyle w:val="FootnoteReference"/>
        </w:rPr>
        <w:footnoteReference w:customMarkFollows="1" w:id="1"/>
        <w:t>1</w:t>
      </w:r>
      <w:r w:rsidRPr="00D61DEF">
        <w:t>; et</w:t>
      </w:r>
    </w:p>
    <w:p w14:paraId="699B7EFA" w14:textId="42E0CBED" w:rsidR="003A583E" w:rsidRPr="00D61DEF" w:rsidRDefault="00D54E8B" w:rsidP="00E7084E">
      <w:pPr>
        <w:jc w:val="center"/>
        <w:rPr>
          <w:b/>
          <w:bCs/>
          <w:sz w:val="28"/>
          <w:szCs w:val="28"/>
        </w:rPr>
      </w:pPr>
      <w:r w:rsidRPr="00D61DEF">
        <w:rPr>
          <w:b/>
          <w:bCs/>
          <w:sz w:val="28"/>
          <w:szCs w:val="28"/>
        </w:rPr>
        <w:t>Élaboration du Règlement des radiocommunications (édition de 2020)</w:t>
      </w:r>
    </w:p>
    <w:p w14:paraId="1994634C" w14:textId="65633E92" w:rsidR="00E7084E" w:rsidRPr="00D61DEF" w:rsidRDefault="00D54E8B" w:rsidP="00E7084E">
      <w:pPr>
        <w:jc w:val="center"/>
        <w:rPr>
          <w:b/>
          <w:bCs/>
        </w:rPr>
      </w:pPr>
      <w:r w:rsidRPr="00D61DEF">
        <w:rPr>
          <w:b/>
          <w:bCs/>
        </w:rPr>
        <w:t>Chapitre 2.2 – Erreurs, incohérences et dispositions obsolètes</w:t>
      </w:r>
    </w:p>
    <w:p w14:paraId="51468922" w14:textId="3926305D" w:rsidR="00E7084E" w:rsidRPr="00D61DEF" w:rsidRDefault="00E7084E" w:rsidP="00E7084E">
      <w:pPr>
        <w:pStyle w:val="Headingb"/>
      </w:pPr>
      <w:r w:rsidRPr="00D61DEF">
        <w:t>Introduction</w:t>
      </w:r>
    </w:p>
    <w:p w14:paraId="091A3F66" w14:textId="027A7A9F" w:rsidR="00E7084E" w:rsidRPr="00D61DEF" w:rsidRDefault="00D54E8B" w:rsidP="00E7084E">
      <w:r w:rsidRPr="00D61DEF">
        <w:t xml:space="preserve">Les erreurs, incohérences et dispositions obsolètes </w:t>
      </w:r>
      <w:r w:rsidR="002822D2" w:rsidRPr="00D61DEF">
        <w:t>du</w:t>
      </w:r>
      <w:r w:rsidRPr="00D61DEF">
        <w:t xml:space="preserve"> Règlement des radiocommunications (édition </w:t>
      </w:r>
      <w:r w:rsidR="00FA64D6" w:rsidRPr="00D61DEF">
        <w:t xml:space="preserve">de </w:t>
      </w:r>
      <w:r w:rsidRPr="00D61DEF">
        <w:t>2020) étant rassemblées et examinées dans la Partie 2 du rapport du Directeur du Bureau des radiocommunications (</w:t>
      </w:r>
      <w:hyperlink r:id="rId13" w:history="1">
        <w:r w:rsidRPr="00D61DEF">
          <w:rPr>
            <w:rStyle w:val="Hyperlink"/>
          </w:rPr>
          <w:t>Doc</w:t>
        </w:r>
        <w:r w:rsidR="002822D2" w:rsidRPr="00D61DEF">
          <w:rPr>
            <w:rStyle w:val="Hyperlink"/>
          </w:rPr>
          <w:t>ument</w:t>
        </w:r>
        <w:r w:rsidRPr="00D61DEF">
          <w:rPr>
            <w:rStyle w:val="Hyperlink"/>
          </w:rPr>
          <w:t xml:space="preserve"> 4 Add.2</w:t>
        </w:r>
      </w:hyperlink>
      <w:r w:rsidRPr="00D61DEF">
        <w:t xml:space="preserve">), les </w:t>
      </w:r>
      <w:r w:rsidR="00FA64D6" w:rsidRPr="00D61DEF">
        <w:t>vues</w:t>
      </w:r>
      <w:r w:rsidRPr="00D61DEF">
        <w:t xml:space="preserve"> et propositions de la Chine concernant un certain nombre de points sont résumé</w:t>
      </w:r>
      <w:r w:rsidR="00FA64D6" w:rsidRPr="00D61DEF">
        <w:t>e</w:t>
      </w:r>
      <w:r w:rsidRPr="00D61DEF">
        <w:t>s dans le présent document, en particulier les incohérences décrites au chapitre 2.2.2 (Incohérences et dispositions manquant de clarté).</w:t>
      </w:r>
    </w:p>
    <w:p w14:paraId="2184C515" w14:textId="60ECD401" w:rsidR="00E7084E" w:rsidRPr="00D61DEF" w:rsidRDefault="00E7084E" w:rsidP="00E7084E">
      <w:pPr>
        <w:pStyle w:val="Headingb"/>
      </w:pPr>
      <w:r w:rsidRPr="00D61DEF">
        <w:t>Propositions</w:t>
      </w:r>
    </w:p>
    <w:p w14:paraId="788E1821" w14:textId="4E65BD4F" w:rsidR="00E7084E" w:rsidRPr="00D61DEF" w:rsidRDefault="00D54E8B" w:rsidP="00E7084E">
      <w:r w:rsidRPr="00D61DEF">
        <w:t>L</w:t>
      </w:r>
      <w:r w:rsidR="004E286C">
        <w:t>'</w:t>
      </w:r>
      <w:r w:rsidRPr="00D61DEF">
        <w:t xml:space="preserve">Administration de la Chine </w:t>
      </w:r>
      <w:r w:rsidR="00FA64D6" w:rsidRPr="00D61DEF">
        <w:t>a l</w:t>
      </w:r>
      <w:r w:rsidR="004E286C">
        <w:t>'</w:t>
      </w:r>
      <w:r w:rsidR="00FA64D6" w:rsidRPr="00D61DEF">
        <w:t>honneur de présenter</w:t>
      </w:r>
      <w:r w:rsidRPr="00D61DEF">
        <w:t xml:space="preserve"> ses vue</w:t>
      </w:r>
      <w:r w:rsidR="00FA64D6" w:rsidRPr="00D61DEF">
        <w:t>s</w:t>
      </w:r>
      <w:r w:rsidRPr="00D61DEF">
        <w:t xml:space="preserve"> et ses propositions concernant les numéros </w:t>
      </w:r>
      <w:r w:rsidRPr="00D61DEF">
        <w:rPr>
          <w:b/>
          <w:bCs/>
        </w:rPr>
        <w:t>5.369</w:t>
      </w:r>
      <w:r w:rsidRPr="00D61DEF">
        <w:t xml:space="preserve">, </w:t>
      </w:r>
      <w:r w:rsidRPr="00D61DEF">
        <w:rPr>
          <w:b/>
          <w:bCs/>
        </w:rPr>
        <w:t>5.429</w:t>
      </w:r>
      <w:r w:rsidRPr="00D61DEF">
        <w:t xml:space="preserve"> et </w:t>
      </w:r>
      <w:r w:rsidRPr="00D61DEF">
        <w:rPr>
          <w:b/>
          <w:bCs/>
        </w:rPr>
        <w:t>5.429F</w:t>
      </w:r>
      <w:r w:rsidR="00FA64D6" w:rsidRPr="00D61DEF">
        <w:t xml:space="preserve">, afin </w:t>
      </w:r>
      <w:r w:rsidRPr="00D61DEF">
        <w:t>qu</w:t>
      </w:r>
      <w:r w:rsidR="004E286C">
        <w:t>'</w:t>
      </w:r>
      <w:r w:rsidRPr="00D61DEF">
        <w:t>ils soient examinés plus avant au cours de la Conférence.</w:t>
      </w:r>
    </w:p>
    <w:p w14:paraId="0D633B87" w14:textId="77777777" w:rsidR="0015203F" w:rsidRPr="00D61DEF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61DEF">
        <w:br w:type="page"/>
      </w:r>
    </w:p>
    <w:p w14:paraId="24C69EC6" w14:textId="77777777" w:rsidR="00FD506B" w:rsidRPr="00D61DEF" w:rsidRDefault="005D07EC">
      <w:pPr>
        <w:pStyle w:val="Proposal"/>
      </w:pPr>
      <w:r w:rsidRPr="00D61DEF">
        <w:lastRenderedPageBreak/>
        <w:tab/>
        <w:t>CHN/111A25A1/1</w:t>
      </w:r>
    </w:p>
    <w:p w14:paraId="2B15B738" w14:textId="4064B916" w:rsidR="00FD506B" w:rsidRPr="00D61DEF" w:rsidRDefault="00E7084E" w:rsidP="00E7084E">
      <w:pPr>
        <w:pStyle w:val="Heading3"/>
      </w:pPr>
      <w:r w:rsidRPr="00D61DEF">
        <w:t>2.2.2</w:t>
      </w:r>
      <w:r w:rsidRPr="00D61DEF">
        <w:tab/>
      </w:r>
      <w:r w:rsidR="00D54E8B" w:rsidRPr="00D61DEF">
        <w:t>Incohérences et dispositions manquant de clarté</w:t>
      </w:r>
    </w:p>
    <w:p w14:paraId="42E45F32" w14:textId="5116CA26" w:rsidR="00E7084E" w:rsidRPr="00D61DEF" w:rsidRDefault="00D54E8B" w:rsidP="00E7084E">
      <w:pPr>
        <w:pStyle w:val="TableNo"/>
      </w:pPr>
      <w:r w:rsidRPr="00D61DEF">
        <w:t>tableau 2</w:t>
      </w:r>
    </w:p>
    <w:p w14:paraId="4BC601D5" w14:textId="75C8BE83" w:rsidR="00E7084E" w:rsidRPr="00D61DEF" w:rsidRDefault="00D54E8B" w:rsidP="00E7084E">
      <w:pPr>
        <w:pStyle w:val="Tabletitle"/>
      </w:pPr>
      <w:r w:rsidRPr="00D61DEF">
        <w:t>Incohérences relevées dans le RR et dispositions manquant de clarté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977"/>
        <w:gridCol w:w="1318"/>
        <w:gridCol w:w="3602"/>
        <w:gridCol w:w="3782"/>
      </w:tblGrid>
      <w:tr w:rsidR="00D54E8B" w:rsidRPr="00D61DEF" w14:paraId="231BD526" w14:textId="77777777" w:rsidTr="001C03F5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54F1CE" w14:textId="5EEAEFF2" w:rsidR="00D54E8B" w:rsidRPr="00ED61E6" w:rsidRDefault="00D54E8B" w:rsidP="00ED61E6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#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D5A6F" w14:textId="7603EFC7" w:rsidR="00D54E8B" w:rsidRPr="00ED61E6" w:rsidRDefault="00D54E8B" w:rsidP="00ED61E6">
            <w:pPr>
              <w:pStyle w:val="Tablehead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Langue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0BB3" w14:textId="10128F78" w:rsidR="00D54E8B" w:rsidRPr="00ED61E6" w:rsidRDefault="00D54E8B" w:rsidP="00ED61E6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Page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8E6B" w14:textId="4B394E14" w:rsidR="00D54E8B" w:rsidRPr="00ED61E6" w:rsidRDefault="00D54E8B" w:rsidP="00ED61E6">
            <w:pPr>
              <w:pStyle w:val="Tablehead"/>
              <w:rPr>
                <w:sz w:val="18"/>
                <w:szCs w:val="18"/>
              </w:rPr>
            </w:pPr>
            <w:r w:rsidRPr="00ED61E6">
              <w:rPr>
                <w:sz w:val="18"/>
                <w:szCs w:val="18"/>
              </w:rPr>
              <w:t>Nature de l</w:t>
            </w:r>
            <w:r w:rsidR="004E286C">
              <w:rPr>
                <w:sz w:val="18"/>
                <w:szCs w:val="18"/>
              </w:rPr>
              <w:t>'</w:t>
            </w:r>
            <w:r w:rsidRPr="00ED61E6">
              <w:rPr>
                <w:sz w:val="18"/>
                <w:szCs w:val="18"/>
              </w:rPr>
              <w:t>incohérence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825" w14:textId="088D849C" w:rsidR="00D54E8B" w:rsidRPr="00ED61E6" w:rsidRDefault="00D54E8B" w:rsidP="00ED61E6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</w:rPr>
              <w:t>Mesure corrective possible</w:t>
            </w:r>
          </w:p>
        </w:tc>
      </w:tr>
      <w:tr w:rsidR="00D54E8B" w:rsidRPr="00D61DEF" w14:paraId="38D804E7" w14:textId="77777777" w:rsidTr="00E7084E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CE73F" w14:textId="77777777" w:rsidR="00D54E8B" w:rsidRPr="00ED61E6" w:rsidRDefault="00D54E8B" w:rsidP="00ED61E6">
            <w:pPr>
              <w:pStyle w:val="Tablehead"/>
              <w:rPr>
                <w:sz w:val="18"/>
                <w:szCs w:val="18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050ED" w14:textId="77777777" w:rsidR="00D54E8B" w:rsidRPr="00ED61E6" w:rsidRDefault="00D54E8B" w:rsidP="00ED61E6">
            <w:pPr>
              <w:pStyle w:val="Tablehead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373" w14:textId="3824FD5C" w:rsidR="00D54E8B" w:rsidRPr="00ED61E6" w:rsidRDefault="00D54E8B" w:rsidP="00ED61E6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Volume, page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F3F7" w14:textId="7E187E19" w:rsidR="00D54E8B" w:rsidRPr="00ED61E6" w:rsidRDefault="00D54E8B" w:rsidP="00ED61E6">
            <w:pPr>
              <w:pStyle w:val="Tablehead"/>
              <w:rPr>
                <w:sz w:val="18"/>
                <w:szCs w:val="18"/>
              </w:rPr>
            </w:pPr>
            <w:r w:rsidRPr="00ED61E6">
              <w:rPr>
                <w:sz w:val="18"/>
                <w:szCs w:val="18"/>
                <w:lang w:eastAsia="zh-CN"/>
              </w:rPr>
              <w:t>ARTICLES/APPENDICE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259F" w14:textId="0CAA7075" w:rsidR="00D54E8B" w:rsidRPr="00ED61E6" w:rsidRDefault="00D54E8B" w:rsidP="00ED61E6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ARTICLES/APPENDICE</w:t>
            </w:r>
          </w:p>
        </w:tc>
      </w:tr>
      <w:tr w:rsidR="00E7084E" w:rsidRPr="00D61DEF" w14:paraId="06FFB04F" w14:textId="77777777" w:rsidTr="00E7084E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0D7FA" w14:textId="77777777" w:rsidR="00E7084E" w:rsidRPr="00ED61E6" w:rsidRDefault="00E7084E" w:rsidP="00ED61E6">
            <w:pPr>
              <w:pStyle w:val="Tablehead"/>
              <w:rPr>
                <w:sz w:val="18"/>
                <w:szCs w:val="18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A654B" w14:textId="77777777" w:rsidR="00E7084E" w:rsidRPr="00ED61E6" w:rsidRDefault="00E7084E" w:rsidP="00ED61E6">
            <w:pPr>
              <w:pStyle w:val="Tablehead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AF0F" w14:textId="51BD1CFE" w:rsidR="00E7084E" w:rsidRPr="00ED61E6" w:rsidRDefault="00476CA6" w:rsidP="00ED61E6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Volume 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B0DC" w14:textId="77777777" w:rsidR="00E7084E" w:rsidRPr="00ED61E6" w:rsidRDefault="00E7084E" w:rsidP="00ED61E6">
            <w:pPr>
              <w:pStyle w:val="Tablehead"/>
              <w:rPr>
                <w:sz w:val="18"/>
                <w:szCs w:val="18"/>
              </w:rPr>
            </w:pPr>
            <w:r w:rsidRPr="00ED61E6">
              <w:rPr>
                <w:sz w:val="18"/>
                <w:szCs w:val="18"/>
                <w:lang w:eastAsia="zh-CN"/>
              </w:rPr>
              <w:t>Article</w:t>
            </w:r>
            <w:r w:rsidRPr="00ED61E6">
              <w:rPr>
                <w:sz w:val="18"/>
                <w:szCs w:val="18"/>
              </w:rPr>
              <w:t xml:space="preserve"> 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BCAB" w14:textId="77777777" w:rsidR="00E7084E" w:rsidRPr="00ED61E6" w:rsidRDefault="00E7084E" w:rsidP="00ED61E6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Article 5</w:t>
            </w:r>
          </w:p>
        </w:tc>
      </w:tr>
      <w:tr w:rsidR="00E7084E" w:rsidRPr="00D61DEF" w14:paraId="1A0650A2" w14:textId="77777777" w:rsidTr="00E7084E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1B856B" w14:textId="77777777" w:rsidR="00E7084E" w:rsidRPr="00ED61E6" w:rsidRDefault="00E7084E" w:rsidP="00ED61E6">
            <w:pPr>
              <w:pStyle w:val="Tabletext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25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DA0E9F" w14:textId="7F3BC139" w:rsidR="00E7084E" w:rsidRPr="00ED61E6" w:rsidRDefault="00476CA6" w:rsidP="00ED61E6">
            <w:pPr>
              <w:pStyle w:val="Tabletext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ED61E6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Toutes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BECE" w14:textId="77777777" w:rsidR="00E7084E" w:rsidRPr="00ED61E6" w:rsidRDefault="00E7084E" w:rsidP="00ED61E6">
            <w:pPr>
              <w:pStyle w:val="Tabletext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106 (RR5-72)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C4E6" w14:textId="6395E6CB" w:rsidR="00E7084E" w:rsidRPr="00ED61E6" w:rsidRDefault="00E7084E" w:rsidP="00ED61E6">
            <w:pPr>
              <w:pStyle w:val="Tabletext"/>
              <w:rPr>
                <w:rFonts w:asciiTheme="majorBidi" w:hAnsiTheme="majorBidi" w:cstheme="majorBidi"/>
                <w:sz w:val="18"/>
                <w:szCs w:val="18"/>
                <w:highlight w:val="yellow"/>
              </w:rPr>
            </w:pPr>
            <w:r w:rsidRPr="00ED61E6">
              <w:rPr>
                <w:sz w:val="18"/>
                <w:szCs w:val="18"/>
              </w:rPr>
              <w:t xml:space="preserve">Le renvoi </w:t>
            </w:r>
            <w:r w:rsidRPr="00ED61E6">
              <w:rPr>
                <w:b/>
                <w:bCs/>
                <w:sz w:val="18"/>
                <w:szCs w:val="18"/>
              </w:rPr>
              <w:t>5.369</w:t>
            </w:r>
            <w:r w:rsidRPr="00ED61E6">
              <w:rPr>
                <w:sz w:val="18"/>
                <w:szCs w:val="18"/>
              </w:rPr>
              <w:t xml:space="preserve"> apparaît sur les dernières lignes du Tableau pour les bandes </w:t>
            </w:r>
            <w:r w:rsidR="00FA64D6" w:rsidRPr="00ED61E6">
              <w:rPr>
                <w:sz w:val="18"/>
                <w:szCs w:val="18"/>
              </w:rPr>
              <w:t xml:space="preserve">de fréquences </w:t>
            </w:r>
            <w:r w:rsidRPr="00ED61E6">
              <w:rPr>
                <w:sz w:val="18"/>
                <w:szCs w:val="18"/>
              </w:rPr>
              <w:t>1 610</w:t>
            </w:r>
            <w:r w:rsidRPr="00ED61E6">
              <w:rPr>
                <w:sz w:val="18"/>
                <w:szCs w:val="18"/>
              </w:rPr>
              <w:noBreakHyphen/>
              <w:t>1 610,6 MHz; 1</w:t>
            </w:r>
            <w:r w:rsidR="00D61DEF" w:rsidRPr="00ED61E6">
              <w:rPr>
                <w:sz w:val="18"/>
                <w:szCs w:val="18"/>
              </w:rPr>
              <w:t> </w:t>
            </w:r>
            <w:r w:rsidRPr="00ED61E6">
              <w:rPr>
                <w:sz w:val="18"/>
                <w:szCs w:val="18"/>
              </w:rPr>
              <w:t>610,6</w:t>
            </w:r>
            <w:r w:rsidR="00D61DEF" w:rsidRPr="00ED61E6">
              <w:rPr>
                <w:sz w:val="18"/>
                <w:szCs w:val="18"/>
              </w:rPr>
              <w:noBreakHyphen/>
            </w:r>
            <w:r w:rsidRPr="00ED61E6">
              <w:rPr>
                <w:sz w:val="18"/>
                <w:szCs w:val="18"/>
              </w:rPr>
              <w:t>1</w:t>
            </w:r>
            <w:r w:rsidR="00D61DEF" w:rsidRPr="00ED61E6">
              <w:rPr>
                <w:sz w:val="18"/>
                <w:szCs w:val="18"/>
              </w:rPr>
              <w:t> </w:t>
            </w:r>
            <w:r w:rsidRPr="00ED61E6">
              <w:rPr>
                <w:sz w:val="18"/>
                <w:szCs w:val="18"/>
              </w:rPr>
              <w:t>613,8 MHz; 1 613,8-1 621,35 MHz et 1 621,35</w:t>
            </w:r>
            <w:r w:rsidRPr="00ED61E6">
              <w:rPr>
                <w:sz w:val="18"/>
                <w:szCs w:val="18"/>
              </w:rPr>
              <w:noBreakHyphen/>
              <w:t>1 626,5 MHz en Région 3, ce qui signifie qu</w:t>
            </w:r>
            <w:r w:rsidR="004E286C">
              <w:rPr>
                <w:sz w:val="18"/>
                <w:szCs w:val="18"/>
              </w:rPr>
              <w:t>'</w:t>
            </w:r>
            <w:r w:rsidRPr="00ED61E6">
              <w:rPr>
                <w:sz w:val="18"/>
                <w:szCs w:val="18"/>
              </w:rPr>
              <w:t>il s</w:t>
            </w:r>
            <w:r w:rsidR="004E286C">
              <w:rPr>
                <w:sz w:val="18"/>
                <w:szCs w:val="18"/>
              </w:rPr>
              <w:t>'</w:t>
            </w:r>
            <w:r w:rsidRPr="00ED61E6">
              <w:rPr>
                <w:sz w:val="18"/>
                <w:szCs w:val="18"/>
              </w:rPr>
              <w:t>applique à plus d</w:t>
            </w:r>
            <w:r w:rsidR="004E286C">
              <w:rPr>
                <w:sz w:val="18"/>
                <w:szCs w:val="18"/>
              </w:rPr>
              <w:t>'</w:t>
            </w:r>
            <w:r w:rsidRPr="00ED61E6">
              <w:rPr>
                <w:sz w:val="18"/>
                <w:szCs w:val="18"/>
              </w:rPr>
              <w:t>un service dans ces parties du Tableau. Or, il ne s</w:t>
            </w:r>
            <w:r w:rsidR="004E286C">
              <w:rPr>
                <w:sz w:val="18"/>
                <w:szCs w:val="18"/>
              </w:rPr>
              <w:t>'</w:t>
            </w:r>
            <w:r w:rsidRPr="00ED61E6">
              <w:rPr>
                <w:sz w:val="18"/>
                <w:szCs w:val="18"/>
              </w:rPr>
              <w:t>applique qu</w:t>
            </w:r>
            <w:r w:rsidR="004E286C">
              <w:rPr>
                <w:sz w:val="18"/>
                <w:szCs w:val="18"/>
              </w:rPr>
              <w:t>'</w:t>
            </w:r>
            <w:r w:rsidRPr="00ED61E6">
              <w:rPr>
                <w:sz w:val="18"/>
                <w:szCs w:val="18"/>
              </w:rPr>
              <w:t>au service de radiorepérage par satellite (Terre vers espace).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59C8" w14:textId="5D08E29C" w:rsidR="00E7084E" w:rsidRPr="00ED61E6" w:rsidRDefault="00E7084E" w:rsidP="00ED61E6">
            <w:pPr>
              <w:pStyle w:val="Tabletext"/>
              <w:rPr>
                <w:sz w:val="18"/>
                <w:szCs w:val="18"/>
                <w:highlight w:val="yellow"/>
              </w:rPr>
            </w:pPr>
            <w:r w:rsidRPr="00ED61E6">
              <w:rPr>
                <w:sz w:val="18"/>
                <w:szCs w:val="18"/>
                <w:lang w:eastAsia="zh-CN"/>
              </w:rPr>
              <w:t xml:space="preserve">Déplacer la référence au numéro </w:t>
            </w:r>
            <w:r w:rsidRPr="00ED61E6">
              <w:rPr>
                <w:b/>
                <w:bCs/>
                <w:sz w:val="18"/>
                <w:szCs w:val="18"/>
                <w:lang w:eastAsia="zh-CN"/>
              </w:rPr>
              <w:t>5.</w:t>
            </w:r>
            <w:r w:rsidRPr="00ED61E6">
              <w:rPr>
                <w:b/>
                <w:bCs/>
                <w:sz w:val="18"/>
                <w:szCs w:val="18"/>
              </w:rPr>
              <w:t>369</w:t>
            </w:r>
            <w:r w:rsidRPr="00ED61E6">
              <w:rPr>
                <w:sz w:val="18"/>
                <w:szCs w:val="18"/>
                <w:lang w:eastAsia="zh-CN"/>
              </w:rPr>
              <w:t xml:space="preserve"> dans le Tableau pour </w:t>
            </w:r>
            <w:r w:rsidRPr="00ED61E6">
              <w:rPr>
                <w:sz w:val="18"/>
                <w:szCs w:val="18"/>
              </w:rPr>
              <w:t xml:space="preserve">les bandes </w:t>
            </w:r>
            <w:r w:rsidR="00FA64D6" w:rsidRPr="00ED61E6">
              <w:rPr>
                <w:sz w:val="18"/>
                <w:szCs w:val="18"/>
              </w:rPr>
              <w:t xml:space="preserve">de fréquences </w:t>
            </w:r>
            <w:r w:rsidRPr="00ED61E6">
              <w:rPr>
                <w:sz w:val="18"/>
                <w:szCs w:val="18"/>
              </w:rPr>
              <w:t>1</w:t>
            </w:r>
            <w:r w:rsidR="00D61DEF" w:rsidRPr="00ED61E6">
              <w:rPr>
                <w:sz w:val="18"/>
                <w:szCs w:val="18"/>
              </w:rPr>
              <w:t> </w:t>
            </w:r>
            <w:r w:rsidRPr="00ED61E6">
              <w:rPr>
                <w:sz w:val="18"/>
                <w:szCs w:val="18"/>
              </w:rPr>
              <w:t>610</w:t>
            </w:r>
            <w:r w:rsidR="00D61DEF" w:rsidRPr="00ED61E6">
              <w:rPr>
                <w:sz w:val="18"/>
                <w:szCs w:val="18"/>
              </w:rPr>
              <w:noBreakHyphen/>
            </w:r>
            <w:r w:rsidRPr="00ED61E6">
              <w:rPr>
                <w:sz w:val="18"/>
                <w:szCs w:val="18"/>
              </w:rPr>
              <w:t>1</w:t>
            </w:r>
            <w:r w:rsidR="00D61DEF" w:rsidRPr="00ED61E6">
              <w:rPr>
                <w:sz w:val="18"/>
                <w:szCs w:val="18"/>
              </w:rPr>
              <w:t> </w:t>
            </w:r>
            <w:r w:rsidRPr="00ED61E6">
              <w:rPr>
                <w:sz w:val="18"/>
                <w:szCs w:val="18"/>
              </w:rPr>
              <w:t>610,6 MHz; 1 610,6-1 613,8 MHz; 1</w:t>
            </w:r>
            <w:r w:rsidR="00D61DEF" w:rsidRPr="00ED61E6">
              <w:rPr>
                <w:sz w:val="18"/>
                <w:szCs w:val="18"/>
              </w:rPr>
              <w:t> </w:t>
            </w:r>
            <w:r w:rsidRPr="00ED61E6">
              <w:rPr>
                <w:sz w:val="18"/>
                <w:szCs w:val="18"/>
              </w:rPr>
              <w:t>613,8</w:t>
            </w:r>
            <w:r w:rsidR="00D61DEF" w:rsidRPr="00ED61E6">
              <w:rPr>
                <w:sz w:val="18"/>
                <w:szCs w:val="18"/>
              </w:rPr>
              <w:noBreakHyphen/>
            </w:r>
            <w:r w:rsidRPr="00ED61E6">
              <w:rPr>
                <w:sz w:val="18"/>
                <w:szCs w:val="18"/>
              </w:rPr>
              <w:t>1</w:t>
            </w:r>
            <w:r w:rsidR="00D61DEF" w:rsidRPr="00ED61E6">
              <w:rPr>
                <w:sz w:val="18"/>
                <w:szCs w:val="18"/>
              </w:rPr>
              <w:t> </w:t>
            </w:r>
            <w:r w:rsidRPr="00ED61E6">
              <w:rPr>
                <w:sz w:val="18"/>
                <w:szCs w:val="18"/>
              </w:rPr>
              <w:t xml:space="preserve">621,35 MHz et 1 621,35-1 626,5 MHz en Région 3 vers </w:t>
            </w:r>
            <w:r w:rsidRPr="00ED61E6">
              <w:rPr>
                <w:sz w:val="18"/>
                <w:szCs w:val="18"/>
                <w:lang w:eastAsia="zh-CN"/>
              </w:rPr>
              <w:t>les lignes contenant l</w:t>
            </w:r>
            <w:r w:rsidR="004E286C">
              <w:rPr>
                <w:sz w:val="18"/>
                <w:szCs w:val="18"/>
                <w:lang w:eastAsia="zh-CN"/>
              </w:rPr>
              <w:t>'</w:t>
            </w:r>
            <w:r w:rsidRPr="00ED61E6">
              <w:rPr>
                <w:sz w:val="18"/>
                <w:szCs w:val="18"/>
                <w:lang w:eastAsia="zh-CN"/>
              </w:rPr>
              <w:t xml:space="preserve">attribution faite à titre secondaire au service de </w:t>
            </w:r>
            <w:r w:rsidRPr="00ED61E6">
              <w:rPr>
                <w:sz w:val="18"/>
                <w:szCs w:val="18"/>
              </w:rPr>
              <w:t>radiorepérage par satellite (Terre vers espace).</w:t>
            </w:r>
          </w:p>
        </w:tc>
      </w:tr>
    </w:tbl>
    <w:p w14:paraId="4D38659C" w14:textId="7AE55C8A" w:rsidR="00E7084E" w:rsidRPr="00D61DEF" w:rsidRDefault="00476CA6" w:rsidP="00E7084E">
      <w:r w:rsidRPr="00D61DEF">
        <w:rPr>
          <w:b/>
          <w:bCs/>
        </w:rPr>
        <w:t xml:space="preserve">Point de vue et propositions: </w:t>
      </w:r>
      <w:r w:rsidRPr="00D61DEF">
        <w:t xml:space="preserve">Nous appuyons les révisions proposées par le Directeur du BR. En outre, nous proposons de diviser le numéro </w:t>
      </w:r>
      <w:r w:rsidRPr="00D61DEF">
        <w:rPr>
          <w:b/>
          <w:bCs/>
        </w:rPr>
        <w:t>5.369</w:t>
      </w:r>
      <w:r w:rsidRPr="00D61DEF">
        <w:t xml:space="preserve"> en deux renvois: un renvoi </w:t>
      </w:r>
      <w:r w:rsidRPr="00D61DEF">
        <w:rPr>
          <w:i/>
          <w:iCs/>
        </w:rPr>
        <w:t>attribution additionnelle</w:t>
      </w:r>
      <w:r w:rsidRPr="00D61DEF">
        <w:t xml:space="preserve"> pour les pays de la Région 1 et un autre renvoi </w:t>
      </w:r>
      <w:r w:rsidRPr="00D61DEF">
        <w:rPr>
          <w:i/>
          <w:iCs/>
        </w:rPr>
        <w:t>catégorie de service différente</w:t>
      </w:r>
      <w:r w:rsidRPr="00D61DEF">
        <w:t xml:space="preserve"> pour les pays de la Région 3.</w:t>
      </w:r>
    </w:p>
    <w:p w14:paraId="0A33F3E5" w14:textId="1217A77D" w:rsidR="00E7084E" w:rsidRPr="00D61DEF" w:rsidRDefault="00E7084E" w:rsidP="00E7084E">
      <w:pPr>
        <w:pStyle w:val="Reasons"/>
      </w:pPr>
      <w:r w:rsidRPr="00D61DEF">
        <w:rPr>
          <w:b/>
          <w:bCs/>
        </w:rPr>
        <w:t>Motifs:</w:t>
      </w:r>
      <w:r w:rsidR="00ED61E6">
        <w:rPr>
          <w:b/>
          <w:bCs/>
        </w:rPr>
        <w:tab/>
      </w:r>
      <w:r w:rsidR="00476CA6" w:rsidRPr="00D61DEF">
        <w:t>Dans la Région 1, aucune attribution n</w:t>
      </w:r>
      <w:r w:rsidR="004E286C">
        <w:t>'</w:t>
      </w:r>
      <w:r w:rsidR="00476CA6" w:rsidRPr="00D61DEF">
        <w:t xml:space="preserve">est faite au service de radiorepérage par satellite (Terre vers espace) dans la bande de fréquences 1 610-1 626,5 MHz dans le Tableau; par conséquent, le numéro </w:t>
      </w:r>
      <w:r w:rsidR="00476CA6" w:rsidRPr="00D61DEF">
        <w:rPr>
          <w:b/>
          <w:bCs/>
        </w:rPr>
        <w:t xml:space="preserve">5.369 </w:t>
      </w:r>
      <w:r w:rsidR="00476CA6" w:rsidRPr="00D61DEF">
        <w:t>pour la Région 1 devrait être</w:t>
      </w:r>
      <w:r w:rsidR="002822D2" w:rsidRPr="00D61DEF">
        <w:t xml:space="preserve"> une</w:t>
      </w:r>
      <w:r w:rsidR="00476CA6" w:rsidRPr="00D61DEF">
        <w:t xml:space="preserve"> </w:t>
      </w:r>
      <w:r w:rsidR="00476CA6" w:rsidRPr="00D61DEF">
        <w:rPr>
          <w:i/>
          <w:iCs/>
        </w:rPr>
        <w:t>attribution additionnelle</w:t>
      </w:r>
      <w:r w:rsidR="00476CA6" w:rsidRPr="00D61DEF">
        <w:t xml:space="preserve">. Dans la Région 3, le Tableau comprend une attribution à titre secondaire au service de radiorepérage par satellite (Terre vers espace); par conséquent, le numéro </w:t>
      </w:r>
      <w:r w:rsidR="00476CA6" w:rsidRPr="00D61DEF">
        <w:rPr>
          <w:b/>
          <w:bCs/>
        </w:rPr>
        <w:t>5.369</w:t>
      </w:r>
      <w:r w:rsidR="00476CA6" w:rsidRPr="00D61DEF">
        <w:t xml:space="preserve"> pour la Région 3 devrait être une </w:t>
      </w:r>
      <w:r w:rsidR="00476CA6" w:rsidRPr="00D61DEF">
        <w:rPr>
          <w:i/>
          <w:iCs/>
        </w:rPr>
        <w:t>catégorie de service différente</w:t>
      </w:r>
      <w:r w:rsidR="00476CA6" w:rsidRPr="00D61DEF">
        <w:t>.</w:t>
      </w:r>
    </w:p>
    <w:p w14:paraId="7B22A181" w14:textId="77777777" w:rsidR="00FD506B" w:rsidRPr="00D61DEF" w:rsidRDefault="005D07EC">
      <w:pPr>
        <w:pStyle w:val="Proposal"/>
      </w:pPr>
      <w:r w:rsidRPr="00D61DEF">
        <w:tab/>
        <w:t>CHN/111A25A1/2</w:t>
      </w:r>
    </w:p>
    <w:p w14:paraId="159DF22C" w14:textId="77777777" w:rsidR="00136D80" w:rsidRPr="00D61DEF" w:rsidRDefault="00136D80" w:rsidP="00136D80">
      <w:pPr>
        <w:pStyle w:val="Heading3"/>
      </w:pPr>
      <w:r w:rsidRPr="00D61DEF">
        <w:t>2.2.2</w:t>
      </w:r>
      <w:r w:rsidRPr="00D61DEF">
        <w:tab/>
        <w:t>Incohérences et dispositions manquant de clarté</w:t>
      </w:r>
    </w:p>
    <w:p w14:paraId="676044D1" w14:textId="77777777" w:rsidR="00136D80" w:rsidRPr="00D61DEF" w:rsidRDefault="00136D80" w:rsidP="00136D80">
      <w:pPr>
        <w:pStyle w:val="TableNo"/>
      </w:pPr>
      <w:r w:rsidRPr="00D61DEF">
        <w:t>tableau 2</w:t>
      </w:r>
    </w:p>
    <w:p w14:paraId="4E225183" w14:textId="0743701D" w:rsidR="00136D80" w:rsidRPr="00D61DEF" w:rsidRDefault="00136D80" w:rsidP="00136D80">
      <w:pPr>
        <w:pStyle w:val="Tabletitle"/>
      </w:pPr>
      <w:r w:rsidRPr="00D61DEF">
        <w:t>Incohérences relevées dans le RR et dispositions manquant de clarté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977"/>
        <w:gridCol w:w="1318"/>
        <w:gridCol w:w="3602"/>
        <w:gridCol w:w="3782"/>
      </w:tblGrid>
      <w:tr w:rsidR="00D54E8B" w:rsidRPr="00D61DEF" w14:paraId="4423CB7C" w14:textId="77777777" w:rsidTr="008B66C6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79E215" w14:textId="6AF13AC6" w:rsidR="00D54E8B" w:rsidRPr="00ED61E6" w:rsidRDefault="00D54E8B" w:rsidP="00ED61E6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#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32C7F" w14:textId="4368A362" w:rsidR="00D54E8B" w:rsidRPr="00ED61E6" w:rsidRDefault="00D54E8B" w:rsidP="00ED61E6">
            <w:pPr>
              <w:pStyle w:val="Tablehead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Langue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017F" w14:textId="2050BE58" w:rsidR="00D54E8B" w:rsidRPr="00ED61E6" w:rsidRDefault="00D54E8B" w:rsidP="00ED61E6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Page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1443" w14:textId="631E72E5" w:rsidR="00D54E8B" w:rsidRPr="00ED61E6" w:rsidRDefault="00D54E8B" w:rsidP="00ED61E6">
            <w:pPr>
              <w:pStyle w:val="Tablehead"/>
              <w:rPr>
                <w:sz w:val="18"/>
                <w:szCs w:val="18"/>
              </w:rPr>
            </w:pPr>
            <w:r w:rsidRPr="00ED61E6">
              <w:rPr>
                <w:sz w:val="18"/>
                <w:szCs w:val="18"/>
              </w:rPr>
              <w:t>Nature de l</w:t>
            </w:r>
            <w:r w:rsidR="004E286C">
              <w:rPr>
                <w:sz w:val="18"/>
                <w:szCs w:val="18"/>
              </w:rPr>
              <w:t>'</w:t>
            </w:r>
            <w:r w:rsidRPr="00ED61E6">
              <w:rPr>
                <w:sz w:val="18"/>
                <w:szCs w:val="18"/>
              </w:rPr>
              <w:t>incohérence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5836" w14:textId="0CEA7DA9" w:rsidR="00D54E8B" w:rsidRPr="00ED61E6" w:rsidRDefault="00D54E8B" w:rsidP="00ED61E6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</w:rPr>
              <w:t>Mesure corrective possible</w:t>
            </w:r>
          </w:p>
        </w:tc>
      </w:tr>
      <w:tr w:rsidR="00D54E8B" w:rsidRPr="00D61DEF" w14:paraId="39D31F30" w14:textId="77777777" w:rsidTr="008D3F61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232E8" w14:textId="77777777" w:rsidR="00D54E8B" w:rsidRPr="00ED61E6" w:rsidRDefault="00D54E8B" w:rsidP="00ED61E6">
            <w:pPr>
              <w:pStyle w:val="Tablehead"/>
              <w:rPr>
                <w:sz w:val="18"/>
                <w:szCs w:val="18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7C67A" w14:textId="77777777" w:rsidR="00D54E8B" w:rsidRPr="00ED61E6" w:rsidRDefault="00D54E8B" w:rsidP="00ED61E6">
            <w:pPr>
              <w:pStyle w:val="Tablehead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E1C7" w14:textId="1AE38022" w:rsidR="00D54E8B" w:rsidRPr="00ED61E6" w:rsidRDefault="00D54E8B" w:rsidP="00ED61E6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Volume, page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69F" w14:textId="24B7539F" w:rsidR="00D54E8B" w:rsidRPr="00ED61E6" w:rsidRDefault="00D54E8B" w:rsidP="00ED61E6">
            <w:pPr>
              <w:pStyle w:val="Tablehead"/>
              <w:rPr>
                <w:sz w:val="18"/>
                <w:szCs w:val="18"/>
              </w:rPr>
            </w:pPr>
            <w:r w:rsidRPr="00ED61E6">
              <w:rPr>
                <w:sz w:val="18"/>
                <w:szCs w:val="18"/>
                <w:lang w:eastAsia="zh-CN"/>
              </w:rPr>
              <w:t>ARTICLES/APPENDICE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8EC0" w14:textId="280FC83D" w:rsidR="00D54E8B" w:rsidRPr="00ED61E6" w:rsidRDefault="00D54E8B" w:rsidP="00ED61E6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ARTICLES/APPENDICE</w:t>
            </w:r>
          </w:p>
        </w:tc>
      </w:tr>
      <w:tr w:rsidR="008D3F61" w:rsidRPr="00D61DEF" w14:paraId="5DCD2637" w14:textId="77777777" w:rsidTr="008D3F61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603A31" w14:textId="77777777" w:rsidR="008D3F61" w:rsidRPr="00ED61E6" w:rsidRDefault="008D3F61" w:rsidP="00ED61E6">
            <w:pPr>
              <w:pStyle w:val="Tablehead"/>
              <w:rPr>
                <w:sz w:val="18"/>
                <w:szCs w:val="18"/>
                <w:lang w:eastAsia="zh-CN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56E20" w14:textId="77777777" w:rsidR="008D3F61" w:rsidRPr="00ED61E6" w:rsidRDefault="008D3F61" w:rsidP="00ED61E6">
            <w:pPr>
              <w:pStyle w:val="Tablehead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9312" w14:textId="7FE0E8B0" w:rsidR="008D3F61" w:rsidRPr="00ED61E6" w:rsidRDefault="00476CA6" w:rsidP="00ED61E6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Volume 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0463" w14:textId="77777777" w:rsidR="008D3F61" w:rsidRPr="00ED61E6" w:rsidRDefault="008D3F61" w:rsidP="00ED61E6">
            <w:pPr>
              <w:pStyle w:val="Tablehead"/>
              <w:rPr>
                <w:sz w:val="18"/>
                <w:szCs w:val="18"/>
              </w:rPr>
            </w:pPr>
            <w:r w:rsidRPr="00ED61E6">
              <w:rPr>
                <w:sz w:val="18"/>
                <w:szCs w:val="18"/>
                <w:lang w:eastAsia="zh-CN"/>
              </w:rPr>
              <w:t>Article</w:t>
            </w:r>
            <w:r w:rsidRPr="00ED61E6">
              <w:rPr>
                <w:sz w:val="18"/>
                <w:szCs w:val="18"/>
              </w:rPr>
              <w:t xml:space="preserve"> 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248E" w14:textId="77777777" w:rsidR="008D3F61" w:rsidRPr="00ED61E6" w:rsidRDefault="008D3F61" w:rsidP="00ED61E6">
            <w:pPr>
              <w:pStyle w:val="Tablehead"/>
              <w:rPr>
                <w:sz w:val="18"/>
                <w:szCs w:val="18"/>
                <w:lang w:eastAsia="zh-CN"/>
              </w:rPr>
            </w:pPr>
            <w:r w:rsidRPr="00ED61E6">
              <w:rPr>
                <w:sz w:val="18"/>
                <w:szCs w:val="18"/>
                <w:lang w:eastAsia="zh-CN"/>
              </w:rPr>
              <w:t>Article 5</w:t>
            </w:r>
          </w:p>
        </w:tc>
      </w:tr>
      <w:tr w:rsidR="008D3F61" w:rsidRPr="00D61DEF" w14:paraId="1472708A" w14:textId="77777777" w:rsidTr="008D3F61">
        <w:trPr>
          <w:cantSplit/>
          <w:jc w:val="center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FE286" w14:textId="77777777" w:rsidR="008D3F61" w:rsidRPr="00D61DEF" w:rsidRDefault="008D3F61" w:rsidP="008D3F61">
            <w:pPr>
              <w:spacing w:before="60" w:after="40"/>
              <w:jc w:val="center"/>
              <w:rPr>
                <w:bCs/>
                <w:sz w:val="18"/>
                <w:szCs w:val="18"/>
                <w:lang w:eastAsia="zh-CN"/>
              </w:rPr>
            </w:pPr>
            <w:r w:rsidRPr="00D61DEF">
              <w:rPr>
                <w:bCs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E200A8" w14:textId="52B5DF69" w:rsidR="008D3F61" w:rsidRPr="00D61DEF" w:rsidRDefault="00476CA6" w:rsidP="008D3F61">
            <w:pPr>
              <w:spacing w:before="60" w:after="40"/>
              <w:jc w:val="center"/>
              <w:rPr>
                <w:rFonts w:asciiTheme="majorBidi" w:hAnsiTheme="majorBidi" w:cstheme="majorBidi"/>
                <w:sz w:val="18"/>
                <w:szCs w:val="18"/>
                <w:lang w:eastAsia="zh-CN"/>
              </w:rPr>
            </w:pPr>
            <w:r w:rsidRPr="00D61DEF">
              <w:rPr>
                <w:rFonts w:asciiTheme="majorBidi" w:hAnsiTheme="majorBidi" w:cstheme="majorBidi"/>
                <w:sz w:val="18"/>
                <w:szCs w:val="18"/>
                <w:lang w:eastAsia="zh-CN"/>
              </w:rPr>
              <w:t>Toutes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D592" w14:textId="77777777" w:rsidR="008D3F61" w:rsidRPr="00D61DEF" w:rsidRDefault="008D3F61" w:rsidP="008D3F61">
            <w:pPr>
              <w:spacing w:before="60" w:after="40"/>
              <w:jc w:val="center"/>
              <w:rPr>
                <w:sz w:val="18"/>
                <w:szCs w:val="18"/>
                <w:lang w:eastAsia="zh-CN"/>
              </w:rPr>
            </w:pPr>
            <w:r w:rsidRPr="00D61DEF">
              <w:rPr>
                <w:sz w:val="18"/>
                <w:szCs w:val="18"/>
                <w:lang w:eastAsia="zh-CN"/>
              </w:rPr>
              <w:t>122 (RR5-88)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FFC8" w14:textId="5735F1C5" w:rsidR="008D3F61" w:rsidRPr="00D61DEF" w:rsidRDefault="008D3F61" w:rsidP="008D3F61">
            <w:pPr>
              <w:spacing w:before="60" w:after="40"/>
              <w:rPr>
                <w:sz w:val="18"/>
                <w:szCs w:val="18"/>
                <w:highlight w:val="yellow"/>
              </w:rPr>
            </w:pPr>
            <w:r w:rsidRPr="00D61DEF">
              <w:rPr>
                <w:rFonts w:asciiTheme="majorBidi" w:hAnsiTheme="majorBidi" w:cstheme="majorBidi"/>
                <w:sz w:val="18"/>
                <w:szCs w:val="18"/>
              </w:rPr>
              <w:t xml:space="preserve">Le renvoi </w:t>
            </w:r>
            <w:r w:rsidRPr="00D61DE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5.429F</w:t>
            </w:r>
            <w:r w:rsidRPr="00D61DEF">
              <w:rPr>
                <w:rFonts w:asciiTheme="majorBidi" w:hAnsiTheme="majorBidi" w:cstheme="majorBidi"/>
                <w:sz w:val="18"/>
                <w:szCs w:val="18"/>
              </w:rPr>
              <w:t xml:space="preserve"> porte sur l</w:t>
            </w:r>
            <w:r w:rsidR="004E286C">
              <w:rPr>
                <w:rFonts w:asciiTheme="majorBidi" w:hAnsiTheme="majorBidi" w:cstheme="majorBidi"/>
                <w:sz w:val="18"/>
                <w:szCs w:val="18"/>
              </w:rPr>
              <w:t>'</w:t>
            </w:r>
            <w:r w:rsidRPr="00D61DEF">
              <w:rPr>
                <w:rFonts w:asciiTheme="majorBidi" w:hAnsiTheme="majorBidi" w:cstheme="majorBidi"/>
                <w:sz w:val="18"/>
                <w:szCs w:val="18"/>
              </w:rPr>
              <w:t>identification de la bande de fréquences 3 300-3 400 MHz pour les IMT au Lao (R.d.p.), aux Philippines et au Viet Nam en Région 3, alors que cette bande de fréquences n</w:t>
            </w:r>
            <w:r w:rsidR="004E286C">
              <w:rPr>
                <w:rFonts w:asciiTheme="majorBidi" w:hAnsiTheme="majorBidi" w:cstheme="majorBidi"/>
                <w:sz w:val="18"/>
                <w:szCs w:val="18"/>
              </w:rPr>
              <w:t>'</w:t>
            </w:r>
            <w:r w:rsidRPr="00D61DEF">
              <w:rPr>
                <w:rFonts w:asciiTheme="majorBidi" w:hAnsiTheme="majorBidi" w:cstheme="majorBidi"/>
                <w:sz w:val="18"/>
                <w:szCs w:val="18"/>
              </w:rPr>
              <w:t>est pas attribuée au service mobile dans ces pays.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68E7" w14:textId="6057D2A4" w:rsidR="008D3F61" w:rsidRPr="00D61DEF" w:rsidRDefault="008D3F61" w:rsidP="008D3F61">
            <w:pPr>
              <w:spacing w:before="60" w:after="40"/>
              <w:rPr>
                <w:sz w:val="18"/>
                <w:szCs w:val="18"/>
                <w:highlight w:val="yellow"/>
                <w:lang w:eastAsia="zh-CN"/>
              </w:rPr>
            </w:pPr>
            <w:r w:rsidRPr="00D61DEF">
              <w:rPr>
                <w:sz w:val="18"/>
                <w:szCs w:val="14"/>
              </w:rPr>
              <w:t>Ces trois Administrations souhaiteront peut-être faire supprimer le nom de leur pays du numéro </w:t>
            </w:r>
            <w:r w:rsidRPr="00D61DEF">
              <w:rPr>
                <w:b/>
                <w:bCs/>
                <w:sz w:val="18"/>
                <w:szCs w:val="14"/>
              </w:rPr>
              <w:t>5.429F</w:t>
            </w:r>
            <w:r w:rsidRPr="00D61DEF">
              <w:rPr>
                <w:sz w:val="18"/>
                <w:szCs w:val="14"/>
              </w:rPr>
              <w:t xml:space="preserve"> ou demander à bénéficier elles aussi de l</w:t>
            </w:r>
            <w:r w:rsidR="004E286C">
              <w:rPr>
                <w:sz w:val="18"/>
                <w:szCs w:val="14"/>
              </w:rPr>
              <w:t>'</w:t>
            </w:r>
            <w:r w:rsidRPr="00D61DEF">
              <w:rPr>
                <w:sz w:val="18"/>
                <w:szCs w:val="14"/>
              </w:rPr>
              <w:t>attribution faite au service mobile pour certains pays de la Région 3 au titre du numéro </w:t>
            </w:r>
            <w:r w:rsidRPr="00D61DEF">
              <w:rPr>
                <w:b/>
                <w:bCs/>
                <w:sz w:val="18"/>
                <w:szCs w:val="14"/>
              </w:rPr>
              <w:t>5.429</w:t>
            </w:r>
            <w:r w:rsidRPr="00D61DEF">
              <w:rPr>
                <w:sz w:val="18"/>
                <w:szCs w:val="14"/>
              </w:rPr>
              <w:t xml:space="preserve"> ou </w:t>
            </w:r>
            <w:r w:rsidRPr="00D61DEF">
              <w:rPr>
                <w:b/>
                <w:bCs/>
                <w:sz w:val="18"/>
                <w:szCs w:val="14"/>
              </w:rPr>
              <w:t>5.429E</w:t>
            </w:r>
            <w:r w:rsidRPr="00D61DEF">
              <w:rPr>
                <w:sz w:val="18"/>
                <w:szCs w:val="14"/>
              </w:rPr>
              <w:t>.</w:t>
            </w:r>
          </w:p>
        </w:tc>
      </w:tr>
    </w:tbl>
    <w:p w14:paraId="1CF5F07B" w14:textId="471579F1" w:rsidR="00FD506B" w:rsidRPr="00D61DEF" w:rsidRDefault="00476CA6" w:rsidP="008D3F61">
      <w:r w:rsidRPr="00D61DEF">
        <w:rPr>
          <w:b/>
          <w:bCs/>
        </w:rPr>
        <w:t xml:space="preserve">Point de vue et propositions: </w:t>
      </w:r>
      <w:r w:rsidR="002822D2" w:rsidRPr="00D61DEF">
        <w:t>Cette question concerne l</w:t>
      </w:r>
      <w:r w:rsidR="004E286C">
        <w:t>'</w:t>
      </w:r>
      <w:r w:rsidR="002822D2" w:rsidRPr="00D61DEF">
        <w:t>ajout ou la suppression de noms de pays dans les renvois. Il est préférable qu</w:t>
      </w:r>
      <w:r w:rsidR="004E286C">
        <w:t>'</w:t>
      </w:r>
      <w:r w:rsidR="002822D2" w:rsidRPr="00D61DEF">
        <w:t>elle soit examinée au titre du point 8 de l</w:t>
      </w:r>
      <w:r w:rsidR="004E286C">
        <w:t>'</w:t>
      </w:r>
      <w:r w:rsidR="002822D2" w:rsidRPr="00D61DEF">
        <w:t>ordre du jour.</w:t>
      </w:r>
    </w:p>
    <w:p w14:paraId="2D2C5131" w14:textId="0476A209" w:rsidR="008D3F61" w:rsidRPr="00D61DEF" w:rsidRDefault="008D3F61" w:rsidP="008D3F61">
      <w:pPr>
        <w:pStyle w:val="Reasons"/>
      </w:pPr>
      <w:r w:rsidRPr="00D61DEF">
        <w:rPr>
          <w:b/>
          <w:bCs/>
        </w:rPr>
        <w:lastRenderedPageBreak/>
        <w:t>Motifs:</w:t>
      </w:r>
      <w:r w:rsidR="00ED61E6">
        <w:rPr>
          <w:b/>
          <w:bCs/>
        </w:rPr>
        <w:tab/>
      </w:r>
      <w:r w:rsidR="002822D2" w:rsidRPr="00D61DEF">
        <w:t xml:space="preserve">Aux termes de la Résolution </w:t>
      </w:r>
      <w:r w:rsidR="002822D2" w:rsidRPr="00D61DEF">
        <w:rPr>
          <w:b/>
          <w:bCs/>
        </w:rPr>
        <w:t>26 (Rév.CMR-19)</w:t>
      </w:r>
      <w:r w:rsidR="002822D2" w:rsidRPr="00D61DEF">
        <w:t>, le point 8 de l</w:t>
      </w:r>
      <w:r w:rsidR="004E286C">
        <w:t>'</w:t>
      </w:r>
      <w:r w:rsidR="002822D2" w:rsidRPr="00D61DEF">
        <w:t>ordre du jour permet d</w:t>
      </w:r>
      <w:r w:rsidR="004E286C">
        <w:t>'</w:t>
      </w:r>
      <w:r w:rsidR="002822D2" w:rsidRPr="00D61DEF">
        <w:t>examiner les propositions des administrations concernant la suppression des noms de pays dans les renvois.</w:t>
      </w:r>
    </w:p>
    <w:p w14:paraId="1F50F310" w14:textId="77777777" w:rsidR="008D3F61" w:rsidRPr="00D61DEF" w:rsidRDefault="008D3F61">
      <w:pPr>
        <w:jc w:val="center"/>
      </w:pPr>
      <w:r w:rsidRPr="00D61DEF">
        <w:t>______________</w:t>
      </w:r>
    </w:p>
    <w:sectPr w:rsidR="008D3F61" w:rsidRPr="00D61DEF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5C7CA" w14:textId="77777777" w:rsidR="0035696A" w:rsidRDefault="0035696A">
      <w:r>
        <w:separator/>
      </w:r>
    </w:p>
  </w:endnote>
  <w:endnote w:type="continuationSeparator" w:id="0">
    <w:p w14:paraId="35339E6B" w14:textId="77777777" w:rsidR="0035696A" w:rsidRDefault="0035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35CF" w14:textId="3D9BB9FE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17E55">
      <w:rPr>
        <w:noProof/>
      </w:rPr>
      <w:t>19.11.23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4862" w14:textId="67713D73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61DEF">
      <w:rPr>
        <w:lang w:val="en-US"/>
      </w:rPr>
      <w:t>P:\FRA\ITU-R\CONF-R\CMR23\100\111ADD25ADD01F.docx</w:t>
    </w:r>
    <w:r>
      <w:fldChar w:fldCharType="end"/>
    </w:r>
    <w:r w:rsidR="00E7084E" w:rsidRPr="00FA64D6">
      <w:rPr>
        <w:lang w:val="en-GB"/>
      </w:rPr>
      <w:t xml:space="preserve"> (530492)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49CA" w14:textId="4BD810F0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61DEF">
      <w:rPr>
        <w:lang w:val="en-US"/>
      </w:rPr>
      <w:t>P:\FRA\ITU-R\CONF-R\CMR23\100\111ADD25ADD01F.docx</w:t>
    </w:r>
    <w:r>
      <w:fldChar w:fldCharType="end"/>
    </w:r>
    <w:r w:rsidR="00E7084E" w:rsidRPr="00FA64D6">
      <w:rPr>
        <w:lang w:val="en-GB"/>
      </w:rPr>
      <w:t xml:space="preserve"> (530492)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6822" w14:textId="77777777" w:rsidR="0035696A" w:rsidRDefault="0035696A">
      <w:r>
        <w:rPr>
          <w:b/>
        </w:rPr>
        <w:t>_______________</w:t>
      </w:r>
    </w:p>
  </w:footnote>
  <w:footnote w:type="continuationSeparator" w:id="0">
    <w:p w14:paraId="6385107A" w14:textId="77777777" w:rsidR="0035696A" w:rsidRDefault="0035696A">
      <w:r>
        <w:continuationSeparator/>
      </w:r>
    </w:p>
  </w:footnote>
  <w:footnote w:id="1">
    <w:p w14:paraId="7CB713E0" w14:textId="088DFB41" w:rsidR="004D0EC7" w:rsidRPr="00815FAF" w:rsidRDefault="005D07EC" w:rsidP="00485985">
      <w:pPr>
        <w:pStyle w:val="FootnoteText"/>
        <w:rPr>
          <w:lang w:val="fr-CH"/>
        </w:rPr>
      </w:pPr>
      <w:r>
        <w:rPr>
          <w:rStyle w:val="FootnoteReference"/>
        </w:rPr>
        <w:t>1</w:t>
      </w:r>
      <w:r>
        <w:tab/>
      </w:r>
      <w:r w:rsidRPr="00D20FD5">
        <w:rPr>
          <w:lang w:val="fr-CH"/>
        </w:rPr>
        <w:t>Ce point de l</w:t>
      </w:r>
      <w:r w:rsidR="004E286C">
        <w:rPr>
          <w:lang w:val="fr-CH"/>
        </w:rPr>
        <w:t>'</w:t>
      </w:r>
      <w:r w:rsidRPr="00D20FD5">
        <w:rPr>
          <w:lang w:val="fr-CH"/>
        </w:rPr>
        <w:t xml:space="preserve">ordre du jour ne concerne que le </w:t>
      </w:r>
      <w:r>
        <w:rPr>
          <w:lang w:val="fr-CH"/>
        </w:rPr>
        <w:t>r</w:t>
      </w:r>
      <w:r w:rsidRPr="00D20FD5">
        <w:rPr>
          <w:lang w:val="fr-CH"/>
        </w:rPr>
        <w:t>apport du Directeur sur les difficultés rencontrées ou les incohérences constatées dans l</w:t>
      </w:r>
      <w:r w:rsidR="004E286C">
        <w:rPr>
          <w:lang w:val="fr-CH"/>
        </w:rPr>
        <w:t>'</w:t>
      </w:r>
      <w:r w:rsidRPr="00D20FD5">
        <w:rPr>
          <w:lang w:val="fr-CH"/>
        </w:rPr>
        <w:t>application du Règlement des radiocommunications et les observations formulées par les administrations.</w:t>
      </w:r>
      <w:r>
        <w:rPr>
          <w:lang w:val="fr-CH"/>
        </w:rPr>
        <w:t xml:space="preserve"> </w:t>
      </w:r>
      <w:r w:rsidRPr="00815FAF">
        <w:rPr>
          <w:lang w:val="fr-CH"/>
        </w:rPr>
        <w:t xml:space="preserve">Les administrations sont </w:t>
      </w:r>
      <w:r>
        <w:rPr>
          <w:lang w:val="fr-CH"/>
        </w:rPr>
        <w:t>invité</w:t>
      </w:r>
      <w:r w:rsidRPr="00815FAF">
        <w:rPr>
          <w:lang w:val="fr-CH"/>
        </w:rPr>
        <w:t xml:space="preserve">es à informer le Directeur du Bureau </w:t>
      </w:r>
      <w:r>
        <w:rPr>
          <w:lang w:val="fr-CH"/>
        </w:rPr>
        <w:t>des r</w:t>
      </w:r>
      <w:r w:rsidRPr="00815FAF">
        <w:rPr>
          <w:lang w:val="fr-CH"/>
        </w:rPr>
        <w:t>adiocommunication</w:t>
      </w:r>
      <w:r>
        <w:rPr>
          <w:lang w:val="fr-CH"/>
        </w:rPr>
        <w:t>s</w:t>
      </w:r>
      <w:r w:rsidRPr="00815FAF">
        <w:rPr>
          <w:lang w:val="fr-CH"/>
        </w:rPr>
        <w:t xml:space="preserve"> </w:t>
      </w:r>
      <w:r>
        <w:rPr>
          <w:lang w:val="fr-CH"/>
        </w:rPr>
        <w:t>de toute difficulté rencontrée ou de toute incohérence constatée</w:t>
      </w:r>
      <w:r w:rsidRPr="00815FAF">
        <w:rPr>
          <w:lang w:val="fr-CH"/>
        </w:rPr>
        <w:t xml:space="preserve"> </w:t>
      </w:r>
      <w:r>
        <w:rPr>
          <w:lang w:val="fr-CH"/>
        </w:rPr>
        <w:t>dans l</w:t>
      </w:r>
      <w:r w:rsidR="004E286C">
        <w:rPr>
          <w:lang w:val="fr-CH"/>
        </w:rPr>
        <w:t>'</w:t>
      </w:r>
      <w:r>
        <w:rPr>
          <w:lang w:val="fr-CH"/>
        </w:rPr>
        <w:t>application du Règlement des radiocommunications.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F3BB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4202F46C" w14:textId="01067B44" w:rsidR="004F1F8E" w:rsidRDefault="00ED61E6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111(Add.25)(Add.1)-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35475091">
    <w:abstractNumId w:val="0"/>
  </w:num>
  <w:num w:numId="2" w16cid:durableId="122606719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01869"/>
    <w:rsid w:val="001167B9"/>
    <w:rsid w:val="001267A0"/>
    <w:rsid w:val="00136D80"/>
    <w:rsid w:val="0015203F"/>
    <w:rsid w:val="00160C64"/>
    <w:rsid w:val="0018169B"/>
    <w:rsid w:val="0019352B"/>
    <w:rsid w:val="001960D0"/>
    <w:rsid w:val="001A11F6"/>
    <w:rsid w:val="001F17E8"/>
    <w:rsid w:val="00204306"/>
    <w:rsid w:val="00225CF2"/>
    <w:rsid w:val="00232FD2"/>
    <w:rsid w:val="0026554E"/>
    <w:rsid w:val="002822D2"/>
    <w:rsid w:val="002A4622"/>
    <w:rsid w:val="002A6F8F"/>
    <w:rsid w:val="002B17E5"/>
    <w:rsid w:val="002C0EBF"/>
    <w:rsid w:val="002C28A4"/>
    <w:rsid w:val="002D7E0A"/>
    <w:rsid w:val="00315AFE"/>
    <w:rsid w:val="003411F6"/>
    <w:rsid w:val="0035696A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76CA6"/>
    <w:rsid w:val="00483196"/>
    <w:rsid w:val="004834A9"/>
    <w:rsid w:val="004D01FC"/>
    <w:rsid w:val="004D0EC7"/>
    <w:rsid w:val="004E286C"/>
    <w:rsid w:val="004E28C3"/>
    <w:rsid w:val="004F1F8E"/>
    <w:rsid w:val="00512A32"/>
    <w:rsid w:val="005343DA"/>
    <w:rsid w:val="00560874"/>
    <w:rsid w:val="00586CF2"/>
    <w:rsid w:val="005A7C75"/>
    <w:rsid w:val="005C3768"/>
    <w:rsid w:val="005C6C3F"/>
    <w:rsid w:val="005D07EC"/>
    <w:rsid w:val="005E72D4"/>
    <w:rsid w:val="00613635"/>
    <w:rsid w:val="0062093D"/>
    <w:rsid w:val="00637ECF"/>
    <w:rsid w:val="00647B59"/>
    <w:rsid w:val="00690C7B"/>
    <w:rsid w:val="00693CBF"/>
    <w:rsid w:val="006A4B45"/>
    <w:rsid w:val="006D4724"/>
    <w:rsid w:val="006F5FA2"/>
    <w:rsid w:val="006F7D92"/>
    <w:rsid w:val="0070076C"/>
    <w:rsid w:val="00701BAE"/>
    <w:rsid w:val="00721F04"/>
    <w:rsid w:val="00730E95"/>
    <w:rsid w:val="007426B9"/>
    <w:rsid w:val="00763524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3F61"/>
    <w:rsid w:val="008D41BE"/>
    <w:rsid w:val="008D58D3"/>
    <w:rsid w:val="008E3BC9"/>
    <w:rsid w:val="00923064"/>
    <w:rsid w:val="00930FFD"/>
    <w:rsid w:val="00936D25"/>
    <w:rsid w:val="00941EA5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3EB2"/>
    <w:rsid w:val="00A84541"/>
    <w:rsid w:val="00AE36A0"/>
    <w:rsid w:val="00B00294"/>
    <w:rsid w:val="00B3749C"/>
    <w:rsid w:val="00B64FD0"/>
    <w:rsid w:val="00BA5BD0"/>
    <w:rsid w:val="00BB1D82"/>
    <w:rsid w:val="00BC217E"/>
    <w:rsid w:val="00BD51C5"/>
    <w:rsid w:val="00BE4FD4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54E8B"/>
    <w:rsid w:val="00D61DEF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84E"/>
    <w:rsid w:val="00E70A31"/>
    <w:rsid w:val="00E723A7"/>
    <w:rsid w:val="00EA3F38"/>
    <w:rsid w:val="00EA5AB6"/>
    <w:rsid w:val="00EC7615"/>
    <w:rsid w:val="00ED16AA"/>
    <w:rsid w:val="00ED61E6"/>
    <w:rsid w:val="00ED6B8D"/>
    <w:rsid w:val="00EE3D7B"/>
    <w:rsid w:val="00EF662E"/>
    <w:rsid w:val="00F10064"/>
    <w:rsid w:val="00F148F1"/>
    <w:rsid w:val="00F17E55"/>
    <w:rsid w:val="00F711A7"/>
    <w:rsid w:val="00FA3BBF"/>
    <w:rsid w:val="00FA64D6"/>
    <w:rsid w:val="00FC41F8"/>
    <w:rsid w:val="00FD506B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ADE63B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paragraph" w:customStyle="1" w:styleId="VolumeTitle0">
    <w:name w:val="VolumeTitle"/>
    <w:basedOn w:val="Normal"/>
    <w:next w:val="Normal"/>
    <w:rsid w:val="00F4427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Normal0">
    <w:name w:val="Normal ="/>
    <w:basedOn w:val="Normal"/>
    <w:rsid w:val="00E7084E"/>
    <w:rPr>
      <w:lang w:val="fr-CH"/>
    </w:rPr>
  </w:style>
  <w:style w:type="paragraph" w:customStyle="1" w:styleId="Heading30">
    <w:name w:val="Heading_3"/>
    <w:basedOn w:val="Reasons"/>
    <w:rsid w:val="00E7084E"/>
  </w:style>
  <w:style w:type="paragraph" w:customStyle="1" w:styleId="Tableno0">
    <w:name w:val="Table no"/>
    <w:basedOn w:val="Normal"/>
    <w:rsid w:val="00E7084E"/>
  </w:style>
  <w:style w:type="paragraph" w:customStyle="1" w:styleId="ez">
    <w:name w:val="ez"/>
    <w:basedOn w:val="Normal"/>
    <w:rsid w:val="00E7084E"/>
  </w:style>
  <w:style w:type="character" w:styleId="UnresolvedMention">
    <w:name w:val="Unresolved Mention"/>
    <w:basedOn w:val="DefaultParagraphFont"/>
    <w:uiPriority w:val="99"/>
    <w:semiHidden/>
    <w:unhideWhenUsed/>
    <w:rsid w:val="002822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D61E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E286C"/>
    <w:rPr>
      <w:rFonts w:ascii="Times New Roman" w:hAnsi="Times New Roman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R23-WRC23-C-0004/f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R23-WRC23-C-0111!A25-A1!MSW-F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CE33F-38BE-4EA7-9B26-38950E26CE55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B94EEB52-A878-4897-A932-2BAACB584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02846E-9CCF-4245-973E-12FA3D673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676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R23-WRC23-C-0111!A25-A1!MSW-F</vt:lpstr>
      <vt:lpstr>R23-WRC23-C-0111!A25-A1!MSW-F</vt:lpstr>
    </vt:vector>
  </TitlesOfParts>
  <Manager>Secrétariat général - Pool</Manager>
  <Company>Union internationale des télécommunications (UIT)</Company>
  <LinksUpToDate>false</LinksUpToDate>
  <CharactersWithSpaces>4476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R23-WRC23-C-0111!A25-A1!MSW-F</dc:title>
  <dc:subject>Conférence mondiale des radiocommunications - 2019</dc:subject>
  <dc:creator>Documents Proposals Manager (DPM)</dc:creator>
  <cp:keywords>DPM_v2023.11.6.1_prod</cp:keywords>
  <dc:description/>
  <cp:lastModifiedBy>French</cp:lastModifiedBy>
  <cp:revision>9</cp:revision>
  <cp:lastPrinted>2003-06-05T19:34:00Z</cp:lastPrinted>
  <dcterms:created xsi:type="dcterms:W3CDTF">2023-11-17T08:10:00Z</dcterms:created>
  <dcterms:modified xsi:type="dcterms:W3CDTF">2023-11-18T23:24:00Z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