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01683" w14:paraId="768A81DE" w14:textId="77777777" w:rsidTr="00F320AA">
        <w:trPr>
          <w:cantSplit/>
        </w:trPr>
        <w:tc>
          <w:tcPr>
            <w:tcW w:w="1418" w:type="dxa"/>
            <w:vAlign w:val="center"/>
          </w:tcPr>
          <w:p w14:paraId="1401315E" w14:textId="77777777" w:rsidR="00F320AA" w:rsidRPr="00C01683" w:rsidRDefault="00F320AA" w:rsidP="00F320AA">
            <w:pPr>
              <w:spacing w:before="0"/>
              <w:rPr>
                <w:rFonts w:ascii="Verdana" w:hAnsi="Verdana"/>
                <w:position w:val="6"/>
              </w:rPr>
            </w:pPr>
            <w:r w:rsidRPr="00C01683">
              <w:rPr>
                <w:noProof/>
              </w:rPr>
              <w:drawing>
                <wp:inline distT="0" distB="0" distL="0" distR="0" wp14:anchorId="2781AE81" wp14:editId="3510434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CCFAFBB" w14:textId="77777777" w:rsidR="00F320AA" w:rsidRPr="00C01683" w:rsidRDefault="00F320AA" w:rsidP="00F320AA">
            <w:pPr>
              <w:spacing w:before="400" w:after="48" w:line="240" w:lineRule="atLeast"/>
              <w:rPr>
                <w:rFonts w:ascii="Verdana" w:hAnsi="Verdana"/>
                <w:position w:val="6"/>
              </w:rPr>
            </w:pPr>
            <w:r w:rsidRPr="00C01683">
              <w:rPr>
                <w:rFonts w:ascii="Verdana" w:hAnsi="Verdana" w:cs="Times"/>
                <w:b/>
                <w:position w:val="6"/>
                <w:sz w:val="22"/>
                <w:szCs w:val="22"/>
              </w:rPr>
              <w:t>World Radiocommunication Conference (WRC-23)</w:t>
            </w:r>
            <w:r w:rsidRPr="00C01683">
              <w:rPr>
                <w:rFonts w:ascii="Verdana" w:hAnsi="Verdana" w:cs="Times"/>
                <w:b/>
                <w:position w:val="6"/>
                <w:sz w:val="26"/>
                <w:szCs w:val="26"/>
              </w:rPr>
              <w:br/>
            </w:r>
            <w:r w:rsidRPr="00C01683">
              <w:rPr>
                <w:rFonts w:ascii="Verdana" w:hAnsi="Verdana"/>
                <w:b/>
                <w:bCs/>
                <w:position w:val="6"/>
                <w:sz w:val="18"/>
                <w:szCs w:val="18"/>
              </w:rPr>
              <w:t>Dubai, 20 November - 15 December 2023</w:t>
            </w:r>
          </w:p>
        </w:tc>
        <w:tc>
          <w:tcPr>
            <w:tcW w:w="1951" w:type="dxa"/>
            <w:vAlign w:val="center"/>
          </w:tcPr>
          <w:p w14:paraId="16953E7A" w14:textId="77777777" w:rsidR="00F320AA" w:rsidRPr="00C01683" w:rsidRDefault="00EB0812" w:rsidP="00F320AA">
            <w:pPr>
              <w:spacing w:before="0" w:line="240" w:lineRule="atLeast"/>
            </w:pPr>
            <w:r w:rsidRPr="00C01683">
              <w:rPr>
                <w:noProof/>
              </w:rPr>
              <w:drawing>
                <wp:inline distT="0" distB="0" distL="0" distR="0" wp14:anchorId="4BF218BE" wp14:editId="21AC06F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01683" w14:paraId="6ABC54A8" w14:textId="77777777">
        <w:trPr>
          <w:cantSplit/>
        </w:trPr>
        <w:tc>
          <w:tcPr>
            <w:tcW w:w="6911" w:type="dxa"/>
            <w:gridSpan w:val="2"/>
            <w:tcBorders>
              <w:bottom w:val="single" w:sz="12" w:space="0" w:color="auto"/>
            </w:tcBorders>
          </w:tcPr>
          <w:p w14:paraId="3AA520A7" w14:textId="77777777" w:rsidR="00A066F1" w:rsidRPr="00C0168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BE27C02" w14:textId="77777777" w:rsidR="00A066F1" w:rsidRPr="00C01683" w:rsidRDefault="00A066F1" w:rsidP="00A066F1">
            <w:pPr>
              <w:spacing w:before="0" w:line="240" w:lineRule="atLeast"/>
              <w:rPr>
                <w:rFonts w:ascii="Verdana" w:hAnsi="Verdana"/>
                <w:szCs w:val="24"/>
              </w:rPr>
            </w:pPr>
          </w:p>
        </w:tc>
      </w:tr>
      <w:tr w:rsidR="00A066F1" w:rsidRPr="00C01683" w14:paraId="260DE079" w14:textId="77777777">
        <w:trPr>
          <w:cantSplit/>
        </w:trPr>
        <w:tc>
          <w:tcPr>
            <w:tcW w:w="6911" w:type="dxa"/>
            <w:gridSpan w:val="2"/>
            <w:tcBorders>
              <w:top w:val="single" w:sz="12" w:space="0" w:color="auto"/>
            </w:tcBorders>
          </w:tcPr>
          <w:p w14:paraId="56089BA7" w14:textId="77777777" w:rsidR="00A066F1" w:rsidRPr="00C0168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34841B7" w14:textId="77777777" w:rsidR="00A066F1" w:rsidRPr="00C01683" w:rsidRDefault="00A066F1" w:rsidP="00A066F1">
            <w:pPr>
              <w:spacing w:before="0" w:line="240" w:lineRule="atLeast"/>
              <w:rPr>
                <w:rFonts w:ascii="Verdana" w:hAnsi="Verdana"/>
                <w:sz w:val="20"/>
              </w:rPr>
            </w:pPr>
          </w:p>
        </w:tc>
      </w:tr>
      <w:tr w:rsidR="00A066F1" w:rsidRPr="00C01683" w14:paraId="254CD493" w14:textId="77777777">
        <w:trPr>
          <w:cantSplit/>
          <w:trHeight w:val="23"/>
        </w:trPr>
        <w:tc>
          <w:tcPr>
            <w:tcW w:w="6911" w:type="dxa"/>
            <w:gridSpan w:val="2"/>
            <w:shd w:val="clear" w:color="auto" w:fill="auto"/>
          </w:tcPr>
          <w:p w14:paraId="7D69575F" w14:textId="77777777" w:rsidR="00A066F1" w:rsidRPr="00C0168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01683">
              <w:rPr>
                <w:rFonts w:ascii="Verdana" w:hAnsi="Verdana"/>
                <w:sz w:val="20"/>
                <w:szCs w:val="20"/>
              </w:rPr>
              <w:t>PLENARY MEETING</w:t>
            </w:r>
          </w:p>
        </w:tc>
        <w:tc>
          <w:tcPr>
            <w:tcW w:w="3120" w:type="dxa"/>
            <w:gridSpan w:val="2"/>
          </w:tcPr>
          <w:p w14:paraId="4D49DA69" w14:textId="77777777" w:rsidR="00A066F1" w:rsidRPr="00C01683" w:rsidRDefault="00E55816" w:rsidP="00AA666F">
            <w:pPr>
              <w:tabs>
                <w:tab w:val="left" w:pos="851"/>
              </w:tabs>
              <w:spacing w:before="0" w:line="240" w:lineRule="atLeast"/>
              <w:rPr>
                <w:rFonts w:ascii="Verdana" w:hAnsi="Verdana"/>
                <w:sz w:val="20"/>
              </w:rPr>
            </w:pPr>
            <w:r w:rsidRPr="00C01683">
              <w:rPr>
                <w:rFonts w:ascii="Verdana" w:hAnsi="Verdana"/>
                <w:b/>
                <w:sz w:val="20"/>
              </w:rPr>
              <w:t>Addendum 1 to</w:t>
            </w:r>
            <w:r w:rsidRPr="00C01683">
              <w:rPr>
                <w:rFonts w:ascii="Verdana" w:hAnsi="Verdana"/>
                <w:b/>
                <w:sz w:val="20"/>
              </w:rPr>
              <w:br/>
              <w:t>Document 111(Add.25)</w:t>
            </w:r>
            <w:r w:rsidR="00A066F1" w:rsidRPr="00C01683">
              <w:rPr>
                <w:rFonts w:ascii="Verdana" w:hAnsi="Verdana"/>
                <w:b/>
                <w:sz w:val="20"/>
              </w:rPr>
              <w:t>-</w:t>
            </w:r>
            <w:r w:rsidR="005E10C9" w:rsidRPr="00C01683">
              <w:rPr>
                <w:rFonts w:ascii="Verdana" w:hAnsi="Verdana"/>
                <w:b/>
                <w:sz w:val="20"/>
              </w:rPr>
              <w:t>E</w:t>
            </w:r>
          </w:p>
        </w:tc>
      </w:tr>
      <w:tr w:rsidR="00A066F1" w:rsidRPr="00C01683" w14:paraId="5BB2A596" w14:textId="77777777">
        <w:trPr>
          <w:cantSplit/>
          <w:trHeight w:val="23"/>
        </w:trPr>
        <w:tc>
          <w:tcPr>
            <w:tcW w:w="6911" w:type="dxa"/>
            <w:gridSpan w:val="2"/>
            <w:shd w:val="clear" w:color="auto" w:fill="auto"/>
          </w:tcPr>
          <w:p w14:paraId="0F83CA7F" w14:textId="77777777" w:rsidR="00A066F1" w:rsidRPr="00C0168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DFC1B5D" w14:textId="77777777" w:rsidR="00A066F1" w:rsidRPr="00C01683" w:rsidRDefault="00420873" w:rsidP="00A066F1">
            <w:pPr>
              <w:tabs>
                <w:tab w:val="left" w:pos="993"/>
              </w:tabs>
              <w:spacing w:before="0"/>
              <w:rPr>
                <w:rFonts w:ascii="Verdana" w:hAnsi="Verdana"/>
                <w:sz w:val="20"/>
              </w:rPr>
            </w:pPr>
            <w:r w:rsidRPr="00C01683">
              <w:rPr>
                <w:rFonts w:ascii="Verdana" w:hAnsi="Verdana"/>
                <w:b/>
                <w:sz w:val="20"/>
              </w:rPr>
              <w:t>30 October 2023</w:t>
            </w:r>
          </w:p>
        </w:tc>
      </w:tr>
      <w:tr w:rsidR="00A066F1" w:rsidRPr="00C01683" w14:paraId="2E5969F4" w14:textId="77777777">
        <w:trPr>
          <w:cantSplit/>
          <w:trHeight w:val="23"/>
        </w:trPr>
        <w:tc>
          <w:tcPr>
            <w:tcW w:w="6911" w:type="dxa"/>
            <w:gridSpan w:val="2"/>
            <w:shd w:val="clear" w:color="auto" w:fill="auto"/>
          </w:tcPr>
          <w:p w14:paraId="6F874D6C" w14:textId="77777777" w:rsidR="00A066F1" w:rsidRPr="00C0168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4B21196" w14:textId="77777777" w:rsidR="00A066F1" w:rsidRPr="00C01683" w:rsidRDefault="00E55816" w:rsidP="00A066F1">
            <w:pPr>
              <w:tabs>
                <w:tab w:val="left" w:pos="993"/>
              </w:tabs>
              <w:spacing w:before="0"/>
              <w:rPr>
                <w:rFonts w:ascii="Verdana" w:hAnsi="Verdana"/>
                <w:b/>
                <w:sz w:val="20"/>
              </w:rPr>
            </w:pPr>
            <w:r w:rsidRPr="00C01683">
              <w:rPr>
                <w:rFonts w:ascii="Verdana" w:hAnsi="Verdana"/>
                <w:b/>
                <w:sz w:val="20"/>
              </w:rPr>
              <w:t>Original: Chinese</w:t>
            </w:r>
          </w:p>
        </w:tc>
      </w:tr>
      <w:tr w:rsidR="00A066F1" w:rsidRPr="00C01683" w14:paraId="1030CBBA" w14:textId="77777777" w:rsidTr="00025864">
        <w:trPr>
          <w:cantSplit/>
          <w:trHeight w:val="23"/>
        </w:trPr>
        <w:tc>
          <w:tcPr>
            <w:tcW w:w="10031" w:type="dxa"/>
            <w:gridSpan w:val="4"/>
            <w:shd w:val="clear" w:color="auto" w:fill="auto"/>
          </w:tcPr>
          <w:p w14:paraId="374293E7" w14:textId="77777777" w:rsidR="00A066F1" w:rsidRPr="00C01683" w:rsidRDefault="00A066F1" w:rsidP="00A066F1">
            <w:pPr>
              <w:tabs>
                <w:tab w:val="left" w:pos="993"/>
              </w:tabs>
              <w:spacing w:before="0"/>
              <w:rPr>
                <w:rFonts w:ascii="Verdana" w:hAnsi="Verdana"/>
                <w:b/>
                <w:sz w:val="20"/>
              </w:rPr>
            </w:pPr>
          </w:p>
        </w:tc>
      </w:tr>
      <w:tr w:rsidR="00E55816" w:rsidRPr="00C01683" w14:paraId="33899CF7" w14:textId="77777777" w:rsidTr="00025864">
        <w:trPr>
          <w:cantSplit/>
          <w:trHeight w:val="23"/>
        </w:trPr>
        <w:tc>
          <w:tcPr>
            <w:tcW w:w="10031" w:type="dxa"/>
            <w:gridSpan w:val="4"/>
            <w:shd w:val="clear" w:color="auto" w:fill="auto"/>
          </w:tcPr>
          <w:p w14:paraId="3B046AFF" w14:textId="77777777" w:rsidR="00E55816" w:rsidRPr="00C01683" w:rsidRDefault="00884D60" w:rsidP="00E55816">
            <w:pPr>
              <w:pStyle w:val="Source"/>
            </w:pPr>
            <w:r w:rsidRPr="00C01683">
              <w:t>China (People's Republic of)</w:t>
            </w:r>
          </w:p>
        </w:tc>
      </w:tr>
      <w:tr w:rsidR="00E55816" w:rsidRPr="00C01683" w14:paraId="5784895B" w14:textId="77777777" w:rsidTr="00025864">
        <w:trPr>
          <w:cantSplit/>
          <w:trHeight w:val="23"/>
        </w:trPr>
        <w:tc>
          <w:tcPr>
            <w:tcW w:w="10031" w:type="dxa"/>
            <w:gridSpan w:val="4"/>
            <w:shd w:val="clear" w:color="auto" w:fill="auto"/>
          </w:tcPr>
          <w:tbl>
            <w:tblPr>
              <w:tblpPr w:leftFromText="180" w:rightFromText="180" w:horzAnchor="margin" w:tblpY="-675"/>
              <w:tblW w:w="10031" w:type="dxa"/>
              <w:tblLayout w:type="fixed"/>
              <w:tblLook w:val="0000" w:firstRow="0" w:lastRow="0" w:firstColumn="0" w:lastColumn="0" w:noHBand="0" w:noVBand="0"/>
            </w:tblPr>
            <w:tblGrid>
              <w:gridCol w:w="10031"/>
            </w:tblGrid>
            <w:tr w:rsidR="006731C7" w:rsidRPr="00C01683" w14:paraId="4069F1CF" w14:textId="77777777" w:rsidTr="001673AA">
              <w:trPr>
                <w:cantSplit/>
                <w:trHeight w:val="23"/>
              </w:trPr>
              <w:tc>
                <w:tcPr>
                  <w:tcW w:w="10031" w:type="dxa"/>
                  <w:shd w:val="clear" w:color="auto" w:fill="auto"/>
                </w:tcPr>
                <w:p w14:paraId="0D458E1F" w14:textId="77777777" w:rsidR="006731C7" w:rsidRPr="00C01683" w:rsidRDefault="006731C7" w:rsidP="006731C7">
                  <w:pPr>
                    <w:pStyle w:val="Title1"/>
                  </w:pPr>
                  <w:r w:rsidRPr="00C01683">
                    <w:t>Proposals for the work of the Conference</w:t>
                  </w:r>
                </w:p>
              </w:tc>
            </w:tr>
          </w:tbl>
          <w:p w14:paraId="415791E3" w14:textId="55DFFEFA" w:rsidR="00E55816" w:rsidRPr="00C01683" w:rsidRDefault="00E55816" w:rsidP="00E55816">
            <w:pPr>
              <w:pStyle w:val="Title1"/>
            </w:pPr>
          </w:p>
        </w:tc>
      </w:tr>
      <w:tr w:rsidR="00E55816" w:rsidRPr="00C01683" w14:paraId="29C9C1F6" w14:textId="77777777" w:rsidTr="00025864">
        <w:trPr>
          <w:cantSplit/>
          <w:trHeight w:val="23"/>
        </w:trPr>
        <w:tc>
          <w:tcPr>
            <w:tcW w:w="10031" w:type="dxa"/>
            <w:gridSpan w:val="4"/>
            <w:shd w:val="clear" w:color="auto" w:fill="auto"/>
          </w:tcPr>
          <w:p w14:paraId="12964460" w14:textId="77777777" w:rsidR="00E55816" w:rsidRPr="00C01683" w:rsidRDefault="00E55816" w:rsidP="00E55816">
            <w:pPr>
              <w:pStyle w:val="Title2"/>
            </w:pPr>
          </w:p>
        </w:tc>
      </w:tr>
      <w:tr w:rsidR="00A538A6" w:rsidRPr="00C01683" w14:paraId="1C008BC9" w14:textId="77777777" w:rsidTr="00025864">
        <w:trPr>
          <w:cantSplit/>
          <w:trHeight w:val="23"/>
        </w:trPr>
        <w:tc>
          <w:tcPr>
            <w:tcW w:w="10031" w:type="dxa"/>
            <w:gridSpan w:val="4"/>
            <w:shd w:val="clear" w:color="auto" w:fill="auto"/>
          </w:tcPr>
          <w:p w14:paraId="3C22BEDA" w14:textId="77777777" w:rsidR="00A538A6" w:rsidRPr="00C01683" w:rsidRDefault="004B13CB" w:rsidP="004B13CB">
            <w:pPr>
              <w:pStyle w:val="Agendaitem"/>
              <w:rPr>
                <w:lang w:val="en-GB"/>
              </w:rPr>
            </w:pPr>
            <w:r w:rsidRPr="00C01683">
              <w:rPr>
                <w:lang w:val="en-GB"/>
              </w:rPr>
              <w:t>Agenda item 9.2</w:t>
            </w:r>
          </w:p>
        </w:tc>
      </w:tr>
    </w:tbl>
    <w:bookmarkEnd w:id="5"/>
    <w:bookmarkEnd w:id="6"/>
    <w:p w14:paraId="5BFF68A6" w14:textId="77777777" w:rsidR="00187BD9" w:rsidRPr="00C01683" w:rsidRDefault="006731C7" w:rsidP="006965F8">
      <w:r w:rsidRPr="00C01683">
        <w:t>9</w:t>
      </w:r>
      <w:r w:rsidRPr="00C01683">
        <w:tab/>
        <w:t>to consider and approve the Report of the Director of the Radiocommunication Bureau, in accordance with Article 7 of the ITU Convention</w:t>
      </w:r>
      <w:r w:rsidRPr="00C01683">
        <w:rPr>
          <w:bCs/>
        </w:rPr>
        <w:t>;</w:t>
      </w:r>
    </w:p>
    <w:p w14:paraId="705E7ED8" w14:textId="77777777" w:rsidR="00187BD9" w:rsidRPr="00C01683" w:rsidRDefault="006731C7" w:rsidP="00A115F1">
      <w:r w:rsidRPr="00C01683">
        <w:t>9.2</w:t>
      </w:r>
      <w:r w:rsidRPr="00C01683">
        <w:tab/>
        <w:t>on any difficulties or inconsistencies encountered in the application of the Radio Regulations;</w:t>
      </w:r>
      <w:r w:rsidRPr="00C01683">
        <w:rPr>
          <w:rStyle w:val="FootnoteReference"/>
        </w:rPr>
        <w:footnoteReference w:customMarkFollows="1" w:id="1"/>
        <w:t>1</w:t>
      </w:r>
      <w:r w:rsidRPr="00C01683">
        <w:t xml:space="preserve"> and</w:t>
      </w:r>
    </w:p>
    <w:p w14:paraId="61202EEA" w14:textId="77777777" w:rsidR="00012191" w:rsidRPr="00C01683" w:rsidRDefault="00012191" w:rsidP="00012191">
      <w:pPr>
        <w:jc w:val="center"/>
        <w:rPr>
          <w:b/>
          <w:bCs/>
          <w:sz w:val="28"/>
          <w:szCs w:val="28"/>
        </w:rPr>
      </w:pPr>
      <w:bookmarkStart w:id="7" w:name="_Toc418836013"/>
      <w:bookmarkStart w:id="8" w:name="_Toc424137120"/>
      <w:bookmarkStart w:id="9" w:name="_Toc19181723"/>
      <w:bookmarkStart w:id="10" w:name="_Toc142664153"/>
      <w:r w:rsidRPr="00C01683">
        <w:rPr>
          <w:b/>
          <w:bCs/>
          <w:sz w:val="28"/>
          <w:szCs w:val="28"/>
        </w:rPr>
        <w:t xml:space="preserve">Preparation of the </w:t>
      </w:r>
      <w:bookmarkStart w:id="11" w:name="_Hlk148797364"/>
      <w:r w:rsidRPr="00C01683">
        <w:rPr>
          <w:b/>
          <w:bCs/>
          <w:sz w:val="28"/>
          <w:szCs w:val="28"/>
        </w:rPr>
        <w:t>Radio Regulations (2020 edition)</w:t>
      </w:r>
      <w:bookmarkEnd w:id="7"/>
      <w:bookmarkEnd w:id="8"/>
      <w:bookmarkEnd w:id="9"/>
      <w:bookmarkEnd w:id="10"/>
      <w:bookmarkEnd w:id="11"/>
    </w:p>
    <w:p w14:paraId="2AB4A5B8" w14:textId="77777777" w:rsidR="00012191" w:rsidRPr="00C01683" w:rsidRDefault="00012191" w:rsidP="00012191">
      <w:pPr>
        <w:jc w:val="center"/>
        <w:rPr>
          <w:b/>
          <w:bCs/>
        </w:rPr>
      </w:pPr>
      <w:bookmarkStart w:id="12" w:name="_Toc418836016"/>
      <w:bookmarkStart w:id="13" w:name="_Toc424137123"/>
      <w:bookmarkStart w:id="14" w:name="_Toc19181725"/>
      <w:bookmarkStart w:id="15" w:name="_Toc142664155"/>
      <w:r w:rsidRPr="00C01683">
        <w:rPr>
          <w:b/>
          <w:bCs/>
        </w:rPr>
        <w:t>Chapter 2.2</w:t>
      </w:r>
      <w:r w:rsidRPr="00C01683">
        <w:rPr>
          <w:b/>
          <w:bCs/>
        </w:rPr>
        <w:tab/>
        <w:t xml:space="preserve">Errors, </w:t>
      </w:r>
      <w:proofErr w:type="gramStart"/>
      <w:r w:rsidRPr="00C01683">
        <w:rPr>
          <w:b/>
          <w:bCs/>
        </w:rPr>
        <w:t>inconsistencies</w:t>
      </w:r>
      <w:proofErr w:type="gramEnd"/>
      <w:r w:rsidRPr="00C01683">
        <w:rPr>
          <w:b/>
          <w:bCs/>
        </w:rPr>
        <w:t xml:space="preserve"> and out-of-date provisions</w:t>
      </w:r>
      <w:bookmarkEnd w:id="12"/>
      <w:bookmarkEnd w:id="13"/>
      <w:bookmarkEnd w:id="14"/>
      <w:bookmarkEnd w:id="15"/>
    </w:p>
    <w:p w14:paraId="772EEF25" w14:textId="77777777" w:rsidR="00012191" w:rsidRPr="00C01683" w:rsidRDefault="00012191" w:rsidP="00580F60">
      <w:pPr>
        <w:pStyle w:val="Headingb"/>
        <w:rPr>
          <w:lang w:val="en-GB" w:eastAsia="zh-CN"/>
        </w:rPr>
      </w:pPr>
      <w:r w:rsidRPr="00C01683">
        <w:rPr>
          <w:lang w:val="en-GB" w:eastAsia="zh-CN"/>
        </w:rPr>
        <w:t>Introduction</w:t>
      </w:r>
    </w:p>
    <w:p w14:paraId="5E99452B" w14:textId="75F08F0C" w:rsidR="00012191" w:rsidRPr="00C01683" w:rsidRDefault="00012191" w:rsidP="00580F60">
      <w:pPr>
        <w:rPr>
          <w:lang w:eastAsia="zh-CN"/>
        </w:rPr>
      </w:pPr>
      <w:r w:rsidRPr="00C01683">
        <w:rPr>
          <w:lang w:eastAsia="zh-CN"/>
        </w:rPr>
        <w:t xml:space="preserve">Noting the errors, inconsistencies and out-of-date provisions of </w:t>
      </w:r>
      <w:r w:rsidRPr="00C01683">
        <w:rPr>
          <w:i/>
          <w:iCs/>
          <w:lang w:eastAsia="zh-CN"/>
        </w:rPr>
        <w:t>Radio Regulations (2020 edition)</w:t>
      </w:r>
      <w:r w:rsidRPr="00C01683">
        <w:rPr>
          <w:lang w:eastAsia="zh-CN"/>
        </w:rPr>
        <w:t xml:space="preserve"> are collected and analy</w:t>
      </w:r>
      <w:r w:rsidR="00C03894" w:rsidRPr="00C01683">
        <w:rPr>
          <w:lang w:eastAsia="zh-CN"/>
        </w:rPr>
        <w:t>s</w:t>
      </w:r>
      <w:r w:rsidRPr="00C01683">
        <w:rPr>
          <w:lang w:eastAsia="zh-CN"/>
        </w:rPr>
        <w:t xml:space="preserve">ed in </w:t>
      </w:r>
      <w:bookmarkStart w:id="16" w:name="_Hlk142957965"/>
      <w:r w:rsidRPr="00C01683">
        <w:rPr>
          <w:lang w:eastAsia="zh-CN"/>
        </w:rPr>
        <w:t xml:space="preserve">Part 2 of the Report of the Director of </w:t>
      </w:r>
      <w:r w:rsidR="00580F60" w:rsidRPr="00C01683">
        <w:rPr>
          <w:lang w:eastAsia="zh-CN"/>
        </w:rPr>
        <w:t xml:space="preserve">the </w:t>
      </w:r>
      <w:r w:rsidRPr="00C01683">
        <w:rPr>
          <w:lang w:eastAsia="zh-CN"/>
        </w:rPr>
        <w:t>Radiocommunication Bureau (</w:t>
      </w:r>
      <w:hyperlink r:id="rId14" w:history="1">
        <w:r w:rsidR="00580F60" w:rsidRPr="00C01683">
          <w:rPr>
            <w:rStyle w:val="Hyperlink"/>
            <w:lang w:eastAsia="zh-CN"/>
          </w:rPr>
          <w:t>Doc. 4 Add.2</w:t>
        </w:r>
      </w:hyperlink>
      <w:r w:rsidRPr="00C01683">
        <w:rPr>
          <w:lang w:eastAsia="zh-CN"/>
        </w:rPr>
        <w:t>), our views and proposals with respect to a number of items are summarized in this document</w:t>
      </w:r>
      <w:r w:rsidR="00580F60" w:rsidRPr="00C01683">
        <w:rPr>
          <w:lang w:eastAsia="zh-CN"/>
        </w:rPr>
        <w:t>,</w:t>
      </w:r>
      <w:r w:rsidRPr="00C01683">
        <w:rPr>
          <w:lang w:eastAsia="zh-CN"/>
        </w:rPr>
        <w:t xml:space="preserve"> focusing on the inconsistencies described</w:t>
      </w:r>
      <w:r w:rsidRPr="00C01683">
        <w:t xml:space="preserve"> in chapter 2.2.2</w:t>
      </w:r>
      <w:r w:rsidR="00C03894" w:rsidRPr="00C01683">
        <w:t xml:space="preserve"> </w:t>
      </w:r>
      <w:r w:rsidRPr="00C01683">
        <w:t>(</w:t>
      </w:r>
      <w:r w:rsidRPr="00C01683">
        <w:rPr>
          <w:lang w:eastAsia="zh-CN"/>
        </w:rPr>
        <w:t xml:space="preserve">inconsistencies and provisions </w:t>
      </w:r>
      <w:r w:rsidR="007C1662" w:rsidRPr="00C01683">
        <w:rPr>
          <w:lang w:eastAsia="zh-CN"/>
        </w:rPr>
        <w:t>that are lacking clarity</w:t>
      </w:r>
      <w:r w:rsidRPr="00C01683">
        <w:rPr>
          <w:lang w:eastAsia="zh-CN"/>
        </w:rPr>
        <w:t>).</w:t>
      </w:r>
    </w:p>
    <w:bookmarkEnd w:id="16"/>
    <w:p w14:paraId="38FF5DA9" w14:textId="77777777" w:rsidR="00012191" w:rsidRPr="00C01683" w:rsidRDefault="00012191" w:rsidP="00012191">
      <w:pPr>
        <w:jc w:val="both"/>
      </w:pPr>
    </w:p>
    <w:p w14:paraId="37B8EA78" w14:textId="77777777" w:rsidR="00012191" w:rsidRPr="00C01683" w:rsidRDefault="00012191" w:rsidP="00012191">
      <w:pPr>
        <w:jc w:val="both"/>
        <w:rPr>
          <w:b/>
          <w:bCs/>
        </w:rPr>
      </w:pPr>
      <w:r w:rsidRPr="00C01683">
        <w:rPr>
          <w:b/>
          <w:bCs/>
        </w:rPr>
        <w:t>Proposals</w:t>
      </w:r>
    </w:p>
    <w:p w14:paraId="299E27F5" w14:textId="06A54468" w:rsidR="00D40AE5" w:rsidRPr="00C01683" w:rsidRDefault="00012191" w:rsidP="00C03894">
      <w:pPr>
        <w:spacing w:after="120"/>
        <w:jc w:val="both"/>
        <w:rPr>
          <w:lang w:eastAsia="zh-CN"/>
        </w:rPr>
      </w:pPr>
      <w:r w:rsidRPr="00C01683">
        <w:rPr>
          <w:lang w:eastAsia="zh-CN"/>
        </w:rPr>
        <w:t>This administration</w:t>
      </w:r>
      <w:r w:rsidRPr="00C01683">
        <w:t xml:space="preserve"> submits its views and propos</w:t>
      </w:r>
      <w:r w:rsidR="00C03894" w:rsidRPr="00C01683">
        <w:t>al</w:t>
      </w:r>
      <w:r w:rsidRPr="00C01683">
        <w:t>s</w:t>
      </w:r>
      <w:r w:rsidRPr="00C01683">
        <w:rPr>
          <w:lang w:eastAsia="zh-CN"/>
        </w:rPr>
        <w:t xml:space="preserve"> with respect to Nos.</w:t>
      </w:r>
      <w:r w:rsidR="00580F60" w:rsidRPr="00C01683">
        <w:rPr>
          <w:b/>
          <w:bCs/>
          <w:lang w:eastAsia="zh-CN"/>
        </w:rPr>
        <w:t> </w:t>
      </w:r>
      <w:r w:rsidRPr="00C01683">
        <w:rPr>
          <w:b/>
          <w:bCs/>
          <w:lang w:eastAsia="zh-CN"/>
        </w:rPr>
        <w:t>5.369</w:t>
      </w:r>
      <w:r w:rsidR="00C03894" w:rsidRPr="00C01683">
        <w:rPr>
          <w:lang w:eastAsia="zh-CN"/>
        </w:rPr>
        <w:t xml:space="preserve">, </w:t>
      </w:r>
      <w:r w:rsidRPr="00C01683">
        <w:rPr>
          <w:b/>
          <w:bCs/>
          <w:lang w:eastAsia="zh-CN"/>
        </w:rPr>
        <w:t>5.429</w:t>
      </w:r>
      <w:r w:rsidR="00C03894" w:rsidRPr="00C01683">
        <w:rPr>
          <w:lang w:eastAsia="zh-CN"/>
        </w:rPr>
        <w:t xml:space="preserve"> and</w:t>
      </w:r>
      <w:r w:rsidR="00C03894" w:rsidRPr="00C01683">
        <w:rPr>
          <w:b/>
          <w:bCs/>
          <w:lang w:eastAsia="zh-CN"/>
        </w:rPr>
        <w:t xml:space="preserve"> </w:t>
      </w:r>
      <w:r w:rsidRPr="00C01683">
        <w:rPr>
          <w:b/>
          <w:bCs/>
          <w:lang w:eastAsia="zh-CN"/>
        </w:rPr>
        <w:t>5.429</w:t>
      </w:r>
      <w:r w:rsidR="00963121" w:rsidRPr="00C01683">
        <w:rPr>
          <w:b/>
          <w:bCs/>
          <w:lang w:eastAsia="zh-CN"/>
        </w:rPr>
        <w:t>F</w:t>
      </w:r>
      <w:r w:rsidRPr="00C01683">
        <w:rPr>
          <w:lang w:eastAsia="zh-CN"/>
        </w:rPr>
        <w:t xml:space="preserve"> for further discussion during the Conference.</w:t>
      </w:r>
    </w:p>
    <w:p w14:paraId="349ED9E3" w14:textId="77777777" w:rsidR="00187BD9" w:rsidRPr="00C01683" w:rsidRDefault="00187BD9" w:rsidP="00187BD9">
      <w:pPr>
        <w:tabs>
          <w:tab w:val="clear" w:pos="1134"/>
          <w:tab w:val="clear" w:pos="1871"/>
          <w:tab w:val="clear" w:pos="2268"/>
        </w:tabs>
        <w:overflowPunct/>
        <w:autoSpaceDE/>
        <w:autoSpaceDN/>
        <w:adjustRightInd/>
        <w:spacing w:before="0"/>
        <w:textAlignment w:val="auto"/>
        <w:rPr>
          <w:lang w:eastAsia="zh-CN"/>
        </w:rPr>
      </w:pPr>
      <w:r w:rsidRPr="00C01683">
        <w:rPr>
          <w:lang w:eastAsia="zh-CN"/>
        </w:rPr>
        <w:br w:type="page"/>
      </w:r>
    </w:p>
    <w:p w14:paraId="6BE42152" w14:textId="77777777" w:rsidR="0092366C" w:rsidRPr="00C01683" w:rsidRDefault="006731C7">
      <w:pPr>
        <w:pStyle w:val="Proposal"/>
      </w:pPr>
      <w:r w:rsidRPr="00C01683">
        <w:lastRenderedPageBreak/>
        <w:tab/>
        <w:t>CHN/111A25A1/1</w:t>
      </w:r>
    </w:p>
    <w:p w14:paraId="4ED26D61" w14:textId="65CC8419" w:rsidR="00D40AE5" w:rsidRPr="00C01683" w:rsidRDefault="00D40AE5" w:rsidP="00D40AE5">
      <w:pPr>
        <w:pStyle w:val="Heading3"/>
        <w:rPr>
          <w:lang w:eastAsia="zh-CN"/>
        </w:rPr>
      </w:pPr>
      <w:bookmarkStart w:id="17" w:name="_Toc142664157"/>
      <w:r w:rsidRPr="00C01683">
        <w:rPr>
          <w:lang w:eastAsia="zh-CN"/>
        </w:rPr>
        <w:t>2.2.2</w:t>
      </w:r>
      <w:r w:rsidRPr="00C01683">
        <w:rPr>
          <w:lang w:eastAsia="zh-CN"/>
        </w:rPr>
        <w:tab/>
      </w:r>
      <w:bookmarkEnd w:id="17"/>
      <w:r w:rsidR="00012191" w:rsidRPr="00C01683">
        <w:t xml:space="preserve">Inconsistencies, provisions that are lacking </w:t>
      </w:r>
      <w:proofErr w:type="gramStart"/>
      <w:r w:rsidR="00012191" w:rsidRPr="00C01683">
        <w:t>clarity</w:t>
      </w:r>
      <w:proofErr w:type="gramEnd"/>
    </w:p>
    <w:p w14:paraId="5B1AF10C" w14:textId="77777777" w:rsidR="00012191" w:rsidRPr="00C01683" w:rsidRDefault="00012191" w:rsidP="00012191">
      <w:pPr>
        <w:pStyle w:val="TableNo"/>
        <w:rPr>
          <w:lang w:eastAsia="zh-CN"/>
        </w:rPr>
      </w:pPr>
      <w:bookmarkStart w:id="18" w:name="_Hlk148797775"/>
      <w:r w:rsidRPr="00C01683">
        <w:rPr>
          <w:lang w:eastAsia="zh-CN"/>
        </w:rPr>
        <w:t>Table 2</w:t>
      </w:r>
    </w:p>
    <w:p w14:paraId="339E2F27" w14:textId="77777777" w:rsidR="00012191" w:rsidRPr="00C01683" w:rsidRDefault="00012191" w:rsidP="00012191">
      <w:pPr>
        <w:pStyle w:val="Tabletitle"/>
        <w:rPr>
          <w:lang w:eastAsia="zh-CN"/>
        </w:rPr>
      </w:pPr>
      <w:r w:rsidRPr="00C01683">
        <w:t xml:space="preserve">Inconsistencies in the RR, provisions that are lacking </w:t>
      </w:r>
      <w:proofErr w:type="gramStart"/>
      <w:r w:rsidRPr="00C01683">
        <w:t>clarity</w:t>
      </w:r>
      <w:proofErr w:type="gramEnd"/>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977"/>
        <w:gridCol w:w="1317"/>
        <w:gridCol w:w="3600"/>
        <w:gridCol w:w="3780"/>
      </w:tblGrid>
      <w:tr w:rsidR="00012191" w:rsidRPr="00C01683" w14:paraId="06FDEFE4" w14:textId="77777777" w:rsidTr="00580F60">
        <w:trPr>
          <w:cantSplit/>
          <w:jc w:val="center"/>
        </w:trPr>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83C42F" w14:textId="77777777" w:rsidR="00012191" w:rsidRPr="00C01683" w:rsidRDefault="00012191" w:rsidP="00580F60">
            <w:pPr>
              <w:spacing w:before="60" w:after="40"/>
              <w:jc w:val="center"/>
              <w:rPr>
                <w:b/>
                <w:sz w:val="18"/>
                <w:szCs w:val="18"/>
                <w:lang w:eastAsia="zh-CN"/>
              </w:rPr>
            </w:pPr>
            <w:r w:rsidRPr="00C01683">
              <w:rPr>
                <w:b/>
                <w:sz w:val="18"/>
                <w:szCs w:val="18"/>
                <w:lang w:eastAsia="zh-CN"/>
              </w:rPr>
              <w:t>#</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80A10D3" w14:textId="77777777" w:rsidR="00012191" w:rsidRPr="00C01683" w:rsidRDefault="00012191" w:rsidP="00580F60">
            <w:pPr>
              <w:spacing w:before="60" w:after="40"/>
              <w:jc w:val="center"/>
              <w:rPr>
                <w:rFonts w:asciiTheme="majorBidi" w:hAnsiTheme="majorBidi" w:cstheme="majorBidi"/>
                <w:b/>
                <w:sz w:val="18"/>
                <w:szCs w:val="18"/>
                <w:lang w:eastAsia="zh-CN"/>
              </w:rPr>
            </w:pPr>
            <w:r w:rsidRPr="00C01683">
              <w:rPr>
                <w:rFonts w:asciiTheme="majorBidi" w:hAnsiTheme="majorBidi" w:cstheme="majorBidi"/>
                <w:b/>
                <w:sz w:val="18"/>
                <w:szCs w:val="18"/>
                <w:lang w:eastAsia="zh-CN"/>
              </w:rPr>
              <w:t>Language</w:t>
            </w:r>
          </w:p>
        </w:tc>
        <w:tc>
          <w:tcPr>
            <w:tcW w:w="1317" w:type="dxa"/>
            <w:tcBorders>
              <w:top w:val="single" w:sz="4" w:space="0" w:color="auto"/>
              <w:left w:val="single" w:sz="4" w:space="0" w:color="auto"/>
              <w:bottom w:val="single" w:sz="4" w:space="0" w:color="auto"/>
              <w:right w:val="single" w:sz="4" w:space="0" w:color="auto"/>
            </w:tcBorders>
          </w:tcPr>
          <w:p w14:paraId="553428A5" w14:textId="151D05A8" w:rsidR="00012191" w:rsidRPr="00C01683" w:rsidRDefault="00012191" w:rsidP="00580F60">
            <w:pPr>
              <w:spacing w:before="60" w:after="40"/>
              <w:jc w:val="center"/>
              <w:rPr>
                <w:b/>
                <w:sz w:val="18"/>
                <w:szCs w:val="18"/>
                <w:lang w:eastAsia="zh-CN"/>
              </w:rPr>
            </w:pPr>
            <w:r w:rsidRPr="00C01683">
              <w:rPr>
                <w:b/>
                <w:sz w:val="18"/>
                <w:szCs w:val="18"/>
                <w:lang w:eastAsia="zh-CN"/>
              </w:rPr>
              <w:t>Page</w:t>
            </w:r>
          </w:p>
        </w:tc>
        <w:tc>
          <w:tcPr>
            <w:tcW w:w="3600" w:type="dxa"/>
            <w:tcBorders>
              <w:top w:val="single" w:sz="4" w:space="0" w:color="auto"/>
              <w:left w:val="single" w:sz="4" w:space="0" w:color="auto"/>
              <w:bottom w:val="single" w:sz="4" w:space="0" w:color="auto"/>
              <w:right w:val="single" w:sz="4" w:space="0" w:color="auto"/>
            </w:tcBorders>
            <w:vAlign w:val="center"/>
          </w:tcPr>
          <w:p w14:paraId="4D083269" w14:textId="77777777" w:rsidR="00012191" w:rsidRPr="00C01683" w:rsidRDefault="00012191" w:rsidP="00580F60">
            <w:pPr>
              <w:tabs>
                <w:tab w:val="clear" w:pos="1134"/>
                <w:tab w:val="clear" w:pos="1871"/>
                <w:tab w:val="clear" w:pos="2268"/>
              </w:tabs>
              <w:overflowPunct/>
              <w:spacing w:before="0"/>
              <w:jc w:val="center"/>
              <w:textAlignment w:val="auto"/>
              <w:rPr>
                <w:b/>
                <w:sz w:val="18"/>
                <w:szCs w:val="18"/>
              </w:rPr>
            </w:pPr>
            <w:r w:rsidRPr="00C01683">
              <w:rPr>
                <w:b/>
                <w:sz w:val="18"/>
                <w:szCs w:val="18"/>
              </w:rPr>
              <w:t>Nature of inconsistency</w:t>
            </w:r>
          </w:p>
        </w:tc>
        <w:tc>
          <w:tcPr>
            <w:tcW w:w="3780" w:type="dxa"/>
            <w:tcBorders>
              <w:top w:val="single" w:sz="4" w:space="0" w:color="auto"/>
              <w:left w:val="single" w:sz="4" w:space="0" w:color="auto"/>
              <w:bottom w:val="single" w:sz="4" w:space="0" w:color="auto"/>
              <w:right w:val="single" w:sz="4" w:space="0" w:color="auto"/>
            </w:tcBorders>
            <w:vAlign w:val="center"/>
          </w:tcPr>
          <w:p w14:paraId="4E82B245" w14:textId="77777777" w:rsidR="00012191" w:rsidRPr="00C01683" w:rsidRDefault="00012191" w:rsidP="00580F60">
            <w:pPr>
              <w:overflowPunct/>
              <w:spacing w:before="0"/>
              <w:jc w:val="center"/>
              <w:textAlignment w:val="auto"/>
              <w:rPr>
                <w:b/>
                <w:sz w:val="18"/>
                <w:szCs w:val="18"/>
                <w:lang w:eastAsia="zh-CN"/>
              </w:rPr>
            </w:pPr>
            <w:r w:rsidRPr="00C01683">
              <w:rPr>
                <w:b/>
                <w:sz w:val="18"/>
                <w:szCs w:val="18"/>
                <w:lang w:eastAsia="zh-CN"/>
              </w:rPr>
              <w:t>Possible corrective action</w:t>
            </w:r>
          </w:p>
        </w:tc>
      </w:tr>
      <w:tr w:rsidR="00012191" w:rsidRPr="00C01683" w14:paraId="55B41426" w14:textId="77777777" w:rsidTr="00A95A6D">
        <w:trPr>
          <w:cantSplit/>
          <w:jc w:val="center"/>
        </w:trPr>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8A3BE" w14:textId="77777777" w:rsidR="00012191" w:rsidRPr="00C01683" w:rsidRDefault="00012191" w:rsidP="00765D5C">
            <w:pPr>
              <w:spacing w:before="60" w:after="40"/>
              <w:jc w:val="center"/>
              <w:rPr>
                <w:b/>
                <w:bCs/>
                <w:sz w:val="18"/>
                <w:szCs w:val="18"/>
                <w:lang w:eastAsia="zh-CN"/>
              </w:rPr>
            </w:pP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5DE866B" w14:textId="77777777" w:rsidR="00012191" w:rsidRPr="00C01683" w:rsidRDefault="00012191" w:rsidP="00765D5C">
            <w:pPr>
              <w:spacing w:before="60" w:after="40"/>
              <w:jc w:val="center"/>
              <w:rPr>
                <w:rFonts w:asciiTheme="majorBidi" w:hAnsiTheme="majorBidi" w:cstheme="majorBidi"/>
                <w:b/>
                <w:bCs/>
                <w:sz w:val="18"/>
                <w:szCs w:val="18"/>
                <w:lang w:eastAsia="zh-CN"/>
              </w:rPr>
            </w:pPr>
          </w:p>
        </w:tc>
        <w:tc>
          <w:tcPr>
            <w:tcW w:w="1317" w:type="dxa"/>
            <w:tcBorders>
              <w:top w:val="single" w:sz="4" w:space="0" w:color="auto"/>
              <w:left w:val="single" w:sz="4" w:space="0" w:color="auto"/>
              <w:bottom w:val="single" w:sz="4" w:space="0" w:color="auto"/>
              <w:right w:val="single" w:sz="4" w:space="0" w:color="auto"/>
            </w:tcBorders>
          </w:tcPr>
          <w:p w14:paraId="34D77AE8" w14:textId="77777777" w:rsidR="00012191" w:rsidRPr="00C01683" w:rsidRDefault="00012191" w:rsidP="00765D5C">
            <w:pPr>
              <w:spacing w:before="60" w:after="40"/>
              <w:jc w:val="center"/>
              <w:rPr>
                <w:b/>
                <w:bCs/>
                <w:sz w:val="18"/>
                <w:szCs w:val="18"/>
                <w:lang w:eastAsia="zh-CN"/>
              </w:rPr>
            </w:pPr>
            <w:r w:rsidRPr="00C01683">
              <w:rPr>
                <w:b/>
                <w:bCs/>
                <w:sz w:val="18"/>
                <w:szCs w:val="18"/>
                <w:lang w:eastAsia="zh-CN"/>
              </w:rPr>
              <w:t>Volume, page</w:t>
            </w:r>
          </w:p>
        </w:tc>
        <w:tc>
          <w:tcPr>
            <w:tcW w:w="3600" w:type="dxa"/>
            <w:tcBorders>
              <w:top w:val="single" w:sz="4" w:space="0" w:color="auto"/>
              <w:left w:val="single" w:sz="4" w:space="0" w:color="auto"/>
              <w:bottom w:val="single" w:sz="4" w:space="0" w:color="auto"/>
              <w:right w:val="single" w:sz="4" w:space="0" w:color="auto"/>
            </w:tcBorders>
          </w:tcPr>
          <w:p w14:paraId="4992ED6C" w14:textId="77777777" w:rsidR="00012191" w:rsidRPr="00C01683" w:rsidRDefault="00012191" w:rsidP="00765D5C">
            <w:pPr>
              <w:spacing w:before="60" w:after="40"/>
              <w:jc w:val="center"/>
              <w:rPr>
                <w:b/>
                <w:bCs/>
                <w:sz w:val="18"/>
                <w:szCs w:val="18"/>
              </w:rPr>
            </w:pPr>
            <w:r w:rsidRPr="00C01683">
              <w:rPr>
                <w:b/>
                <w:bCs/>
                <w:sz w:val="18"/>
                <w:szCs w:val="18"/>
                <w:lang w:eastAsia="zh-CN"/>
              </w:rPr>
              <w:t>ARTICLES</w:t>
            </w:r>
            <w:r w:rsidRPr="00C01683">
              <w:rPr>
                <w:b/>
                <w:bCs/>
                <w:sz w:val="18"/>
                <w:szCs w:val="18"/>
              </w:rPr>
              <w:t>/APPENDIX</w:t>
            </w:r>
          </w:p>
        </w:tc>
        <w:tc>
          <w:tcPr>
            <w:tcW w:w="3780" w:type="dxa"/>
            <w:tcBorders>
              <w:top w:val="single" w:sz="4" w:space="0" w:color="auto"/>
              <w:left w:val="single" w:sz="4" w:space="0" w:color="auto"/>
              <w:bottom w:val="single" w:sz="4" w:space="0" w:color="auto"/>
              <w:right w:val="single" w:sz="4" w:space="0" w:color="auto"/>
            </w:tcBorders>
          </w:tcPr>
          <w:p w14:paraId="24AB2B97" w14:textId="77777777" w:rsidR="00012191" w:rsidRPr="00C01683" w:rsidRDefault="00012191" w:rsidP="00765D5C">
            <w:pPr>
              <w:spacing w:before="60" w:after="40"/>
              <w:jc w:val="center"/>
              <w:rPr>
                <w:b/>
                <w:bCs/>
                <w:sz w:val="18"/>
                <w:szCs w:val="18"/>
                <w:lang w:eastAsia="zh-CN"/>
              </w:rPr>
            </w:pPr>
            <w:r w:rsidRPr="00C01683">
              <w:rPr>
                <w:b/>
                <w:bCs/>
                <w:sz w:val="18"/>
                <w:szCs w:val="18"/>
                <w:lang w:eastAsia="zh-CN"/>
              </w:rPr>
              <w:t>ARTICLES/APPENDIX</w:t>
            </w:r>
          </w:p>
        </w:tc>
      </w:tr>
      <w:tr w:rsidR="00012191" w:rsidRPr="00C01683" w14:paraId="0010EF68" w14:textId="77777777" w:rsidTr="00A95A6D">
        <w:trPr>
          <w:cantSplit/>
          <w:jc w:val="center"/>
        </w:trPr>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75DCE7" w14:textId="77777777" w:rsidR="00012191" w:rsidRPr="00C01683" w:rsidRDefault="00012191" w:rsidP="00765D5C">
            <w:pPr>
              <w:spacing w:before="60" w:after="40"/>
              <w:jc w:val="center"/>
              <w:rPr>
                <w:b/>
                <w:bCs/>
                <w:sz w:val="18"/>
                <w:szCs w:val="18"/>
                <w:lang w:eastAsia="zh-CN"/>
              </w:rPr>
            </w:pP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887B9" w14:textId="77777777" w:rsidR="00012191" w:rsidRPr="00C01683" w:rsidRDefault="00012191" w:rsidP="00765D5C">
            <w:pPr>
              <w:spacing w:before="60" w:after="40"/>
              <w:jc w:val="center"/>
              <w:rPr>
                <w:rFonts w:asciiTheme="majorBidi" w:hAnsiTheme="majorBidi" w:cstheme="majorBidi"/>
                <w:b/>
                <w:bCs/>
                <w:sz w:val="18"/>
                <w:szCs w:val="18"/>
                <w:lang w:eastAsia="zh-CN"/>
              </w:rPr>
            </w:pPr>
          </w:p>
        </w:tc>
        <w:tc>
          <w:tcPr>
            <w:tcW w:w="1317" w:type="dxa"/>
            <w:tcBorders>
              <w:top w:val="single" w:sz="4" w:space="0" w:color="auto"/>
              <w:left w:val="single" w:sz="4" w:space="0" w:color="auto"/>
              <w:bottom w:val="single" w:sz="4" w:space="0" w:color="auto"/>
              <w:right w:val="single" w:sz="4" w:space="0" w:color="auto"/>
            </w:tcBorders>
          </w:tcPr>
          <w:p w14:paraId="486B9D26" w14:textId="77777777" w:rsidR="00012191" w:rsidRPr="00C01683" w:rsidRDefault="00012191" w:rsidP="00765D5C">
            <w:pPr>
              <w:spacing w:before="60" w:after="40"/>
              <w:jc w:val="center"/>
              <w:rPr>
                <w:b/>
                <w:bCs/>
                <w:sz w:val="18"/>
                <w:szCs w:val="18"/>
                <w:lang w:eastAsia="zh-CN"/>
              </w:rPr>
            </w:pPr>
            <w:r w:rsidRPr="00C01683">
              <w:rPr>
                <w:b/>
                <w:bCs/>
                <w:sz w:val="18"/>
                <w:szCs w:val="18"/>
                <w:lang w:eastAsia="zh-CN"/>
              </w:rPr>
              <w:t>Volume 1</w:t>
            </w:r>
          </w:p>
        </w:tc>
        <w:tc>
          <w:tcPr>
            <w:tcW w:w="3600" w:type="dxa"/>
            <w:tcBorders>
              <w:top w:val="single" w:sz="4" w:space="0" w:color="auto"/>
              <w:left w:val="single" w:sz="4" w:space="0" w:color="auto"/>
              <w:bottom w:val="single" w:sz="4" w:space="0" w:color="auto"/>
              <w:right w:val="single" w:sz="4" w:space="0" w:color="auto"/>
            </w:tcBorders>
          </w:tcPr>
          <w:p w14:paraId="63788595" w14:textId="77777777" w:rsidR="00012191" w:rsidRPr="00C01683" w:rsidRDefault="00012191" w:rsidP="00765D5C">
            <w:pPr>
              <w:spacing w:before="60" w:after="40"/>
              <w:jc w:val="center"/>
              <w:rPr>
                <w:b/>
                <w:bCs/>
                <w:sz w:val="18"/>
                <w:szCs w:val="18"/>
              </w:rPr>
            </w:pPr>
            <w:r w:rsidRPr="00C01683">
              <w:rPr>
                <w:b/>
                <w:bCs/>
                <w:sz w:val="18"/>
                <w:szCs w:val="18"/>
                <w:lang w:eastAsia="zh-CN"/>
              </w:rPr>
              <w:t>Article</w:t>
            </w:r>
            <w:r w:rsidRPr="00C01683">
              <w:rPr>
                <w:b/>
                <w:bCs/>
                <w:sz w:val="18"/>
                <w:szCs w:val="18"/>
              </w:rPr>
              <w:t xml:space="preserve"> 5</w:t>
            </w:r>
          </w:p>
        </w:tc>
        <w:tc>
          <w:tcPr>
            <w:tcW w:w="3780" w:type="dxa"/>
            <w:tcBorders>
              <w:top w:val="single" w:sz="4" w:space="0" w:color="auto"/>
              <w:left w:val="single" w:sz="4" w:space="0" w:color="auto"/>
              <w:bottom w:val="single" w:sz="4" w:space="0" w:color="auto"/>
              <w:right w:val="single" w:sz="4" w:space="0" w:color="auto"/>
            </w:tcBorders>
          </w:tcPr>
          <w:p w14:paraId="21A9899C" w14:textId="77777777" w:rsidR="00012191" w:rsidRPr="00C01683" w:rsidRDefault="00012191" w:rsidP="00765D5C">
            <w:pPr>
              <w:spacing w:before="60" w:after="40"/>
              <w:jc w:val="center"/>
              <w:rPr>
                <w:b/>
                <w:bCs/>
                <w:sz w:val="18"/>
                <w:szCs w:val="18"/>
                <w:lang w:eastAsia="zh-CN"/>
              </w:rPr>
            </w:pPr>
            <w:r w:rsidRPr="00C01683">
              <w:rPr>
                <w:b/>
                <w:bCs/>
                <w:sz w:val="18"/>
                <w:szCs w:val="18"/>
                <w:lang w:eastAsia="zh-CN"/>
              </w:rPr>
              <w:t>Article 5</w:t>
            </w:r>
          </w:p>
        </w:tc>
      </w:tr>
      <w:tr w:rsidR="00012191" w:rsidRPr="00C01683" w14:paraId="19F90FD0" w14:textId="77777777" w:rsidTr="00A95A6D">
        <w:trPr>
          <w:cantSplit/>
          <w:jc w:val="center"/>
        </w:trPr>
        <w:tc>
          <w:tcPr>
            <w:tcW w:w="401" w:type="dxa"/>
            <w:shd w:val="clear" w:color="auto" w:fill="FFFFFF" w:themeFill="background1"/>
          </w:tcPr>
          <w:p w14:paraId="24BD1212" w14:textId="77777777" w:rsidR="00012191" w:rsidRPr="00C01683" w:rsidRDefault="00012191" w:rsidP="00A95A6D">
            <w:pPr>
              <w:spacing w:before="60" w:after="40"/>
              <w:jc w:val="center"/>
              <w:rPr>
                <w:bCs/>
                <w:sz w:val="18"/>
                <w:szCs w:val="18"/>
                <w:lang w:eastAsia="zh-CN"/>
              </w:rPr>
            </w:pPr>
            <w:r w:rsidRPr="00C01683">
              <w:rPr>
                <w:bCs/>
                <w:sz w:val="18"/>
                <w:szCs w:val="18"/>
                <w:lang w:eastAsia="zh-CN"/>
              </w:rPr>
              <w:t>25</w:t>
            </w:r>
          </w:p>
        </w:tc>
        <w:tc>
          <w:tcPr>
            <w:tcW w:w="977" w:type="dxa"/>
            <w:shd w:val="clear" w:color="auto" w:fill="FFFFFF" w:themeFill="background1"/>
          </w:tcPr>
          <w:p w14:paraId="046AF33E" w14:textId="77777777" w:rsidR="00012191" w:rsidRPr="00C01683" w:rsidRDefault="00012191" w:rsidP="00A95A6D">
            <w:pPr>
              <w:spacing w:before="60" w:after="40"/>
              <w:jc w:val="center"/>
              <w:rPr>
                <w:rFonts w:asciiTheme="majorBidi" w:hAnsiTheme="majorBidi" w:cstheme="majorBidi"/>
                <w:sz w:val="18"/>
                <w:szCs w:val="18"/>
                <w:lang w:eastAsia="zh-CN"/>
              </w:rPr>
            </w:pPr>
            <w:r w:rsidRPr="00C01683">
              <w:rPr>
                <w:rFonts w:asciiTheme="majorBidi" w:hAnsiTheme="majorBidi" w:cstheme="majorBidi"/>
                <w:sz w:val="18"/>
                <w:szCs w:val="18"/>
                <w:lang w:eastAsia="zh-CN"/>
              </w:rPr>
              <w:t>All</w:t>
            </w:r>
          </w:p>
        </w:tc>
        <w:tc>
          <w:tcPr>
            <w:tcW w:w="1317" w:type="dxa"/>
          </w:tcPr>
          <w:p w14:paraId="16024334" w14:textId="77777777" w:rsidR="00012191" w:rsidRPr="00C01683" w:rsidRDefault="00012191" w:rsidP="00765D5C">
            <w:pPr>
              <w:spacing w:before="60" w:after="40"/>
              <w:jc w:val="center"/>
              <w:rPr>
                <w:rFonts w:asciiTheme="majorBidi" w:hAnsiTheme="majorBidi" w:cstheme="majorBidi"/>
                <w:sz w:val="18"/>
                <w:szCs w:val="18"/>
                <w:lang w:eastAsia="zh-CN"/>
              </w:rPr>
            </w:pPr>
            <w:r w:rsidRPr="00C01683">
              <w:rPr>
                <w:sz w:val="18"/>
                <w:szCs w:val="18"/>
                <w:lang w:eastAsia="zh-CN"/>
              </w:rPr>
              <w:t>106 (RR5-72)</w:t>
            </w:r>
          </w:p>
        </w:tc>
        <w:tc>
          <w:tcPr>
            <w:tcW w:w="3600" w:type="dxa"/>
          </w:tcPr>
          <w:p w14:paraId="6FD8E5C6" w14:textId="77777777" w:rsidR="00012191" w:rsidRPr="00C01683" w:rsidRDefault="00012191" w:rsidP="00765D5C">
            <w:pPr>
              <w:spacing w:before="60" w:after="40"/>
              <w:rPr>
                <w:rFonts w:asciiTheme="majorBidi" w:hAnsiTheme="majorBidi" w:cstheme="majorBidi"/>
                <w:sz w:val="18"/>
                <w:szCs w:val="18"/>
              </w:rPr>
            </w:pPr>
            <w:r w:rsidRPr="00C01683">
              <w:rPr>
                <w:sz w:val="18"/>
                <w:szCs w:val="18"/>
                <w:lang w:eastAsia="zh-CN"/>
              </w:rPr>
              <w:t>Footnote</w:t>
            </w:r>
            <w:r w:rsidRPr="00C01683">
              <w:rPr>
                <w:sz w:val="18"/>
                <w:szCs w:val="18"/>
              </w:rPr>
              <w:t xml:space="preserve"> No. </w:t>
            </w:r>
            <w:r w:rsidRPr="00C01683">
              <w:rPr>
                <w:b/>
                <w:bCs/>
                <w:sz w:val="18"/>
                <w:szCs w:val="18"/>
              </w:rPr>
              <w:t>5.369</w:t>
            </w:r>
            <w:r w:rsidRPr="00C01683">
              <w:rPr>
                <w:sz w:val="18"/>
                <w:szCs w:val="18"/>
              </w:rPr>
              <w:t xml:space="preserve"> is included in the last rows of the Table for the bands 1 610-1 610.6 MHz, 1 610.6-1 613.8 MHz, 1 613.8-1 621.35 </w:t>
            </w:r>
            <w:proofErr w:type="gramStart"/>
            <w:r w:rsidRPr="00C01683">
              <w:rPr>
                <w:sz w:val="18"/>
                <w:szCs w:val="18"/>
              </w:rPr>
              <w:t>MHz</w:t>
            </w:r>
            <w:proofErr w:type="gramEnd"/>
            <w:r w:rsidRPr="00C01683">
              <w:rPr>
                <w:sz w:val="18"/>
                <w:szCs w:val="18"/>
              </w:rPr>
              <w:t xml:space="preserve"> and 1 621.35-1 626.5 MHz in Region 3, meaning that it applies to more than one service in those parts of the table. In fact, it applies only to the radiodetermination-satellite service (Earth-to-space)</w:t>
            </w:r>
            <w:r w:rsidRPr="00C01683">
              <w:rPr>
                <w:sz w:val="18"/>
                <w:szCs w:val="18"/>
                <w:lang w:eastAsia="zh-CN"/>
              </w:rPr>
              <w:t xml:space="preserve">. </w:t>
            </w:r>
          </w:p>
        </w:tc>
        <w:tc>
          <w:tcPr>
            <w:tcW w:w="3780" w:type="dxa"/>
          </w:tcPr>
          <w:p w14:paraId="6EF3CC7F" w14:textId="65DF4631" w:rsidR="00012191" w:rsidRPr="00C01683" w:rsidRDefault="00012191" w:rsidP="00765D5C">
            <w:pPr>
              <w:spacing w:before="60" w:after="40"/>
              <w:rPr>
                <w:sz w:val="18"/>
                <w:szCs w:val="18"/>
              </w:rPr>
            </w:pPr>
            <w:r w:rsidRPr="00C01683">
              <w:rPr>
                <w:sz w:val="18"/>
                <w:szCs w:val="18"/>
                <w:lang w:eastAsia="zh-CN"/>
              </w:rPr>
              <w:t xml:space="preserve">To move the reference to No. </w:t>
            </w:r>
            <w:r w:rsidRPr="00C01683">
              <w:rPr>
                <w:b/>
                <w:bCs/>
                <w:sz w:val="18"/>
                <w:szCs w:val="18"/>
                <w:lang w:eastAsia="zh-CN"/>
              </w:rPr>
              <w:t>5.</w:t>
            </w:r>
            <w:r w:rsidRPr="00C01683">
              <w:rPr>
                <w:b/>
                <w:bCs/>
                <w:sz w:val="18"/>
                <w:szCs w:val="18"/>
              </w:rPr>
              <w:t>369</w:t>
            </w:r>
            <w:r w:rsidRPr="00C01683">
              <w:rPr>
                <w:sz w:val="18"/>
                <w:szCs w:val="18"/>
                <w:lang w:eastAsia="zh-CN"/>
              </w:rPr>
              <w:t xml:space="preserve"> in the table for the bands 1 610-1 610.6 MHz, 1 610.6-1</w:t>
            </w:r>
            <w:r w:rsidR="00580F60" w:rsidRPr="00C01683">
              <w:rPr>
                <w:sz w:val="18"/>
                <w:szCs w:val="18"/>
                <w:lang w:eastAsia="zh-CN"/>
              </w:rPr>
              <w:t> </w:t>
            </w:r>
            <w:r w:rsidRPr="00C01683">
              <w:rPr>
                <w:sz w:val="18"/>
                <w:szCs w:val="18"/>
                <w:lang w:eastAsia="zh-CN"/>
              </w:rPr>
              <w:t xml:space="preserve">613.8 MHz, 1 613.8-1 621.35 </w:t>
            </w:r>
            <w:proofErr w:type="gramStart"/>
            <w:r w:rsidRPr="00C01683">
              <w:rPr>
                <w:sz w:val="18"/>
                <w:szCs w:val="18"/>
                <w:lang w:eastAsia="zh-CN"/>
              </w:rPr>
              <w:t>MHz</w:t>
            </w:r>
            <w:proofErr w:type="gramEnd"/>
            <w:r w:rsidRPr="00C01683">
              <w:rPr>
                <w:sz w:val="18"/>
                <w:szCs w:val="18"/>
                <w:lang w:eastAsia="zh-CN"/>
              </w:rPr>
              <w:t xml:space="preserve"> and 1</w:t>
            </w:r>
            <w:r w:rsidR="00765D5C" w:rsidRPr="00C01683">
              <w:rPr>
                <w:sz w:val="18"/>
                <w:szCs w:val="18"/>
                <w:lang w:eastAsia="zh-CN"/>
              </w:rPr>
              <w:t> </w:t>
            </w:r>
            <w:r w:rsidRPr="00C01683">
              <w:rPr>
                <w:sz w:val="18"/>
                <w:szCs w:val="18"/>
                <w:lang w:eastAsia="zh-CN"/>
              </w:rPr>
              <w:t xml:space="preserve">621.35-1 626.5 MHz </w:t>
            </w:r>
            <w:r w:rsidRPr="00C01683">
              <w:rPr>
                <w:sz w:val="18"/>
                <w:szCs w:val="18"/>
              </w:rPr>
              <w:t xml:space="preserve">in Region 3 </w:t>
            </w:r>
            <w:r w:rsidRPr="00C01683">
              <w:rPr>
                <w:sz w:val="18"/>
                <w:szCs w:val="18"/>
                <w:lang w:eastAsia="zh-CN"/>
              </w:rPr>
              <w:t>to the rows containing the secondary allocation to</w:t>
            </w:r>
            <w:bookmarkStart w:id="19" w:name="_Hlk148795798"/>
            <w:r w:rsidRPr="00C01683">
              <w:rPr>
                <w:sz w:val="18"/>
                <w:szCs w:val="18"/>
                <w:lang w:eastAsia="zh-CN"/>
              </w:rPr>
              <w:t xml:space="preserve"> the radiodetermination-satellite service (Earth-to-space).</w:t>
            </w:r>
            <w:bookmarkEnd w:id="19"/>
          </w:p>
        </w:tc>
      </w:tr>
    </w:tbl>
    <w:p w14:paraId="02E052CB" w14:textId="6BE225AB" w:rsidR="00012191" w:rsidRPr="00C01683" w:rsidRDefault="00012191" w:rsidP="0063159F">
      <w:bookmarkStart w:id="20" w:name="_Hlk148798312"/>
      <w:bookmarkEnd w:id="18"/>
      <w:r w:rsidRPr="00C01683">
        <w:rPr>
          <w:b/>
        </w:rPr>
        <w:t xml:space="preserve">Views and proposals: </w:t>
      </w:r>
      <w:r w:rsidR="00580F60" w:rsidRPr="00C01683">
        <w:t xml:space="preserve">We </w:t>
      </w:r>
      <w:r w:rsidRPr="00C01683">
        <w:t xml:space="preserve">support the revision proposals </w:t>
      </w:r>
      <w:r w:rsidR="00C03894" w:rsidRPr="00C01683">
        <w:t>of</w:t>
      </w:r>
      <w:r w:rsidRPr="00C01683">
        <w:t xml:space="preserve"> </w:t>
      </w:r>
      <w:r w:rsidRPr="00C01683">
        <w:rPr>
          <w:lang w:eastAsia="zh-CN"/>
        </w:rPr>
        <w:t>th</w:t>
      </w:r>
      <w:r w:rsidRPr="00C01683">
        <w:t xml:space="preserve">e </w:t>
      </w:r>
      <w:r w:rsidR="00C03894" w:rsidRPr="00C01683">
        <w:t>D</w:t>
      </w:r>
      <w:r w:rsidRPr="00C01683">
        <w:t xml:space="preserve">irector of BR. Further to that, we propose to </w:t>
      </w:r>
      <w:r w:rsidR="007C1662" w:rsidRPr="00C01683">
        <w:t xml:space="preserve">split </w:t>
      </w:r>
      <w:r w:rsidR="00C03894" w:rsidRPr="00C01683">
        <w:t>No.</w:t>
      </w:r>
      <w:r w:rsidR="00580F60" w:rsidRPr="00C01683">
        <w:t> </w:t>
      </w:r>
      <w:r w:rsidRPr="00C01683">
        <w:rPr>
          <w:b/>
        </w:rPr>
        <w:t>5.369</w:t>
      </w:r>
      <w:r w:rsidRPr="00C01683">
        <w:t xml:space="preserve"> into two footnotes, one for </w:t>
      </w:r>
      <w:r w:rsidR="007C1662" w:rsidRPr="00C01683">
        <w:t xml:space="preserve">countries in </w:t>
      </w:r>
      <w:proofErr w:type="gramStart"/>
      <w:r w:rsidRPr="00C01683">
        <w:t>Region</w:t>
      </w:r>
      <w:proofErr w:type="gramEnd"/>
      <w:r w:rsidRPr="00C01683">
        <w:t xml:space="preserve"> 1 </w:t>
      </w:r>
      <w:r w:rsidR="007C1662" w:rsidRPr="00C01683">
        <w:t>as</w:t>
      </w:r>
      <w:r w:rsidRPr="00C01683">
        <w:t xml:space="preserve"> </w:t>
      </w:r>
      <w:r w:rsidRPr="00C01683">
        <w:rPr>
          <w:i/>
          <w:iCs/>
        </w:rPr>
        <w:t>additional allocation</w:t>
      </w:r>
      <w:r w:rsidRPr="00C01683">
        <w:t>,</w:t>
      </w:r>
      <w:r w:rsidR="00C03894" w:rsidRPr="00C01683">
        <w:t xml:space="preserve"> and </w:t>
      </w:r>
      <w:r w:rsidR="007C1662" w:rsidRPr="00C01683">
        <w:t>the other</w:t>
      </w:r>
      <w:r w:rsidRPr="00C01683">
        <w:t xml:space="preserve"> for </w:t>
      </w:r>
      <w:r w:rsidR="007C1662" w:rsidRPr="00C01683">
        <w:t xml:space="preserve">countries in Region 3 as </w:t>
      </w:r>
      <w:r w:rsidRPr="00C01683">
        <w:rPr>
          <w:i/>
          <w:iCs/>
        </w:rPr>
        <w:t>different category of service.</w:t>
      </w:r>
    </w:p>
    <w:p w14:paraId="72D4DA02" w14:textId="77881D11" w:rsidR="00012191" w:rsidRPr="00C01683" w:rsidRDefault="00012191" w:rsidP="00012191">
      <w:pPr>
        <w:pStyle w:val="Reasons"/>
      </w:pPr>
      <w:r w:rsidRPr="00C01683">
        <w:rPr>
          <w:b/>
        </w:rPr>
        <w:t>Reasons:</w:t>
      </w:r>
      <w:r w:rsidRPr="00C01683">
        <w:tab/>
        <w:t xml:space="preserve">In Region 1, there is no allocation </w:t>
      </w:r>
      <w:r w:rsidR="007C1662" w:rsidRPr="00C01683">
        <w:t>for</w:t>
      </w:r>
      <w:r w:rsidR="00C03894" w:rsidRPr="00C01683">
        <w:t xml:space="preserve"> the</w:t>
      </w:r>
      <w:r w:rsidRPr="00C01683">
        <w:t xml:space="preserve"> radiodetermination-satellite service (Earth-to-space) in the frequency band 1 610-1 626.5 MHz in the Table</w:t>
      </w:r>
      <w:r w:rsidR="00C03894" w:rsidRPr="00C01683">
        <w:t>; thus</w:t>
      </w:r>
      <w:r w:rsidRPr="00C01683">
        <w:t>, No.</w:t>
      </w:r>
      <w:r w:rsidRPr="00C01683">
        <w:rPr>
          <w:b/>
          <w:bCs/>
        </w:rPr>
        <w:t xml:space="preserve"> 5.369</w:t>
      </w:r>
      <w:r w:rsidRPr="00C01683">
        <w:t xml:space="preserve"> in Region 1 should be </w:t>
      </w:r>
      <w:r w:rsidRPr="00C01683">
        <w:rPr>
          <w:i/>
          <w:iCs/>
        </w:rPr>
        <w:t>additional allocation</w:t>
      </w:r>
      <w:r w:rsidRPr="00C01683">
        <w:t xml:space="preserve">. In </w:t>
      </w:r>
      <w:r w:rsidR="00580F60" w:rsidRPr="00C01683">
        <w:t xml:space="preserve">Region </w:t>
      </w:r>
      <w:r w:rsidRPr="00C01683">
        <w:t>3, there is a secondary allocation to the radiodetermination-satellite service (Earth-to-space)</w:t>
      </w:r>
      <w:r w:rsidR="00C03894" w:rsidRPr="00C01683">
        <w:t>; thus,</w:t>
      </w:r>
      <w:r w:rsidRPr="00C01683">
        <w:t xml:space="preserve"> No. </w:t>
      </w:r>
      <w:r w:rsidRPr="00C01683">
        <w:rPr>
          <w:b/>
          <w:bCs/>
        </w:rPr>
        <w:t>5.369</w:t>
      </w:r>
      <w:r w:rsidRPr="00C01683">
        <w:t xml:space="preserve"> in Region 3 should be </w:t>
      </w:r>
      <w:r w:rsidRPr="00C01683">
        <w:rPr>
          <w:i/>
          <w:iCs/>
        </w:rPr>
        <w:t>different category of service</w:t>
      </w:r>
      <w:r w:rsidRPr="00C01683">
        <w:t xml:space="preserve">. </w:t>
      </w:r>
      <w:bookmarkEnd w:id="20"/>
    </w:p>
    <w:p w14:paraId="5BDFDED3" w14:textId="24CCB6FB" w:rsidR="00012191" w:rsidRPr="00AB412A" w:rsidRDefault="00012191" w:rsidP="00012191">
      <w:pPr>
        <w:pStyle w:val="Proposal"/>
      </w:pPr>
      <w:r w:rsidRPr="00C01683">
        <w:tab/>
      </w:r>
      <w:r w:rsidR="007D2982" w:rsidRPr="00AB412A">
        <w:t>CHN/111A25A1/2</w:t>
      </w:r>
    </w:p>
    <w:p w14:paraId="6D6FBBD6" w14:textId="77777777" w:rsidR="00C708D1" w:rsidRPr="00AB412A" w:rsidRDefault="00C708D1" w:rsidP="00C708D1">
      <w:pPr>
        <w:pStyle w:val="Heading3"/>
        <w:rPr>
          <w:lang w:eastAsia="zh-CN"/>
        </w:rPr>
      </w:pPr>
      <w:r w:rsidRPr="00AB412A">
        <w:rPr>
          <w:lang w:eastAsia="zh-CN"/>
        </w:rPr>
        <w:t>2.2.2</w:t>
      </w:r>
      <w:r w:rsidRPr="00AB412A">
        <w:rPr>
          <w:lang w:eastAsia="zh-CN"/>
        </w:rPr>
        <w:tab/>
      </w:r>
      <w:r w:rsidRPr="00AB412A">
        <w:t xml:space="preserve">Inconsistencies, provisions that are lacking </w:t>
      </w:r>
      <w:proofErr w:type="gramStart"/>
      <w:r w:rsidRPr="00AB412A">
        <w:t>clarity</w:t>
      </w:r>
      <w:proofErr w:type="gramEnd"/>
    </w:p>
    <w:p w14:paraId="0B2E1605" w14:textId="77777777" w:rsidR="00C708D1" w:rsidRPr="00AB412A" w:rsidRDefault="00C708D1" w:rsidP="00C708D1">
      <w:pPr>
        <w:pStyle w:val="TableNo"/>
        <w:rPr>
          <w:lang w:eastAsia="zh-CN"/>
        </w:rPr>
      </w:pPr>
      <w:r w:rsidRPr="00AB412A">
        <w:rPr>
          <w:lang w:eastAsia="zh-CN"/>
        </w:rPr>
        <w:t>Table 2</w:t>
      </w:r>
    </w:p>
    <w:p w14:paraId="020F67A1" w14:textId="77777777" w:rsidR="00C708D1" w:rsidRPr="00C01683" w:rsidRDefault="00C708D1" w:rsidP="00C708D1">
      <w:pPr>
        <w:pStyle w:val="Tabletitle"/>
        <w:rPr>
          <w:lang w:eastAsia="zh-CN"/>
        </w:rPr>
      </w:pPr>
      <w:r w:rsidRPr="00AB412A">
        <w:t xml:space="preserve">Inconsistencies in the RR, provisions that are lacking </w:t>
      </w:r>
      <w:proofErr w:type="gramStart"/>
      <w:r w:rsidRPr="00AB412A">
        <w:t>clarity</w:t>
      </w:r>
      <w:proofErr w:type="gramEnd"/>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977"/>
        <w:gridCol w:w="1317"/>
        <w:gridCol w:w="3600"/>
        <w:gridCol w:w="3780"/>
      </w:tblGrid>
      <w:tr w:rsidR="00012191" w:rsidRPr="00C01683" w14:paraId="60424864" w14:textId="77777777" w:rsidTr="0001206C">
        <w:trPr>
          <w:cantSplit/>
          <w:jc w:val="center"/>
        </w:trPr>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2D9C3" w14:textId="77777777" w:rsidR="00012191" w:rsidRPr="00C01683" w:rsidRDefault="00012191" w:rsidP="0001206C">
            <w:pPr>
              <w:spacing w:before="60" w:after="40"/>
              <w:jc w:val="center"/>
              <w:rPr>
                <w:b/>
                <w:sz w:val="18"/>
                <w:szCs w:val="18"/>
                <w:lang w:eastAsia="zh-CN"/>
              </w:rPr>
            </w:pPr>
            <w:r w:rsidRPr="00C01683">
              <w:rPr>
                <w:b/>
                <w:sz w:val="18"/>
                <w:szCs w:val="18"/>
                <w:lang w:eastAsia="zh-CN"/>
              </w:rPr>
              <w:t>#</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DB05" w14:textId="77777777" w:rsidR="00012191" w:rsidRPr="00C01683" w:rsidRDefault="00012191" w:rsidP="0001206C">
            <w:pPr>
              <w:spacing w:before="60" w:after="40"/>
              <w:jc w:val="center"/>
              <w:rPr>
                <w:rFonts w:asciiTheme="majorBidi" w:hAnsiTheme="majorBidi" w:cstheme="majorBidi"/>
                <w:b/>
                <w:sz w:val="18"/>
                <w:szCs w:val="18"/>
                <w:lang w:eastAsia="zh-CN"/>
              </w:rPr>
            </w:pPr>
            <w:r w:rsidRPr="00C01683">
              <w:rPr>
                <w:rFonts w:asciiTheme="majorBidi" w:hAnsiTheme="majorBidi" w:cstheme="majorBidi"/>
                <w:b/>
                <w:sz w:val="18"/>
                <w:szCs w:val="18"/>
                <w:lang w:eastAsia="zh-CN"/>
              </w:rPr>
              <w:t>Language</w:t>
            </w:r>
          </w:p>
        </w:tc>
        <w:tc>
          <w:tcPr>
            <w:tcW w:w="1317" w:type="dxa"/>
            <w:tcBorders>
              <w:top w:val="single" w:sz="4" w:space="0" w:color="auto"/>
              <w:left w:val="single" w:sz="4" w:space="0" w:color="auto"/>
              <w:bottom w:val="single" w:sz="4" w:space="0" w:color="auto"/>
              <w:right w:val="single" w:sz="4" w:space="0" w:color="auto"/>
            </w:tcBorders>
            <w:vAlign w:val="center"/>
          </w:tcPr>
          <w:p w14:paraId="502705BD" w14:textId="22D9EEA3" w:rsidR="00012191" w:rsidRPr="00C01683" w:rsidRDefault="00012191" w:rsidP="0001206C">
            <w:pPr>
              <w:spacing w:before="60" w:after="40"/>
              <w:jc w:val="center"/>
              <w:rPr>
                <w:b/>
                <w:sz w:val="18"/>
                <w:szCs w:val="18"/>
                <w:lang w:eastAsia="zh-CN"/>
              </w:rPr>
            </w:pPr>
            <w:r w:rsidRPr="00C01683">
              <w:rPr>
                <w:b/>
                <w:sz w:val="18"/>
                <w:szCs w:val="18"/>
                <w:lang w:eastAsia="zh-CN"/>
              </w:rPr>
              <w:t>Page</w:t>
            </w:r>
          </w:p>
        </w:tc>
        <w:tc>
          <w:tcPr>
            <w:tcW w:w="3600" w:type="dxa"/>
            <w:tcBorders>
              <w:top w:val="single" w:sz="4" w:space="0" w:color="auto"/>
              <w:left w:val="single" w:sz="4" w:space="0" w:color="auto"/>
              <w:bottom w:val="single" w:sz="4" w:space="0" w:color="auto"/>
              <w:right w:val="single" w:sz="4" w:space="0" w:color="auto"/>
            </w:tcBorders>
            <w:vAlign w:val="center"/>
          </w:tcPr>
          <w:p w14:paraId="041402F9" w14:textId="77777777" w:rsidR="00012191" w:rsidRPr="00C01683" w:rsidRDefault="00012191" w:rsidP="0001206C">
            <w:pPr>
              <w:tabs>
                <w:tab w:val="clear" w:pos="1134"/>
                <w:tab w:val="clear" w:pos="1871"/>
                <w:tab w:val="clear" w:pos="2268"/>
              </w:tabs>
              <w:overflowPunct/>
              <w:spacing w:before="0"/>
              <w:jc w:val="center"/>
              <w:textAlignment w:val="auto"/>
              <w:rPr>
                <w:b/>
                <w:sz w:val="18"/>
                <w:szCs w:val="18"/>
              </w:rPr>
            </w:pPr>
            <w:r w:rsidRPr="00C01683">
              <w:rPr>
                <w:b/>
                <w:sz w:val="18"/>
                <w:szCs w:val="18"/>
              </w:rPr>
              <w:t>Nature of inconsistency</w:t>
            </w:r>
          </w:p>
        </w:tc>
        <w:tc>
          <w:tcPr>
            <w:tcW w:w="3780" w:type="dxa"/>
            <w:tcBorders>
              <w:top w:val="single" w:sz="4" w:space="0" w:color="auto"/>
              <w:left w:val="single" w:sz="4" w:space="0" w:color="auto"/>
              <w:bottom w:val="single" w:sz="4" w:space="0" w:color="auto"/>
              <w:right w:val="single" w:sz="4" w:space="0" w:color="auto"/>
            </w:tcBorders>
            <w:vAlign w:val="center"/>
          </w:tcPr>
          <w:p w14:paraId="0EC2BFBC" w14:textId="77777777" w:rsidR="00012191" w:rsidRPr="00C01683" w:rsidRDefault="00012191" w:rsidP="0001206C">
            <w:pPr>
              <w:overflowPunct/>
              <w:spacing w:before="0"/>
              <w:jc w:val="center"/>
              <w:textAlignment w:val="auto"/>
              <w:rPr>
                <w:b/>
                <w:sz w:val="18"/>
                <w:szCs w:val="18"/>
                <w:lang w:eastAsia="zh-CN"/>
              </w:rPr>
            </w:pPr>
            <w:r w:rsidRPr="00C01683">
              <w:rPr>
                <w:b/>
                <w:sz w:val="18"/>
                <w:szCs w:val="18"/>
                <w:lang w:eastAsia="zh-CN"/>
              </w:rPr>
              <w:t>Possible corrective action</w:t>
            </w:r>
          </w:p>
        </w:tc>
      </w:tr>
      <w:tr w:rsidR="00012191" w:rsidRPr="00C01683" w14:paraId="707EB92A" w14:textId="77777777" w:rsidTr="00A95A6D">
        <w:trPr>
          <w:cantSplit/>
          <w:jc w:val="center"/>
        </w:trPr>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E00DE6" w14:textId="77777777" w:rsidR="00012191" w:rsidRPr="00C01683" w:rsidRDefault="00012191" w:rsidP="00765D5C">
            <w:pPr>
              <w:spacing w:before="60" w:after="40"/>
              <w:jc w:val="center"/>
              <w:rPr>
                <w:b/>
                <w:bCs/>
                <w:sz w:val="18"/>
                <w:szCs w:val="18"/>
                <w:lang w:eastAsia="zh-CN"/>
              </w:rPr>
            </w:pP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822E22" w14:textId="77777777" w:rsidR="00012191" w:rsidRPr="00C01683" w:rsidRDefault="00012191" w:rsidP="00765D5C">
            <w:pPr>
              <w:spacing w:before="60" w:after="40"/>
              <w:jc w:val="center"/>
              <w:rPr>
                <w:rFonts w:asciiTheme="majorBidi" w:hAnsiTheme="majorBidi" w:cstheme="majorBidi"/>
                <w:b/>
                <w:bCs/>
                <w:sz w:val="18"/>
                <w:szCs w:val="18"/>
                <w:lang w:eastAsia="zh-CN"/>
              </w:rPr>
            </w:pPr>
          </w:p>
        </w:tc>
        <w:tc>
          <w:tcPr>
            <w:tcW w:w="1317" w:type="dxa"/>
            <w:tcBorders>
              <w:top w:val="single" w:sz="4" w:space="0" w:color="auto"/>
              <w:left w:val="single" w:sz="4" w:space="0" w:color="auto"/>
              <w:bottom w:val="single" w:sz="4" w:space="0" w:color="auto"/>
              <w:right w:val="single" w:sz="4" w:space="0" w:color="auto"/>
            </w:tcBorders>
          </w:tcPr>
          <w:p w14:paraId="4430B8AD" w14:textId="77777777" w:rsidR="00012191" w:rsidRPr="00C01683" w:rsidRDefault="00012191" w:rsidP="00765D5C">
            <w:pPr>
              <w:spacing w:before="60" w:after="40"/>
              <w:jc w:val="center"/>
              <w:rPr>
                <w:b/>
                <w:bCs/>
                <w:sz w:val="18"/>
                <w:szCs w:val="18"/>
                <w:lang w:eastAsia="zh-CN"/>
              </w:rPr>
            </w:pPr>
            <w:r w:rsidRPr="00C01683">
              <w:rPr>
                <w:b/>
                <w:bCs/>
                <w:sz w:val="18"/>
                <w:szCs w:val="18"/>
                <w:lang w:eastAsia="zh-CN"/>
              </w:rPr>
              <w:t>Volume, page</w:t>
            </w:r>
          </w:p>
        </w:tc>
        <w:tc>
          <w:tcPr>
            <w:tcW w:w="3600" w:type="dxa"/>
            <w:tcBorders>
              <w:top w:val="single" w:sz="4" w:space="0" w:color="auto"/>
              <w:left w:val="single" w:sz="4" w:space="0" w:color="auto"/>
              <w:bottom w:val="single" w:sz="4" w:space="0" w:color="auto"/>
              <w:right w:val="single" w:sz="4" w:space="0" w:color="auto"/>
            </w:tcBorders>
          </w:tcPr>
          <w:p w14:paraId="1C299506" w14:textId="77777777" w:rsidR="00012191" w:rsidRPr="00C01683" w:rsidRDefault="00012191" w:rsidP="00765D5C">
            <w:pPr>
              <w:spacing w:before="60" w:after="40"/>
              <w:jc w:val="center"/>
              <w:rPr>
                <w:b/>
                <w:bCs/>
                <w:sz w:val="18"/>
                <w:szCs w:val="18"/>
              </w:rPr>
            </w:pPr>
            <w:r w:rsidRPr="00C01683">
              <w:rPr>
                <w:b/>
                <w:bCs/>
                <w:sz w:val="18"/>
                <w:szCs w:val="18"/>
                <w:lang w:eastAsia="zh-CN"/>
              </w:rPr>
              <w:t>ARTICLES</w:t>
            </w:r>
            <w:r w:rsidRPr="00C01683">
              <w:rPr>
                <w:b/>
                <w:bCs/>
                <w:sz w:val="18"/>
                <w:szCs w:val="18"/>
              </w:rPr>
              <w:t>/APPENDIX</w:t>
            </w:r>
          </w:p>
        </w:tc>
        <w:tc>
          <w:tcPr>
            <w:tcW w:w="3780" w:type="dxa"/>
            <w:tcBorders>
              <w:top w:val="single" w:sz="4" w:space="0" w:color="auto"/>
              <w:left w:val="single" w:sz="4" w:space="0" w:color="auto"/>
              <w:bottom w:val="single" w:sz="4" w:space="0" w:color="auto"/>
              <w:right w:val="single" w:sz="4" w:space="0" w:color="auto"/>
            </w:tcBorders>
          </w:tcPr>
          <w:p w14:paraId="0246C84C" w14:textId="77777777" w:rsidR="00012191" w:rsidRPr="00C01683" w:rsidRDefault="00012191" w:rsidP="00765D5C">
            <w:pPr>
              <w:spacing w:before="60" w:after="40"/>
              <w:jc w:val="center"/>
              <w:rPr>
                <w:b/>
                <w:bCs/>
                <w:sz w:val="18"/>
                <w:szCs w:val="18"/>
                <w:lang w:eastAsia="zh-CN"/>
              </w:rPr>
            </w:pPr>
            <w:r w:rsidRPr="00C01683">
              <w:rPr>
                <w:b/>
                <w:bCs/>
                <w:sz w:val="18"/>
                <w:szCs w:val="18"/>
                <w:lang w:eastAsia="zh-CN"/>
              </w:rPr>
              <w:t>ARTICLES/APPENDIX</w:t>
            </w:r>
          </w:p>
        </w:tc>
      </w:tr>
      <w:tr w:rsidR="00012191" w:rsidRPr="00C01683" w14:paraId="695E8B79" w14:textId="77777777" w:rsidTr="00A95A6D">
        <w:trPr>
          <w:cantSplit/>
          <w:jc w:val="center"/>
        </w:trPr>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926AE2" w14:textId="77777777" w:rsidR="00012191" w:rsidRPr="00C01683" w:rsidRDefault="00012191" w:rsidP="00765D5C">
            <w:pPr>
              <w:spacing w:before="60" w:after="40"/>
              <w:jc w:val="center"/>
              <w:rPr>
                <w:b/>
                <w:bCs/>
                <w:sz w:val="18"/>
                <w:szCs w:val="18"/>
                <w:lang w:eastAsia="zh-CN"/>
              </w:rPr>
            </w:pP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1B3CCA" w14:textId="77777777" w:rsidR="00012191" w:rsidRPr="00C01683" w:rsidRDefault="00012191" w:rsidP="00765D5C">
            <w:pPr>
              <w:spacing w:before="60" w:after="40"/>
              <w:jc w:val="center"/>
              <w:rPr>
                <w:rFonts w:asciiTheme="majorBidi" w:hAnsiTheme="majorBidi" w:cstheme="majorBidi"/>
                <w:b/>
                <w:bCs/>
                <w:sz w:val="18"/>
                <w:szCs w:val="18"/>
                <w:lang w:eastAsia="zh-CN"/>
              </w:rPr>
            </w:pPr>
          </w:p>
        </w:tc>
        <w:tc>
          <w:tcPr>
            <w:tcW w:w="1317" w:type="dxa"/>
            <w:tcBorders>
              <w:top w:val="single" w:sz="4" w:space="0" w:color="auto"/>
              <w:left w:val="single" w:sz="4" w:space="0" w:color="auto"/>
              <w:bottom w:val="single" w:sz="4" w:space="0" w:color="auto"/>
              <w:right w:val="single" w:sz="4" w:space="0" w:color="auto"/>
            </w:tcBorders>
          </w:tcPr>
          <w:p w14:paraId="13F7DF50" w14:textId="77777777" w:rsidR="00012191" w:rsidRPr="00C01683" w:rsidRDefault="00012191" w:rsidP="00765D5C">
            <w:pPr>
              <w:spacing w:before="60" w:after="40"/>
              <w:jc w:val="center"/>
              <w:rPr>
                <w:b/>
                <w:bCs/>
                <w:sz w:val="18"/>
                <w:szCs w:val="18"/>
                <w:lang w:eastAsia="zh-CN"/>
              </w:rPr>
            </w:pPr>
            <w:r w:rsidRPr="00C01683">
              <w:rPr>
                <w:b/>
                <w:bCs/>
                <w:sz w:val="18"/>
                <w:szCs w:val="18"/>
                <w:lang w:eastAsia="zh-CN"/>
              </w:rPr>
              <w:t>Volume 1</w:t>
            </w:r>
          </w:p>
        </w:tc>
        <w:tc>
          <w:tcPr>
            <w:tcW w:w="3600" w:type="dxa"/>
            <w:tcBorders>
              <w:top w:val="single" w:sz="4" w:space="0" w:color="auto"/>
              <w:left w:val="single" w:sz="4" w:space="0" w:color="auto"/>
              <w:bottom w:val="single" w:sz="4" w:space="0" w:color="auto"/>
              <w:right w:val="single" w:sz="4" w:space="0" w:color="auto"/>
            </w:tcBorders>
          </w:tcPr>
          <w:p w14:paraId="273EAFF2" w14:textId="77777777" w:rsidR="00012191" w:rsidRPr="00C01683" w:rsidRDefault="00012191" w:rsidP="00765D5C">
            <w:pPr>
              <w:spacing w:before="60" w:after="40"/>
              <w:jc w:val="center"/>
              <w:rPr>
                <w:b/>
                <w:bCs/>
                <w:sz w:val="18"/>
                <w:szCs w:val="18"/>
              </w:rPr>
            </w:pPr>
            <w:r w:rsidRPr="00C01683">
              <w:rPr>
                <w:b/>
                <w:bCs/>
                <w:sz w:val="18"/>
                <w:szCs w:val="18"/>
                <w:lang w:eastAsia="zh-CN"/>
              </w:rPr>
              <w:t>Article</w:t>
            </w:r>
            <w:r w:rsidRPr="00C01683">
              <w:rPr>
                <w:b/>
                <w:bCs/>
                <w:sz w:val="18"/>
                <w:szCs w:val="18"/>
              </w:rPr>
              <w:t xml:space="preserve"> 5</w:t>
            </w:r>
          </w:p>
        </w:tc>
        <w:tc>
          <w:tcPr>
            <w:tcW w:w="3780" w:type="dxa"/>
            <w:tcBorders>
              <w:top w:val="single" w:sz="4" w:space="0" w:color="auto"/>
              <w:left w:val="single" w:sz="4" w:space="0" w:color="auto"/>
              <w:bottom w:val="single" w:sz="4" w:space="0" w:color="auto"/>
              <w:right w:val="single" w:sz="4" w:space="0" w:color="auto"/>
            </w:tcBorders>
          </w:tcPr>
          <w:p w14:paraId="2AF08D04" w14:textId="77777777" w:rsidR="00012191" w:rsidRPr="00C01683" w:rsidRDefault="00012191" w:rsidP="00765D5C">
            <w:pPr>
              <w:spacing w:before="60" w:after="40"/>
              <w:jc w:val="center"/>
              <w:rPr>
                <w:b/>
                <w:bCs/>
                <w:sz w:val="18"/>
                <w:szCs w:val="18"/>
                <w:lang w:eastAsia="zh-CN"/>
              </w:rPr>
            </w:pPr>
            <w:r w:rsidRPr="00C01683">
              <w:rPr>
                <w:b/>
                <w:bCs/>
                <w:sz w:val="18"/>
                <w:szCs w:val="18"/>
                <w:lang w:eastAsia="zh-CN"/>
              </w:rPr>
              <w:t>Article 5</w:t>
            </w:r>
          </w:p>
        </w:tc>
      </w:tr>
      <w:tr w:rsidR="00012191" w:rsidRPr="00C01683" w14:paraId="16D15820" w14:textId="77777777" w:rsidTr="00A95A6D">
        <w:trPr>
          <w:cantSplit/>
          <w:jc w:val="center"/>
        </w:trPr>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9838F" w14:textId="77777777" w:rsidR="00012191" w:rsidRPr="00C01683" w:rsidRDefault="00012191" w:rsidP="00A95A6D">
            <w:pPr>
              <w:spacing w:before="60" w:after="40"/>
              <w:jc w:val="center"/>
              <w:rPr>
                <w:bCs/>
                <w:sz w:val="18"/>
                <w:szCs w:val="18"/>
                <w:lang w:eastAsia="zh-CN"/>
              </w:rPr>
            </w:pPr>
            <w:r w:rsidRPr="00C01683">
              <w:rPr>
                <w:bCs/>
                <w:sz w:val="18"/>
                <w:szCs w:val="18"/>
                <w:lang w:eastAsia="zh-CN"/>
              </w:rPr>
              <w:t>28</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906A6" w14:textId="77777777" w:rsidR="00012191" w:rsidRPr="00C01683" w:rsidRDefault="00012191" w:rsidP="00A95A6D">
            <w:pPr>
              <w:spacing w:before="60" w:after="40"/>
              <w:jc w:val="center"/>
              <w:rPr>
                <w:rFonts w:asciiTheme="majorBidi" w:hAnsiTheme="majorBidi" w:cstheme="majorBidi"/>
                <w:sz w:val="18"/>
                <w:szCs w:val="18"/>
                <w:lang w:eastAsia="zh-CN"/>
              </w:rPr>
            </w:pPr>
            <w:r w:rsidRPr="00C01683">
              <w:rPr>
                <w:rFonts w:asciiTheme="majorBidi" w:hAnsiTheme="majorBidi" w:cstheme="majorBidi"/>
                <w:sz w:val="18"/>
                <w:szCs w:val="18"/>
                <w:lang w:eastAsia="zh-CN"/>
              </w:rPr>
              <w:t>All</w:t>
            </w:r>
          </w:p>
        </w:tc>
        <w:tc>
          <w:tcPr>
            <w:tcW w:w="1317" w:type="dxa"/>
            <w:tcBorders>
              <w:top w:val="single" w:sz="4" w:space="0" w:color="auto"/>
              <w:left w:val="single" w:sz="4" w:space="0" w:color="auto"/>
              <w:bottom w:val="single" w:sz="4" w:space="0" w:color="auto"/>
              <w:right w:val="single" w:sz="4" w:space="0" w:color="auto"/>
            </w:tcBorders>
          </w:tcPr>
          <w:p w14:paraId="3CE0F854" w14:textId="50968B74" w:rsidR="00012191" w:rsidRPr="00C01683" w:rsidRDefault="00012191" w:rsidP="00765D5C">
            <w:pPr>
              <w:spacing w:before="60" w:after="40"/>
              <w:jc w:val="center"/>
              <w:rPr>
                <w:sz w:val="18"/>
                <w:szCs w:val="18"/>
                <w:lang w:eastAsia="zh-CN"/>
              </w:rPr>
            </w:pPr>
            <w:r w:rsidRPr="00C01683">
              <w:rPr>
                <w:sz w:val="18"/>
                <w:szCs w:val="18"/>
                <w:lang w:eastAsia="zh-CN"/>
              </w:rPr>
              <w:t>122 (RR5-88)</w:t>
            </w:r>
          </w:p>
        </w:tc>
        <w:tc>
          <w:tcPr>
            <w:tcW w:w="3600" w:type="dxa"/>
            <w:tcBorders>
              <w:top w:val="single" w:sz="4" w:space="0" w:color="auto"/>
              <w:left w:val="single" w:sz="4" w:space="0" w:color="auto"/>
              <w:bottom w:val="single" w:sz="4" w:space="0" w:color="auto"/>
              <w:right w:val="single" w:sz="4" w:space="0" w:color="auto"/>
            </w:tcBorders>
          </w:tcPr>
          <w:p w14:paraId="1DA3892E" w14:textId="4A59FB42" w:rsidR="00012191" w:rsidRPr="00C01683" w:rsidRDefault="00012191" w:rsidP="00765D5C">
            <w:pPr>
              <w:spacing w:before="60" w:after="40"/>
              <w:rPr>
                <w:sz w:val="18"/>
                <w:szCs w:val="18"/>
              </w:rPr>
            </w:pPr>
            <w:r w:rsidRPr="00C01683">
              <w:rPr>
                <w:sz w:val="18"/>
                <w:szCs w:val="18"/>
                <w:lang w:eastAsia="zh-CN"/>
              </w:rPr>
              <w:t>Footnote</w:t>
            </w:r>
            <w:r w:rsidRPr="00C01683">
              <w:rPr>
                <w:sz w:val="18"/>
                <w:szCs w:val="18"/>
              </w:rPr>
              <w:t xml:space="preserve"> No.</w:t>
            </w:r>
            <w:r w:rsidRPr="00C01683">
              <w:rPr>
                <w:b/>
                <w:bCs/>
                <w:sz w:val="18"/>
                <w:szCs w:val="18"/>
              </w:rPr>
              <w:t xml:space="preserve"> 5.429F</w:t>
            </w:r>
            <w:r w:rsidRPr="00C01683">
              <w:rPr>
                <w:sz w:val="18"/>
                <w:szCs w:val="18"/>
              </w:rPr>
              <w:t xml:space="preserve"> refers to an IMT identification of the frequency band 3 300-3</w:t>
            </w:r>
            <w:r w:rsidR="00765D5C" w:rsidRPr="00C01683">
              <w:rPr>
                <w:sz w:val="18"/>
                <w:szCs w:val="18"/>
              </w:rPr>
              <w:t> </w:t>
            </w:r>
            <w:r w:rsidRPr="00C01683">
              <w:rPr>
                <w:sz w:val="18"/>
                <w:szCs w:val="18"/>
              </w:rPr>
              <w:t xml:space="preserve">400 MHz in Lao P.D.R., the Philippines and Viet Nam in Region 3, </w:t>
            </w:r>
            <w:proofErr w:type="gramStart"/>
            <w:r w:rsidRPr="00C01683">
              <w:rPr>
                <w:sz w:val="18"/>
                <w:szCs w:val="18"/>
              </w:rPr>
              <w:t>despite the fact that</w:t>
            </w:r>
            <w:proofErr w:type="gramEnd"/>
            <w:r w:rsidRPr="00C01683">
              <w:rPr>
                <w:sz w:val="18"/>
                <w:szCs w:val="18"/>
              </w:rPr>
              <w:t xml:space="preserve"> this frequency band is not allocated to the mobile service to these countries.</w:t>
            </w:r>
          </w:p>
        </w:tc>
        <w:tc>
          <w:tcPr>
            <w:tcW w:w="3780" w:type="dxa"/>
            <w:tcBorders>
              <w:top w:val="single" w:sz="4" w:space="0" w:color="auto"/>
              <w:left w:val="single" w:sz="4" w:space="0" w:color="auto"/>
              <w:bottom w:val="single" w:sz="4" w:space="0" w:color="auto"/>
              <w:right w:val="single" w:sz="4" w:space="0" w:color="auto"/>
            </w:tcBorders>
          </w:tcPr>
          <w:p w14:paraId="25D27B4F" w14:textId="19DBF435" w:rsidR="00012191" w:rsidRPr="00C01683" w:rsidRDefault="00012191" w:rsidP="00765D5C">
            <w:pPr>
              <w:spacing w:before="60" w:after="40"/>
              <w:rPr>
                <w:sz w:val="18"/>
                <w:szCs w:val="18"/>
                <w:lang w:eastAsia="zh-CN"/>
              </w:rPr>
            </w:pPr>
            <w:r w:rsidRPr="00C01683">
              <w:rPr>
                <w:sz w:val="18"/>
                <w:szCs w:val="18"/>
                <w:lang w:eastAsia="zh-CN"/>
              </w:rPr>
              <w:t xml:space="preserve">The three administrations may wish to either delete their names from No. </w:t>
            </w:r>
            <w:r w:rsidRPr="00C01683">
              <w:rPr>
                <w:b/>
                <w:bCs/>
                <w:sz w:val="18"/>
                <w:szCs w:val="18"/>
                <w:lang w:eastAsia="zh-CN"/>
              </w:rPr>
              <w:t>5.429F</w:t>
            </w:r>
            <w:r w:rsidRPr="00C01683">
              <w:rPr>
                <w:sz w:val="18"/>
                <w:szCs w:val="18"/>
                <w:lang w:eastAsia="zh-CN"/>
              </w:rPr>
              <w:t xml:space="preserve"> or attempt to join the allocation to the mobile service made for some Region 3 countries by No. </w:t>
            </w:r>
            <w:r w:rsidRPr="00C01683">
              <w:rPr>
                <w:b/>
                <w:bCs/>
                <w:sz w:val="18"/>
                <w:szCs w:val="18"/>
                <w:lang w:eastAsia="zh-CN"/>
              </w:rPr>
              <w:t>5.429</w:t>
            </w:r>
            <w:r w:rsidRPr="00C01683">
              <w:rPr>
                <w:sz w:val="18"/>
                <w:szCs w:val="18"/>
                <w:lang w:eastAsia="zh-CN"/>
              </w:rPr>
              <w:t xml:space="preserve"> or No.</w:t>
            </w:r>
            <w:r w:rsidR="0001206C" w:rsidRPr="00C01683">
              <w:rPr>
                <w:sz w:val="18"/>
                <w:szCs w:val="18"/>
                <w:lang w:eastAsia="zh-CN"/>
              </w:rPr>
              <w:t> </w:t>
            </w:r>
            <w:r w:rsidRPr="00C01683">
              <w:rPr>
                <w:b/>
                <w:bCs/>
                <w:sz w:val="18"/>
                <w:szCs w:val="18"/>
                <w:lang w:eastAsia="zh-CN"/>
              </w:rPr>
              <w:t>5.429E</w:t>
            </w:r>
            <w:r w:rsidRPr="00C01683">
              <w:rPr>
                <w:sz w:val="18"/>
                <w:szCs w:val="18"/>
                <w:lang w:eastAsia="zh-CN"/>
              </w:rPr>
              <w:t>.</w:t>
            </w:r>
          </w:p>
        </w:tc>
      </w:tr>
    </w:tbl>
    <w:p w14:paraId="782E6F9B" w14:textId="0C9707B4" w:rsidR="00012191" w:rsidRPr="00C01683" w:rsidRDefault="00012191" w:rsidP="00012191">
      <w:r w:rsidRPr="00C01683">
        <w:rPr>
          <w:b/>
        </w:rPr>
        <w:t xml:space="preserve">Views and proposals: </w:t>
      </w:r>
      <w:r w:rsidRPr="00C01683">
        <w:rPr>
          <w:bCs/>
        </w:rPr>
        <w:t>This issue involves the addition or deletion of country names in footnotes. It</w:t>
      </w:r>
      <w:r w:rsidR="00C03894" w:rsidRPr="00C01683">
        <w:rPr>
          <w:bCs/>
        </w:rPr>
        <w:t xml:space="preserve"> i</w:t>
      </w:r>
      <w:r w:rsidRPr="00C01683">
        <w:rPr>
          <w:bCs/>
        </w:rPr>
        <w:t xml:space="preserve">s better to be considered under </w:t>
      </w:r>
      <w:r w:rsidR="00C03894" w:rsidRPr="00C01683">
        <w:rPr>
          <w:bCs/>
        </w:rPr>
        <w:t>a</w:t>
      </w:r>
      <w:r w:rsidRPr="00C01683">
        <w:rPr>
          <w:bCs/>
        </w:rPr>
        <w:t xml:space="preserve">genda item 8. </w:t>
      </w:r>
    </w:p>
    <w:p w14:paraId="287C7F0D" w14:textId="1C2F4918" w:rsidR="00012191" w:rsidRPr="00C01683" w:rsidRDefault="00012191" w:rsidP="00012191">
      <w:pPr>
        <w:pStyle w:val="Reasons"/>
        <w:rPr>
          <w:lang w:eastAsia="zh-CN"/>
        </w:rPr>
      </w:pPr>
      <w:r w:rsidRPr="00C01683">
        <w:rPr>
          <w:b/>
        </w:rPr>
        <w:t>Reasons:</w:t>
      </w:r>
      <w:r w:rsidRPr="00C01683">
        <w:tab/>
      </w:r>
      <w:r w:rsidR="00DA6EE7" w:rsidRPr="00C01683">
        <w:t>In accordance with</w:t>
      </w:r>
      <w:r w:rsidR="00DA6EE7" w:rsidRPr="00C01683">
        <w:rPr>
          <w:rFonts w:asciiTheme="minorEastAsia" w:eastAsiaTheme="minorEastAsia" w:hAnsiTheme="minorEastAsia"/>
          <w:lang w:eastAsia="zh-CN"/>
        </w:rPr>
        <w:t xml:space="preserve"> </w:t>
      </w:r>
      <w:r w:rsidR="00C03894" w:rsidRPr="00C01683">
        <w:t xml:space="preserve">Resolution </w:t>
      </w:r>
      <w:r w:rsidRPr="00C01683">
        <w:rPr>
          <w:b/>
          <w:bCs/>
        </w:rPr>
        <w:t>26</w:t>
      </w:r>
      <w:r w:rsidRPr="00C01683">
        <w:t xml:space="preserve"> (</w:t>
      </w:r>
      <w:r w:rsidR="00C03894" w:rsidRPr="00C01683">
        <w:rPr>
          <w:b/>
          <w:bCs/>
        </w:rPr>
        <w:t>Rev</w:t>
      </w:r>
      <w:r w:rsidRPr="00C01683">
        <w:rPr>
          <w:b/>
          <w:bCs/>
        </w:rPr>
        <w:t>.WRC</w:t>
      </w:r>
      <w:r w:rsidR="00DA6EE7" w:rsidRPr="00C01683">
        <w:rPr>
          <w:b/>
          <w:bCs/>
        </w:rPr>
        <w:t>-</w:t>
      </w:r>
      <w:r w:rsidRPr="00C01683">
        <w:rPr>
          <w:b/>
          <w:bCs/>
        </w:rPr>
        <w:t>19</w:t>
      </w:r>
      <w:r w:rsidRPr="00C01683">
        <w:t xml:space="preserve">), </w:t>
      </w:r>
      <w:r w:rsidR="00DA6EE7" w:rsidRPr="00C01683">
        <w:t>a</w:t>
      </w:r>
      <w:r w:rsidRPr="00C01683">
        <w:t xml:space="preserve">genda item 8 allows for the consideration of proposals by administrations for deletion of country names in footnotes. </w:t>
      </w:r>
    </w:p>
    <w:p w14:paraId="049A1E1B" w14:textId="76F2C921" w:rsidR="0092366C" w:rsidRPr="00C01683" w:rsidRDefault="0092366C" w:rsidP="0001206C">
      <w:pPr>
        <w:rPr>
          <w:lang w:eastAsia="zh-CN"/>
        </w:rPr>
      </w:pPr>
    </w:p>
    <w:p w14:paraId="41EA9C2C" w14:textId="42DFF864" w:rsidR="0001206C" w:rsidRDefault="0001206C" w:rsidP="0001206C">
      <w:pPr>
        <w:jc w:val="center"/>
        <w:rPr>
          <w:lang w:eastAsia="zh-CN"/>
        </w:rPr>
      </w:pPr>
      <w:r w:rsidRPr="00C01683">
        <w:rPr>
          <w:lang w:eastAsia="zh-CN"/>
        </w:rPr>
        <w:t>_______________</w:t>
      </w:r>
    </w:p>
    <w:sectPr w:rsidR="0001206C"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864D" w14:textId="77777777" w:rsidR="00604B4D" w:rsidRDefault="00604B4D">
      <w:r>
        <w:separator/>
      </w:r>
    </w:p>
  </w:endnote>
  <w:endnote w:type="continuationSeparator" w:id="0">
    <w:p w14:paraId="23134A4F" w14:textId="77777777" w:rsidR="00604B4D" w:rsidRDefault="0060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82A" w14:textId="77777777" w:rsidR="00E45D05" w:rsidRDefault="00E45D05">
    <w:pPr>
      <w:framePr w:wrap="around" w:vAnchor="text" w:hAnchor="margin" w:xAlign="right" w:y="1"/>
    </w:pPr>
    <w:r>
      <w:fldChar w:fldCharType="begin"/>
    </w:r>
    <w:r>
      <w:instrText xml:space="preserve">PAGE  </w:instrText>
    </w:r>
    <w:r>
      <w:fldChar w:fldCharType="end"/>
    </w:r>
  </w:p>
  <w:p w14:paraId="71696BEE" w14:textId="2270F8D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F7970">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00DA" w14:textId="776DA5C1" w:rsidR="00E45D05" w:rsidRPr="006731C7" w:rsidRDefault="00E45D05" w:rsidP="009B1EA1">
    <w:pPr>
      <w:pStyle w:val="Footer"/>
      <w:rPr>
        <w:lang w:val="pt-BR"/>
      </w:rPr>
    </w:pPr>
    <w:r>
      <w:fldChar w:fldCharType="begin"/>
    </w:r>
    <w:r w:rsidRPr="006731C7">
      <w:rPr>
        <w:lang w:val="pt-BR"/>
      </w:rPr>
      <w:instrText xml:space="preserve"> FILENAME \p  \* MERGEFORMAT </w:instrText>
    </w:r>
    <w:r>
      <w:fldChar w:fldCharType="separate"/>
    </w:r>
    <w:r w:rsidR="00580F60">
      <w:rPr>
        <w:lang w:val="pt-BR"/>
      </w:rPr>
      <w:t>P:\ENG\ITU-R\CONF-R\CMR23\100\111ADD25ADD01E.docx</w:t>
    </w:r>
    <w:r>
      <w:fldChar w:fldCharType="end"/>
    </w:r>
    <w:r w:rsidR="006731C7" w:rsidRPr="006731C7">
      <w:rPr>
        <w:lang w:val="pt-BR"/>
      </w:rPr>
      <w:t xml:space="preserve"> </w:t>
    </w:r>
    <w:r w:rsidR="006731C7">
      <w:rPr>
        <w:lang w:val="pt-BR"/>
      </w:rPr>
      <w:t>(530492)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9556" w14:textId="158AF50F" w:rsidR="006731C7" w:rsidRPr="006731C7" w:rsidRDefault="006731C7">
    <w:pPr>
      <w:pStyle w:val="Footer"/>
      <w:rPr>
        <w:lang w:val="pt-BR"/>
      </w:rPr>
    </w:pPr>
    <w:r>
      <w:fldChar w:fldCharType="begin"/>
    </w:r>
    <w:r w:rsidRPr="006731C7">
      <w:rPr>
        <w:lang w:val="pt-BR"/>
      </w:rPr>
      <w:instrText xml:space="preserve"> FILENAME \p  \* MERGEFORMAT </w:instrText>
    </w:r>
    <w:r>
      <w:fldChar w:fldCharType="separate"/>
    </w:r>
    <w:r w:rsidR="00580F60">
      <w:rPr>
        <w:lang w:val="pt-BR"/>
      </w:rPr>
      <w:t>P:\ENG\ITU-R\CONF-R\CMR23\100\111ADD25ADD01E.docx</w:t>
    </w:r>
    <w:r>
      <w:fldChar w:fldCharType="end"/>
    </w:r>
    <w:r w:rsidRPr="006731C7">
      <w:rPr>
        <w:lang w:val="pt-BR"/>
      </w:rPr>
      <w:t xml:space="preserve"> </w:t>
    </w:r>
    <w:r>
      <w:rPr>
        <w:lang w:val="pt-BR"/>
      </w:rPr>
      <w:t>(530492)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E887" w14:textId="77777777" w:rsidR="00604B4D" w:rsidRDefault="00604B4D">
      <w:r>
        <w:rPr>
          <w:b/>
        </w:rPr>
        <w:t>_______________</w:t>
      </w:r>
    </w:p>
  </w:footnote>
  <w:footnote w:type="continuationSeparator" w:id="0">
    <w:p w14:paraId="647BFC90" w14:textId="77777777" w:rsidR="00604B4D" w:rsidRDefault="00604B4D">
      <w:r>
        <w:continuationSeparator/>
      </w:r>
    </w:p>
  </w:footnote>
  <w:footnote w:id="1">
    <w:p w14:paraId="49A1AA84" w14:textId="11A977AE" w:rsidR="006731C7" w:rsidRDefault="006731C7" w:rsidP="00ED6F21">
      <w:pPr>
        <w:pStyle w:val="FootnoteText"/>
      </w:pPr>
      <w:r>
        <w:rPr>
          <w:rStyle w:val="FootnoteReference"/>
        </w:rPr>
        <w:t>1</w:t>
      </w:r>
      <w:r>
        <w:t xml:space="preserve"> </w:t>
      </w:r>
      <w:r>
        <w:tab/>
        <w:t>This agenda 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F4A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7869E03" w14:textId="77777777" w:rsidR="00A066F1" w:rsidRPr="00A066F1" w:rsidRDefault="00BC75DE" w:rsidP="00241FA2">
    <w:pPr>
      <w:pStyle w:val="Header"/>
    </w:pPr>
    <w:r>
      <w:t>WRC</w:t>
    </w:r>
    <w:r w:rsidR="006D70B0">
      <w:t>23</w:t>
    </w:r>
    <w:r w:rsidR="00A066F1">
      <w:t>/</w:t>
    </w:r>
    <w:bookmarkStart w:id="21" w:name="OLE_LINK1"/>
    <w:bookmarkStart w:id="22" w:name="OLE_LINK2"/>
    <w:bookmarkStart w:id="23" w:name="OLE_LINK3"/>
    <w:r w:rsidR="00EB55C6">
      <w:t>111(Add.</w:t>
    </w:r>
    <w:proofErr w:type="gramStart"/>
    <w:r w:rsidR="00EB55C6">
      <w:t>25)(</w:t>
    </w:r>
    <w:proofErr w:type="gramEnd"/>
    <w:r w:rsidR="00EB55C6">
      <w:t>Add.1)</w:t>
    </w:r>
    <w:bookmarkEnd w:id="21"/>
    <w:bookmarkEnd w:id="22"/>
    <w:bookmarkEnd w:id="2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34425380">
    <w:abstractNumId w:val="0"/>
  </w:num>
  <w:num w:numId="2" w16cid:durableId="305694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206C"/>
    <w:rsid w:val="00012191"/>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C2003"/>
    <w:rsid w:val="002D58BE"/>
    <w:rsid w:val="002F4747"/>
    <w:rsid w:val="00302605"/>
    <w:rsid w:val="00361B37"/>
    <w:rsid w:val="00377BD3"/>
    <w:rsid w:val="00384088"/>
    <w:rsid w:val="003852CE"/>
    <w:rsid w:val="0039169B"/>
    <w:rsid w:val="003A7F8C"/>
    <w:rsid w:val="003B2284"/>
    <w:rsid w:val="003B532E"/>
    <w:rsid w:val="003D0F8B"/>
    <w:rsid w:val="003D3D0A"/>
    <w:rsid w:val="003E0DB6"/>
    <w:rsid w:val="003F4B8F"/>
    <w:rsid w:val="0041348E"/>
    <w:rsid w:val="00420873"/>
    <w:rsid w:val="00492075"/>
    <w:rsid w:val="004969AD"/>
    <w:rsid w:val="004A26C4"/>
    <w:rsid w:val="004A2C63"/>
    <w:rsid w:val="004B13CB"/>
    <w:rsid w:val="004D26EA"/>
    <w:rsid w:val="004D2BFB"/>
    <w:rsid w:val="004D5D5C"/>
    <w:rsid w:val="004F3DC0"/>
    <w:rsid w:val="0050139F"/>
    <w:rsid w:val="0055140B"/>
    <w:rsid w:val="00580F60"/>
    <w:rsid w:val="005861D7"/>
    <w:rsid w:val="005964AB"/>
    <w:rsid w:val="005C099A"/>
    <w:rsid w:val="005C31A5"/>
    <w:rsid w:val="005E10C9"/>
    <w:rsid w:val="005E290B"/>
    <w:rsid w:val="005E61DD"/>
    <w:rsid w:val="005F04D8"/>
    <w:rsid w:val="006023DF"/>
    <w:rsid w:val="00604B4D"/>
    <w:rsid w:val="00615426"/>
    <w:rsid w:val="00616219"/>
    <w:rsid w:val="0063159F"/>
    <w:rsid w:val="00645B7D"/>
    <w:rsid w:val="00657DE0"/>
    <w:rsid w:val="006731C7"/>
    <w:rsid w:val="00685313"/>
    <w:rsid w:val="00692833"/>
    <w:rsid w:val="006A6E9B"/>
    <w:rsid w:val="006B7C2A"/>
    <w:rsid w:val="006C23DA"/>
    <w:rsid w:val="006D6316"/>
    <w:rsid w:val="006D70B0"/>
    <w:rsid w:val="006E3D45"/>
    <w:rsid w:val="0070607A"/>
    <w:rsid w:val="007149F9"/>
    <w:rsid w:val="00733A30"/>
    <w:rsid w:val="00745AEE"/>
    <w:rsid w:val="00750F10"/>
    <w:rsid w:val="00765D5C"/>
    <w:rsid w:val="007742CA"/>
    <w:rsid w:val="00790D70"/>
    <w:rsid w:val="007A6F1F"/>
    <w:rsid w:val="007C1662"/>
    <w:rsid w:val="007D2982"/>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366C"/>
    <w:rsid w:val="009274B4"/>
    <w:rsid w:val="00934EA2"/>
    <w:rsid w:val="00944A5C"/>
    <w:rsid w:val="00952A66"/>
    <w:rsid w:val="00963121"/>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5C19"/>
    <w:rsid w:val="00AA666F"/>
    <w:rsid w:val="00AB412A"/>
    <w:rsid w:val="00AD7914"/>
    <w:rsid w:val="00AE514B"/>
    <w:rsid w:val="00B40888"/>
    <w:rsid w:val="00B639E9"/>
    <w:rsid w:val="00B817CD"/>
    <w:rsid w:val="00B81A7D"/>
    <w:rsid w:val="00B91EF7"/>
    <w:rsid w:val="00B94AD0"/>
    <w:rsid w:val="00BB3A95"/>
    <w:rsid w:val="00BC75DE"/>
    <w:rsid w:val="00BD6CCE"/>
    <w:rsid w:val="00C0018F"/>
    <w:rsid w:val="00C01683"/>
    <w:rsid w:val="00C03894"/>
    <w:rsid w:val="00C16A5A"/>
    <w:rsid w:val="00C17D8C"/>
    <w:rsid w:val="00C20466"/>
    <w:rsid w:val="00C214ED"/>
    <w:rsid w:val="00C234E6"/>
    <w:rsid w:val="00C324A8"/>
    <w:rsid w:val="00C36F17"/>
    <w:rsid w:val="00C54517"/>
    <w:rsid w:val="00C56F70"/>
    <w:rsid w:val="00C57B91"/>
    <w:rsid w:val="00C64CD8"/>
    <w:rsid w:val="00C708D1"/>
    <w:rsid w:val="00C82695"/>
    <w:rsid w:val="00C97C68"/>
    <w:rsid w:val="00CA1A47"/>
    <w:rsid w:val="00CA3DFC"/>
    <w:rsid w:val="00CB44E5"/>
    <w:rsid w:val="00CC247A"/>
    <w:rsid w:val="00CE388F"/>
    <w:rsid w:val="00CE5E47"/>
    <w:rsid w:val="00CF020F"/>
    <w:rsid w:val="00CF2B5B"/>
    <w:rsid w:val="00CF7389"/>
    <w:rsid w:val="00D14CE0"/>
    <w:rsid w:val="00D255D4"/>
    <w:rsid w:val="00D268B3"/>
    <w:rsid w:val="00D40AE5"/>
    <w:rsid w:val="00D52FD6"/>
    <w:rsid w:val="00D54009"/>
    <w:rsid w:val="00D5651D"/>
    <w:rsid w:val="00D57A34"/>
    <w:rsid w:val="00D74898"/>
    <w:rsid w:val="00D801ED"/>
    <w:rsid w:val="00D936BC"/>
    <w:rsid w:val="00D96530"/>
    <w:rsid w:val="00DA1CB1"/>
    <w:rsid w:val="00DA6EE7"/>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EF7970"/>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C680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qFormat/>
    <w:rPr>
      <w:color w:val="0000FF" w:themeColor="hyperlink"/>
      <w:u w:val="single"/>
    </w:rPr>
  </w:style>
  <w:style w:type="character" w:customStyle="1" w:styleId="TabletitleChar">
    <w:name w:val="Table_title Char"/>
    <w:basedOn w:val="DefaultParagraphFont"/>
    <w:link w:val="Tabletitle"/>
    <w:rsid w:val="00D40AE5"/>
    <w:rPr>
      <w:rFonts w:ascii="Times New Roman Bold" w:hAnsi="Times New Roman Bold"/>
      <w:b/>
      <w:lang w:val="en-GB" w:eastAsia="en-US"/>
    </w:rPr>
  </w:style>
  <w:style w:type="character" w:customStyle="1" w:styleId="TableNoChar">
    <w:name w:val="Table_No Char"/>
    <w:basedOn w:val="DefaultParagraphFont"/>
    <w:link w:val="TableNo"/>
    <w:locked/>
    <w:rsid w:val="00D40AE5"/>
    <w:rPr>
      <w:rFonts w:ascii="Times New Roman" w:hAnsi="Times New Roman"/>
      <w:caps/>
      <w:lang w:val="en-GB" w:eastAsia="en-US"/>
    </w:rPr>
  </w:style>
  <w:style w:type="character" w:styleId="FollowedHyperlink">
    <w:name w:val="FollowedHyperlink"/>
    <w:basedOn w:val="DefaultParagraphFont"/>
    <w:semiHidden/>
    <w:unhideWhenUsed/>
    <w:rsid w:val="00765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R23-WRC23-C-0111!A25-A1!MSW-E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B54FC-2ADD-46B2-A316-ED287BD755D2}"/>
</file>

<file path=customXml/itemProps2.xml><?xml version="1.0" encoding="utf-8"?>
<ds:datastoreItem xmlns:ds="http://schemas.openxmlformats.org/officeDocument/2006/customXml" ds:itemID="{90695AAE-2AB9-442C-87A8-A94FEF30161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76B11CD-E29B-495A-A4FE-9318710697FB}">
  <ds:schemaRefs>
    <ds:schemaRef ds:uri="http://schemas.openxmlformats.org/officeDocument/2006/bibliography"/>
  </ds:schemaRefs>
</ds:datastoreItem>
</file>

<file path=customXml/itemProps4.xml><?xml version="1.0" encoding="utf-8"?>
<ds:datastoreItem xmlns:ds="http://schemas.openxmlformats.org/officeDocument/2006/customXml" ds:itemID="{629FB42E-031C-495F-806C-3CF7992B41D8}">
  <ds:schemaRefs>
    <ds:schemaRef ds:uri="http://schemas.microsoft.com/sharepoint/events"/>
  </ds:schemaRefs>
</ds:datastoreItem>
</file>

<file path=customXml/itemProps5.xml><?xml version="1.0" encoding="utf-8"?>
<ds:datastoreItem xmlns:ds="http://schemas.openxmlformats.org/officeDocument/2006/customXml" ds:itemID="{E43BEA80-09E4-4472-B057-57BC5F4C9D6B}"/>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R23-WRC23-C-0111!A25-A1!MSW-E</vt:lpstr>
    </vt:vector>
  </TitlesOfParts>
  <Manager>General Secretariat - Pool</Manager>
  <Company>International Telecommunication Union (ITU)</Company>
  <LinksUpToDate>false</LinksUpToDate>
  <CharactersWithSpaces>3992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R23-WRC23-C-0111!A25-A1!MSW-E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2017-02-10T08:23:00Z</cp:lastPrinted>
  <dcterms:created xsi:type="dcterms:W3CDTF">2023-11-13T07:54:00Z</dcterms:created>
  <dcterms:modified xsi:type="dcterms:W3CDTF">2023-11-13T07:54:00Z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