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C74DA9" w14:paraId="0AC55B70" w14:textId="77777777" w:rsidTr="008B5349">
        <w:trPr>
          <w:cantSplit/>
        </w:trPr>
        <w:tc>
          <w:tcPr>
            <w:tcW w:w="1418" w:type="dxa"/>
            <w:vAlign w:val="center"/>
          </w:tcPr>
          <w:p w14:paraId="3C49E8FF" w14:textId="77777777" w:rsidR="00C1305F" w:rsidRPr="00C74DA9" w:rsidRDefault="00C1305F" w:rsidP="00FA0446">
            <w:pPr>
              <w:spacing w:before="0"/>
              <w:rPr>
                <w:rFonts w:ascii="Verdana" w:hAnsi="Verdana"/>
                <w:b/>
                <w:bCs/>
                <w:sz w:val="20"/>
              </w:rPr>
            </w:pPr>
            <w:r w:rsidRPr="00C74DA9">
              <w:rPr>
                <w:lang w:eastAsia="fr-CH"/>
              </w:rPr>
              <w:drawing>
                <wp:inline distT="0" distB="0" distL="0" distR="0" wp14:anchorId="6DDD4693" wp14:editId="5CE96D36">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7A7C4BA9" w14:textId="69DD2221" w:rsidR="00C1305F" w:rsidRPr="00C74DA9" w:rsidRDefault="002B40B1" w:rsidP="002C0773">
            <w:pPr>
              <w:spacing w:before="400" w:after="48"/>
              <w:rPr>
                <w:rFonts w:ascii="Verdana" w:hAnsi="Verdana"/>
                <w:b/>
                <w:bCs/>
                <w:sz w:val="18"/>
                <w:szCs w:val="18"/>
              </w:rPr>
            </w:pPr>
            <w:r w:rsidRPr="00C74DA9">
              <w:rPr>
                <w:rFonts w:ascii="Verdana" w:hAnsi="Verdana"/>
                <w:b/>
                <w:bCs/>
                <w:sz w:val="20"/>
              </w:rPr>
              <w:t>Conférence Mondiale des Radiocommunications (CMR-23)</w:t>
            </w:r>
            <w:r w:rsidRPr="00C74DA9">
              <w:rPr>
                <w:rFonts w:ascii="Verdana" w:hAnsi="Verdana"/>
                <w:b/>
                <w:bCs/>
                <w:sz w:val="20"/>
              </w:rPr>
              <w:br/>
            </w:r>
            <w:r w:rsidR="00C1305F" w:rsidRPr="00C74DA9">
              <w:rPr>
                <w:rFonts w:ascii="Verdana" w:hAnsi="Verdana"/>
                <w:b/>
                <w:bCs/>
                <w:sz w:val="18"/>
                <w:szCs w:val="18"/>
              </w:rPr>
              <w:t xml:space="preserve">Dubaï, 20 novembre </w:t>
            </w:r>
            <w:r w:rsidR="001263E4" w:rsidRPr="00C74DA9">
              <w:rPr>
                <w:rFonts w:ascii="Verdana" w:hAnsi="Verdana"/>
                <w:b/>
                <w:bCs/>
                <w:sz w:val="18"/>
                <w:szCs w:val="18"/>
              </w:rPr>
              <w:t>–</w:t>
            </w:r>
            <w:r w:rsidR="00C1305F" w:rsidRPr="00C74DA9">
              <w:rPr>
                <w:rFonts w:ascii="Verdana" w:hAnsi="Verdana"/>
                <w:b/>
                <w:bCs/>
                <w:sz w:val="18"/>
                <w:szCs w:val="18"/>
              </w:rPr>
              <w:t xml:space="preserve"> 15 décembre 2023</w:t>
            </w:r>
          </w:p>
        </w:tc>
        <w:tc>
          <w:tcPr>
            <w:tcW w:w="1809" w:type="dxa"/>
            <w:vAlign w:val="center"/>
          </w:tcPr>
          <w:p w14:paraId="0D6F881C" w14:textId="54D458BF" w:rsidR="00E6509A" w:rsidRPr="00C74DA9" w:rsidRDefault="00C1305F" w:rsidP="00FA0446">
            <w:pPr>
              <w:spacing w:before="0"/>
            </w:pPr>
            <w:bookmarkStart w:id="0" w:name="ditulogo"/>
            <w:bookmarkEnd w:id="0"/>
            <w:r w:rsidRPr="00C74DA9">
              <w:rPr>
                <w:lang w:eastAsia="fr-CH"/>
              </w:rPr>
              <w:drawing>
                <wp:inline distT="0" distB="0" distL="0" distR="0" wp14:anchorId="020F9B8B" wp14:editId="2BCEDEB1">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8B5349" w:rsidRPr="00C74DA9" w14:paraId="413E6B37" w14:textId="77777777" w:rsidTr="008B5349">
        <w:trPr>
          <w:cantSplit/>
        </w:trPr>
        <w:tc>
          <w:tcPr>
            <w:tcW w:w="6911" w:type="dxa"/>
            <w:gridSpan w:val="2"/>
            <w:tcBorders>
              <w:bottom w:val="single" w:sz="12" w:space="0" w:color="auto"/>
            </w:tcBorders>
          </w:tcPr>
          <w:p w14:paraId="5C5888B5" w14:textId="77777777" w:rsidR="008B5349" w:rsidRPr="00C74DA9" w:rsidRDefault="008B5349" w:rsidP="00FA0446">
            <w:pPr>
              <w:spacing w:before="0" w:after="48"/>
              <w:rPr>
                <w:rFonts w:ascii="Verdana" w:hAnsi="Verdana"/>
                <w:b/>
                <w:smallCaps/>
                <w:sz w:val="20"/>
              </w:rPr>
            </w:pPr>
          </w:p>
        </w:tc>
        <w:tc>
          <w:tcPr>
            <w:tcW w:w="3120" w:type="dxa"/>
            <w:gridSpan w:val="2"/>
            <w:tcBorders>
              <w:bottom w:val="single" w:sz="12" w:space="0" w:color="auto"/>
            </w:tcBorders>
          </w:tcPr>
          <w:p w14:paraId="4B817A52" w14:textId="77777777" w:rsidR="008B5349" w:rsidRPr="00C74DA9" w:rsidRDefault="008B5349" w:rsidP="00FA0446">
            <w:pPr>
              <w:spacing w:before="0"/>
              <w:rPr>
                <w:rFonts w:ascii="Verdana" w:hAnsi="Verdana"/>
                <w:sz w:val="20"/>
              </w:rPr>
            </w:pPr>
          </w:p>
        </w:tc>
      </w:tr>
      <w:tr w:rsidR="00BB1D82" w:rsidRPr="00C74DA9" w14:paraId="1E5699E1" w14:textId="77777777" w:rsidTr="008B5349">
        <w:trPr>
          <w:cantSplit/>
        </w:trPr>
        <w:tc>
          <w:tcPr>
            <w:tcW w:w="6911" w:type="dxa"/>
            <w:gridSpan w:val="2"/>
            <w:tcBorders>
              <w:top w:val="single" w:sz="12" w:space="0" w:color="auto"/>
            </w:tcBorders>
          </w:tcPr>
          <w:p w14:paraId="2901491E" w14:textId="77777777" w:rsidR="00BB1D82" w:rsidRPr="00C74DA9" w:rsidRDefault="00BB1D82" w:rsidP="00FA0446">
            <w:pPr>
              <w:spacing w:before="0" w:after="48"/>
              <w:rPr>
                <w:rFonts w:ascii="Verdana" w:hAnsi="Verdana"/>
                <w:b/>
                <w:smallCaps/>
                <w:sz w:val="20"/>
              </w:rPr>
            </w:pPr>
            <w:bookmarkStart w:id="1" w:name="dhead"/>
          </w:p>
        </w:tc>
        <w:tc>
          <w:tcPr>
            <w:tcW w:w="3120" w:type="dxa"/>
            <w:gridSpan w:val="2"/>
            <w:tcBorders>
              <w:top w:val="single" w:sz="12" w:space="0" w:color="auto"/>
            </w:tcBorders>
          </w:tcPr>
          <w:p w14:paraId="315ED678" w14:textId="77777777" w:rsidR="00BB1D82" w:rsidRPr="00C74DA9" w:rsidRDefault="00BB1D82" w:rsidP="00FA0446">
            <w:pPr>
              <w:spacing w:before="0"/>
              <w:rPr>
                <w:rFonts w:ascii="Verdana" w:hAnsi="Verdana"/>
                <w:sz w:val="20"/>
              </w:rPr>
            </w:pPr>
          </w:p>
        </w:tc>
      </w:tr>
      <w:tr w:rsidR="00BB1D82" w:rsidRPr="00C74DA9" w14:paraId="652CC647" w14:textId="77777777" w:rsidTr="008B5349">
        <w:trPr>
          <w:cantSplit/>
        </w:trPr>
        <w:tc>
          <w:tcPr>
            <w:tcW w:w="6911" w:type="dxa"/>
            <w:gridSpan w:val="2"/>
          </w:tcPr>
          <w:p w14:paraId="7B5A0FDF" w14:textId="77777777" w:rsidR="00BB1D82" w:rsidRPr="00C74DA9" w:rsidRDefault="006D4724" w:rsidP="00FA0446">
            <w:pPr>
              <w:spacing w:before="0"/>
              <w:rPr>
                <w:rFonts w:ascii="Verdana" w:hAnsi="Verdana"/>
                <w:b/>
                <w:sz w:val="20"/>
              </w:rPr>
            </w:pPr>
            <w:r w:rsidRPr="00C74DA9">
              <w:rPr>
                <w:rFonts w:ascii="Verdana" w:hAnsi="Verdana"/>
                <w:b/>
                <w:sz w:val="20"/>
              </w:rPr>
              <w:t>SÉANCE PLÉNIÈRE</w:t>
            </w:r>
          </w:p>
        </w:tc>
        <w:tc>
          <w:tcPr>
            <w:tcW w:w="3120" w:type="dxa"/>
            <w:gridSpan w:val="2"/>
          </w:tcPr>
          <w:p w14:paraId="491FD49F" w14:textId="173C2CF6" w:rsidR="00BB1D82" w:rsidRPr="00C74DA9" w:rsidRDefault="006D4724" w:rsidP="00FA0446">
            <w:pPr>
              <w:spacing w:before="0"/>
              <w:rPr>
                <w:rFonts w:ascii="Verdana" w:hAnsi="Verdana"/>
                <w:sz w:val="20"/>
              </w:rPr>
            </w:pPr>
            <w:r w:rsidRPr="00C74DA9">
              <w:rPr>
                <w:rFonts w:ascii="Verdana" w:hAnsi="Verdana"/>
                <w:b/>
                <w:sz w:val="20"/>
              </w:rPr>
              <w:t xml:space="preserve">Addendum </w:t>
            </w:r>
            <w:r w:rsidR="008B5349" w:rsidRPr="00C74DA9">
              <w:rPr>
                <w:rFonts w:ascii="Verdana" w:hAnsi="Verdana"/>
                <w:b/>
                <w:sz w:val="20"/>
              </w:rPr>
              <w:t>25</w:t>
            </w:r>
            <w:r w:rsidRPr="00C74DA9">
              <w:rPr>
                <w:rFonts w:ascii="Verdana" w:hAnsi="Verdana"/>
                <w:b/>
                <w:sz w:val="20"/>
              </w:rPr>
              <w:t xml:space="preserve"> au</w:t>
            </w:r>
            <w:r w:rsidRPr="00C74DA9">
              <w:rPr>
                <w:rFonts w:ascii="Verdana" w:hAnsi="Verdana"/>
                <w:b/>
                <w:sz w:val="20"/>
              </w:rPr>
              <w:br/>
              <w:t xml:space="preserve">Document </w:t>
            </w:r>
            <w:r w:rsidR="008B5349" w:rsidRPr="00C74DA9">
              <w:rPr>
                <w:rFonts w:ascii="Verdana" w:hAnsi="Verdana"/>
                <w:b/>
                <w:sz w:val="20"/>
              </w:rPr>
              <w:t>111</w:t>
            </w:r>
            <w:r w:rsidR="00BB1D82" w:rsidRPr="00C74DA9">
              <w:rPr>
                <w:rFonts w:ascii="Verdana" w:hAnsi="Verdana"/>
                <w:b/>
                <w:sz w:val="20"/>
              </w:rPr>
              <w:t>-</w:t>
            </w:r>
            <w:r w:rsidRPr="00C74DA9">
              <w:rPr>
                <w:rFonts w:ascii="Verdana" w:hAnsi="Verdana"/>
                <w:b/>
                <w:sz w:val="20"/>
              </w:rPr>
              <w:t>F</w:t>
            </w:r>
          </w:p>
        </w:tc>
      </w:tr>
      <w:bookmarkEnd w:id="1"/>
      <w:tr w:rsidR="00690C7B" w:rsidRPr="00C74DA9" w14:paraId="63017B92" w14:textId="77777777" w:rsidTr="008B5349">
        <w:trPr>
          <w:cantSplit/>
        </w:trPr>
        <w:tc>
          <w:tcPr>
            <w:tcW w:w="6911" w:type="dxa"/>
            <w:gridSpan w:val="2"/>
          </w:tcPr>
          <w:p w14:paraId="01BF8EED" w14:textId="77777777" w:rsidR="00690C7B" w:rsidRPr="00C74DA9" w:rsidRDefault="00690C7B" w:rsidP="00FA0446">
            <w:pPr>
              <w:spacing w:before="0"/>
              <w:rPr>
                <w:rFonts w:ascii="Verdana" w:hAnsi="Verdana"/>
                <w:b/>
                <w:sz w:val="20"/>
              </w:rPr>
            </w:pPr>
          </w:p>
        </w:tc>
        <w:tc>
          <w:tcPr>
            <w:tcW w:w="3120" w:type="dxa"/>
            <w:gridSpan w:val="2"/>
          </w:tcPr>
          <w:p w14:paraId="2CDADA9D" w14:textId="18E68678" w:rsidR="00690C7B" w:rsidRPr="00C74DA9" w:rsidRDefault="008B5349" w:rsidP="00FA0446">
            <w:pPr>
              <w:spacing w:before="0"/>
              <w:rPr>
                <w:rFonts w:ascii="Verdana" w:hAnsi="Verdana"/>
                <w:b/>
                <w:sz w:val="20"/>
              </w:rPr>
            </w:pPr>
            <w:r w:rsidRPr="00C74DA9">
              <w:rPr>
                <w:rFonts w:ascii="Verdana" w:hAnsi="Verdana"/>
                <w:b/>
                <w:sz w:val="20"/>
              </w:rPr>
              <w:t>30 octobre</w:t>
            </w:r>
            <w:r w:rsidR="00690C7B" w:rsidRPr="00C74DA9">
              <w:rPr>
                <w:rFonts w:ascii="Verdana" w:hAnsi="Verdana"/>
                <w:b/>
                <w:sz w:val="20"/>
              </w:rPr>
              <w:t xml:space="preserve"> 2023</w:t>
            </w:r>
          </w:p>
        </w:tc>
      </w:tr>
      <w:tr w:rsidR="00690C7B" w:rsidRPr="00C74DA9" w14:paraId="4B4FA759" w14:textId="77777777" w:rsidTr="008B5349">
        <w:trPr>
          <w:cantSplit/>
        </w:trPr>
        <w:tc>
          <w:tcPr>
            <w:tcW w:w="6911" w:type="dxa"/>
            <w:gridSpan w:val="2"/>
          </w:tcPr>
          <w:p w14:paraId="4AEE8C45" w14:textId="77777777" w:rsidR="00690C7B" w:rsidRPr="00C74DA9" w:rsidRDefault="00690C7B" w:rsidP="00FA0446">
            <w:pPr>
              <w:spacing w:before="0" w:after="48"/>
              <w:rPr>
                <w:rFonts w:ascii="Verdana" w:hAnsi="Verdana"/>
                <w:b/>
                <w:smallCaps/>
                <w:sz w:val="20"/>
              </w:rPr>
            </w:pPr>
          </w:p>
        </w:tc>
        <w:tc>
          <w:tcPr>
            <w:tcW w:w="3120" w:type="dxa"/>
            <w:gridSpan w:val="2"/>
          </w:tcPr>
          <w:p w14:paraId="3C88130D" w14:textId="6CDDA650" w:rsidR="00690C7B" w:rsidRPr="00C74DA9" w:rsidRDefault="00690C7B" w:rsidP="00FA0446">
            <w:pPr>
              <w:spacing w:before="0"/>
              <w:rPr>
                <w:rFonts w:ascii="Verdana" w:hAnsi="Verdana"/>
                <w:b/>
                <w:sz w:val="20"/>
              </w:rPr>
            </w:pPr>
            <w:r w:rsidRPr="00C74DA9">
              <w:rPr>
                <w:rFonts w:ascii="Verdana" w:hAnsi="Verdana"/>
                <w:b/>
                <w:sz w:val="20"/>
              </w:rPr>
              <w:t xml:space="preserve">Original: </w:t>
            </w:r>
            <w:r w:rsidR="00C20294" w:rsidRPr="00C74DA9">
              <w:rPr>
                <w:rFonts w:ascii="Verdana" w:hAnsi="Verdana"/>
                <w:b/>
                <w:sz w:val="20"/>
              </w:rPr>
              <w:t>chinois</w:t>
            </w:r>
          </w:p>
        </w:tc>
      </w:tr>
      <w:tr w:rsidR="00690C7B" w:rsidRPr="00C74DA9" w14:paraId="60946CC2" w14:textId="77777777" w:rsidTr="008B5349">
        <w:trPr>
          <w:cantSplit/>
        </w:trPr>
        <w:tc>
          <w:tcPr>
            <w:tcW w:w="10031" w:type="dxa"/>
            <w:gridSpan w:val="4"/>
          </w:tcPr>
          <w:p w14:paraId="49D3E210" w14:textId="77777777" w:rsidR="00690C7B" w:rsidRPr="00C74DA9" w:rsidRDefault="00690C7B" w:rsidP="00FA0446">
            <w:pPr>
              <w:spacing w:before="0"/>
              <w:rPr>
                <w:rFonts w:ascii="Verdana" w:hAnsi="Verdana"/>
                <w:b/>
                <w:sz w:val="20"/>
              </w:rPr>
            </w:pPr>
          </w:p>
        </w:tc>
      </w:tr>
      <w:tr w:rsidR="00690C7B" w:rsidRPr="00C74DA9" w14:paraId="2F3BB61E" w14:textId="77777777" w:rsidTr="008B5349">
        <w:trPr>
          <w:cantSplit/>
        </w:trPr>
        <w:tc>
          <w:tcPr>
            <w:tcW w:w="10031" w:type="dxa"/>
            <w:gridSpan w:val="4"/>
          </w:tcPr>
          <w:p w14:paraId="391D2C5D" w14:textId="2F09C201" w:rsidR="00690C7B" w:rsidRPr="00C74DA9" w:rsidRDefault="005F7B13" w:rsidP="00FA0446">
            <w:pPr>
              <w:pStyle w:val="Source"/>
            </w:pPr>
            <w:bookmarkStart w:id="2" w:name="dsource" w:colFirst="0" w:colLast="0"/>
            <w:r w:rsidRPr="00C74DA9">
              <w:t>Chine (République populaire de)</w:t>
            </w:r>
          </w:p>
        </w:tc>
      </w:tr>
      <w:tr w:rsidR="00690C7B" w:rsidRPr="00C74DA9" w14:paraId="741A3821" w14:textId="77777777" w:rsidTr="008B5349">
        <w:trPr>
          <w:cantSplit/>
        </w:trPr>
        <w:tc>
          <w:tcPr>
            <w:tcW w:w="10031" w:type="dxa"/>
            <w:gridSpan w:val="4"/>
          </w:tcPr>
          <w:p w14:paraId="20C65792" w14:textId="07B10666" w:rsidR="00690C7B" w:rsidRPr="00C74DA9" w:rsidRDefault="009E461E" w:rsidP="00FA0446">
            <w:pPr>
              <w:pStyle w:val="Title1"/>
            </w:pPr>
            <w:bookmarkStart w:id="3" w:name="dtitle1" w:colFirst="0" w:colLast="0"/>
            <w:bookmarkEnd w:id="2"/>
            <w:r w:rsidRPr="00C74DA9">
              <w:t>PROPOS</w:t>
            </w:r>
            <w:r w:rsidR="0047745A" w:rsidRPr="00C74DA9">
              <w:t>I</w:t>
            </w:r>
            <w:r w:rsidRPr="00C74DA9">
              <w:t>TIONS POUR LES TRAVAUX DE LA CONFÉRENCE</w:t>
            </w:r>
          </w:p>
        </w:tc>
      </w:tr>
      <w:tr w:rsidR="00690C7B" w:rsidRPr="00C74DA9" w14:paraId="6495E104" w14:textId="77777777" w:rsidTr="008B5349">
        <w:trPr>
          <w:cantSplit/>
        </w:trPr>
        <w:tc>
          <w:tcPr>
            <w:tcW w:w="10031" w:type="dxa"/>
            <w:gridSpan w:val="4"/>
          </w:tcPr>
          <w:p w14:paraId="2CE83DC1" w14:textId="77777777" w:rsidR="00690C7B" w:rsidRPr="00C74DA9" w:rsidRDefault="00690C7B" w:rsidP="00FA0446">
            <w:pPr>
              <w:pStyle w:val="Title2"/>
            </w:pPr>
            <w:bookmarkStart w:id="4" w:name="dtitle2" w:colFirst="0" w:colLast="0"/>
            <w:bookmarkEnd w:id="3"/>
          </w:p>
        </w:tc>
      </w:tr>
      <w:tr w:rsidR="00690C7B" w:rsidRPr="00C74DA9" w14:paraId="6DDA5EC9" w14:textId="77777777" w:rsidTr="008B5349">
        <w:trPr>
          <w:cantSplit/>
        </w:trPr>
        <w:tc>
          <w:tcPr>
            <w:tcW w:w="10031" w:type="dxa"/>
            <w:gridSpan w:val="4"/>
          </w:tcPr>
          <w:p w14:paraId="64E6305D" w14:textId="6F8F58C5" w:rsidR="00690C7B" w:rsidRPr="00C74DA9" w:rsidRDefault="000057DE" w:rsidP="00FA0446">
            <w:pPr>
              <w:pStyle w:val="Agendaitem"/>
              <w:rPr>
                <w:lang w:val="fr-FR"/>
              </w:rPr>
            </w:pPr>
            <w:bookmarkStart w:id="5" w:name="dtitle3" w:colFirst="0" w:colLast="0"/>
            <w:bookmarkEnd w:id="4"/>
            <w:r w:rsidRPr="00C74DA9">
              <w:rPr>
                <w:lang w:val="fr-FR"/>
              </w:rPr>
              <w:t>Point 9.</w:t>
            </w:r>
            <w:r w:rsidR="008B5349" w:rsidRPr="00C74DA9">
              <w:rPr>
                <w:lang w:val="fr-FR"/>
              </w:rPr>
              <w:t>2</w:t>
            </w:r>
            <w:r w:rsidR="00DF3246" w:rsidRPr="00C74DA9">
              <w:rPr>
                <w:lang w:val="fr-FR"/>
              </w:rPr>
              <w:t xml:space="preserve"> de l'ordre du jour</w:t>
            </w:r>
          </w:p>
        </w:tc>
      </w:tr>
    </w:tbl>
    <w:bookmarkEnd w:id="5"/>
    <w:p w14:paraId="62EB7232" w14:textId="12CA3EDE" w:rsidR="00A508FD" w:rsidRPr="00C74DA9" w:rsidRDefault="00A508FD" w:rsidP="001263E4">
      <w:r w:rsidRPr="00C74DA9">
        <w:t>9</w:t>
      </w:r>
      <w:r w:rsidRPr="00C74DA9">
        <w:tab/>
      </w:r>
      <w:r w:rsidR="008A6F5E" w:rsidRPr="00C74DA9">
        <w:t>examiner et approuver le rapport du Directeur du Bureau des radiocommunications, conformément à l'article 7 de la Convention de l'UIT;</w:t>
      </w:r>
    </w:p>
    <w:p w14:paraId="7D88DDCC" w14:textId="7211847B" w:rsidR="00A508FD" w:rsidRPr="00C74DA9" w:rsidRDefault="00A508FD" w:rsidP="001263E4">
      <w:r w:rsidRPr="00C74DA9">
        <w:t>9.2</w:t>
      </w:r>
      <w:r w:rsidRPr="00C74DA9">
        <w:tab/>
      </w:r>
      <w:r w:rsidR="008A6F5E" w:rsidRPr="00C74DA9">
        <w:t>sur les difficultés rencontrées ou les incohérences constatées dans l'application du Règlement des radiocommunications</w:t>
      </w:r>
      <w:r w:rsidR="008A6F5E" w:rsidRPr="00C74DA9">
        <w:rPr>
          <w:vertAlign w:val="superscript"/>
        </w:rPr>
        <w:footnoteReference w:customMarkFollows="1" w:id="1"/>
        <w:t>1</w:t>
      </w:r>
      <w:r w:rsidR="008A6F5E" w:rsidRPr="00C74DA9">
        <w:t>; et</w:t>
      </w:r>
    </w:p>
    <w:p w14:paraId="666BAD88" w14:textId="4E113145" w:rsidR="00EF3BC1" w:rsidRPr="00C74DA9" w:rsidRDefault="00EF3BC1" w:rsidP="001263E4">
      <w:pPr>
        <w:pStyle w:val="Headingb"/>
      </w:pPr>
      <w:r w:rsidRPr="00C74DA9">
        <w:t>Introduction</w:t>
      </w:r>
    </w:p>
    <w:p w14:paraId="725C7CF0" w14:textId="3407BD3B" w:rsidR="00770F90" w:rsidRPr="00C74DA9" w:rsidRDefault="000B2763" w:rsidP="001263E4">
      <w:r w:rsidRPr="00C74DA9">
        <w:t>Sachant</w:t>
      </w:r>
      <w:r w:rsidR="00770F90" w:rsidRPr="00C74DA9">
        <w:t xml:space="preserve"> que les difficultés rencontrées ou les incohérences constatées dans l'application des dispositions pertinentes du Règlement des radiocommunications sont répertoriées et analysées dans la Partie 2 du Rapport du Directeur du Bureau des radiocommunications </w:t>
      </w:r>
      <w:r w:rsidR="00770F90" w:rsidRPr="00C74DA9">
        <w:rPr>
          <w:lang w:eastAsia="zh-CN"/>
        </w:rPr>
        <w:t>(</w:t>
      </w:r>
      <w:hyperlink r:id="rId13" w:history="1">
        <w:r w:rsidR="00770F90" w:rsidRPr="00C74DA9">
          <w:rPr>
            <w:rStyle w:val="Hyperlink"/>
            <w:lang w:eastAsia="zh-CN"/>
          </w:rPr>
          <w:t>Doc.4 Add.2</w:t>
        </w:r>
      </w:hyperlink>
      <w:r w:rsidR="00770F90" w:rsidRPr="00C74DA9">
        <w:rPr>
          <w:lang w:eastAsia="zh-CN"/>
        </w:rPr>
        <w:t>), l'Administration de la Chine</w:t>
      </w:r>
      <w:r w:rsidR="00770F90" w:rsidRPr="00C74DA9">
        <w:t xml:space="preserve"> </w:t>
      </w:r>
      <w:r w:rsidR="00770F90" w:rsidRPr="00C74DA9">
        <w:rPr>
          <w:lang w:eastAsia="zh-CN"/>
        </w:rPr>
        <w:t>a élaboré des positions et des propositions concernant un certain nombre de questions qui figurent dans six Addenda à la présente contribution.</w:t>
      </w:r>
    </w:p>
    <w:p w14:paraId="7B73D09E" w14:textId="4B10EE50" w:rsidR="00EF3BC1" w:rsidRPr="00C74DA9" w:rsidRDefault="00EF3BC1" w:rsidP="001263E4">
      <w:pPr>
        <w:pStyle w:val="Headingb"/>
      </w:pPr>
      <w:r w:rsidRPr="00C74DA9">
        <w:t>Propositions</w:t>
      </w:r>
    </w:p>
    <w:p w14:paraId="2613BEEB" w14:textId="0A3880EF" w:rsidR="00770F90" w:rsidRPr="00C74DA9" w:rsidRDefault="00770F90" w:rsidP="008A4D73">
      <w:pPr>
        <w:spacing w:after="120"/>
      </w:pPr>
      <w:r w:rsidRPr="00C74DA9">
        <w:rPr>
          <w:lang w:eastAsia="zh-CN"/>
        </w:rPr>
        <w:t>L'Administration de la Chine</w:t>
      </w:r>
      <w:r w:rsidRPr="00C74DA9">
        <w:t xml:space="preserve"> </w:t>
      </w:r>
      <w:r w:rsidRPr="00C74DA9">
        <w:rPr>
          <w:lang w:eastAsia="zh-CN"/>
        </w:rPr>
        <w:t>soumet</w:t>
      </w:r>
      <w:r w:rsidRPr="00C74DA9">
        <w:t xml:space="preserve"> </w:t>
      </w:r>
      <w:r w:rsidRPr="00C74DA9">
        <w:rPr>
          <w:lang w:eastAsia="zh-CN"/>
        </w:rPr>
        <w:t xml:space="preserve">ses positions et ses propositions concernant </w:t>
      </w:r>
      <w:r w:rsidRPr="00C74DA9">
        <w:t>la Partie 2 du Rapport du Directeur du Bureau des radiocommunications en vue d'un examen complémentaire à la Conférence. On trouvera ci-</w:t>
      </w:r>
      <w:r w:rsidR="000B2763" w:rsidRPr="00C74DA9">
        <w:t xml:space="preserve">après des indications </w:t>
      </w:r>
      <w:r w:rsidRPr="00C74DA9">
        <w:t>détaillées sur les six Addenda.</w:t>
      </w:r>
    </w:p>
    <w:tbl>
      <w:tblPr>
        <w:tblStyle w:val="TableGrid"/>
        <w:tblW w:w="0" w:type="auto"/>
        <w:tblLook w:val="04A0" w:firstRow="1" w:lastRow="0" w:firstColumn="1" w:lastColumn="0" w:noHBand="0" w:noVBand="1"/>
      </w:tblPr>
      <w:tblGrid>
        <w:gridCol w:w="2057"/>
        <w:gridCol w:w="7572"/>
      </w:tblGrid>
      <w:tr w:rsidR="00770F90" w:rsidRPr="00C74DA9" w14:paraId="5E3E8260" w14:textId="77777777" w:rsidTr="00315534">
        <w:trPr>
          <w:tblHeader/>
        </w:trPr>
        <w:tc>
          <w:tcPr>
            <w:tcW w:w="2057" w:type="dxa"/>
          </w:tcPr>
          <w:p w14:paraId="43F48D6C" w14:textId="1CB7D011" w:rsidR="00770F90" w:rsidRPr="00C74DA9" w:rsidRDefault="00770F90" w:rsidP="008A4D73">
            <w:pPr>
              <w:pStyle w:val="Tablehead"/>
              <w:keepLines/>
            </w:pPr>
            <w:r w:rsidRPr="00C74DA9">
              <w:lastRenderedPageBreak/>
              <w:t>Numéro</w:t>
            </w:r>
          </w:p>
        </w:tc>
        <w:tc>
          <w:tcPr>
            <w:tcW w:w="7572" w:type="dxa"/>
          </w:tcPr>
          <w:p w14:paraId="17E2435A" w14:textId="438410F9" w:rsidR="00770F90" w:rsidRPr="00C74DA9" w:rsidRDefault="00770F90" w:rsidP="008A4D73">
            <w:pPr>
              <w:pStyle w:val="Tablehead"/>
              <w:keepLines/>
            </w:pPr>
            <w:r w:rsidRPr="00C74DA9">
              <w:t>Titre</w:t>
            </w:r>
          </w:p>
        </w:tc>
      </w:tr>
      <w:tr w:rsidR="00770F90" w:rsidRPr="00C74DA9" w14:paraId="2D30327C" w14:textId="77777777" w:rsidTr="008A4D73">
        <w:tc>
          <w:tcPr>
            <w:tcW w:w="2057" w:type="dxa"/>
            <w:vAlign w:val="center"/>
          </w:tcPr>
          <w:p w14:paraId="1F1C7CEF" w14:textId="77777777" w:rsidR="00770F90" w:rsidRPr="00C74DA9" w:rsidRDefault="00770F90" w:rsidP="008A4D73">
            <w:pPr>
              <w:pStyle w:val="Tabletext"/>
              <w:keepNext/>
              <w:keepLines/>
              <w:jc w:val="center"/>
              <w:rPr>
                <w:lang w:eastAsia="zh-CN"/>
              </w:rPr>
            </w:pPr>
            <w:r w:rsidRPr="00C74DA9">
              <w:rPr>
                <w:lang w:eastAsia="zh-CN"/>
              </w:rPr>
              <w:t>A25A1</w:t>
            </w:r>
          </w:p>
        </w:tc>
        <w:tc>
          <w:tcPr>
            <w:tcW w:w="7572" w:type="dxa"/>
          </w:tcPr>
          <w:p w14:paraId="22F1B16C" w14:textId="0C8FD972" w:rsidR="00770F90" w:rsidRPr="00C74DA9" w:rsidRDefault="00770F90" w:rsidP="008A4D73">
            <w:pPr>
              <w:pStyle w:val="Tabletext"/>
              <w:keepNext/>
              <w:keepLines/>
              <w:rPr>
                <w:lang w:eastAsia="zh-CN"/>
              </w:rPr>
            </w:pPr>
            <w:bookmarkStart w:id="6" w:name="_Toc142664155"/>
            <w:bookmarkStart w:id="7" w:name="_Toc418836016"/>
            <w:bookmarkStart w:id="8" w:name="_Toc19181725"/>
            <w:bookmarkStart w:id="9" w:name="_Toc424137123"/>
            <w:r w:rsidRPr="00C74DA9">
              <w:rPr>
                <w:lang w:eastAsia="zh-CN"/>
              </w:rPr>
              <w:t>§</w:t>
            </w:r>
            <w:r w:rsidR="00A62856" w:rsidRPr="00C74DA9">
              <w:rPr>
                <w:lang w:eastAsia="zh-CN"/>
              </w:rPr>
              <w:t> </w:t>
            </w:r>
            <w:r w:rsidRPr="00C74DA9">
              <w:rPr>
                <w:lang w:eastAsia="zh-CN"/>
              </w:rPr>
              <w:t>2.2</w:t>
            </w:r>
            <w:r w:rsidR="00A62856" w:rsidRPr="00C74DA9">
              <w:rPr>
                <w:lang w:eastAsia="zh-CN"/>
              </w:rPr>
              <w:t xml:space="preserve"> </w:t>
            </w:r>
            <w:r w:rsidR="00AC1AD1" w:rsidRPr="00C74DA9">
              <w:rPr>
                <w:lang w:eastAsia="zh-CN"/>
              </w:rPr>
              <w:t xml:space="preserve">– </w:t>
            </w:r>
            <w:r w:rsidRPr="00C74DA9">
              <w:rPr>
                <w:lang w:eastAsia="zh-CN"/>
              </w:rPr>
              <w:t>Erreurs, incohérences et parties obsolètes</w:t>
            </w:r>
            <w:bookmarkEnd w:id="6"/>
            <w:bookmarkEnd w:id="7"/>
            <w:bookmarkEnd w:id="8"/>
            <w:bookmarkEnd w:id="9"/>
            <w:r w:rsidR="00AC1AD1" w:rsidRPr="00C74DA9">
              <w:rPr>
                <w:lang w:eastAsia="zh-CN"/>
              </w:rPr>
              <w:t xml:space="preserve"> (</w:t>
            </w:r>
            <w:r w:rsidR="00A62856" w:rsidRPr="00C74DA9">
              <w:rPr>
                <w:lang w:eastAsia="zh-CN"/>
              </w:rPr>
              <w:t>Section </w:t>
            </w:r>
            <w:r w:rsidRPr="00C74DA9">
              <w:rPr>
                <w:lang w:eastAsia="zh-CN"/>
              </w:rPr>
              <w:t xml:space="preserve">2 </w:t>
            </w:r>
            <w:r w:rsidR="00AC1AD1" w:rsidRPr="00C74DA9">
              <w:rPr>
                <w:lang w:eastAsia="zh-CN"/>
              </w:rPr>
              <w:t>– É</w:t>
            </w:r>
            <w:r w:rsidR="00A62856" w:rsidRPr="00C74DA9">
              <w:rPr>
                <w:lang w:eastAsia="zh-CN"/>
              </w:rPr>
              <w:t>laboration du Règlement des radiocommunications</w:t>
            </w:r>
            <w:bookmarkStart w:id="10" w:name="_Toc424137120"/>
            <w:bookmarkStart w:id="11" w:name="_Toc142664153"/>
            <w:bookmarkStart w:id="12" w:name="_Toc418836013"/>
            <w:bookmarkStart w:id="13" w:name="_Toc19181723"/>
            <w:bookmarkStart w:id="14" w:name="_Hlk148797364"/>
            <w:r w:rsidR="00A62856" w:rsidRPr="00C74DA9">
              <w:rPr>
                <w:lang w:eastAsia="zh-CN"/>
              </w:rPr>
              <w:t xml:space="preserve"> </w:t>
            </w:r>
            <w:r w:rsidRPr="00C74DA9">
              <w:rPr>
                <w:lang w:eastAsia="zh-CN"/>
              </w:rPr>
              <w:t>(</w:t>
            </w:r>
            <w:r w:rsidR="00A62856" w:rsidRPr="00C74DA9">
              <w:rPr>
                <w:lang w:eastAsia="zh-CN"/>
              </w:rPr>
              <w:t>é</w:t>
            </w:r>
            <w:r w:rsidRPr="00C74DA9">
              <w:rPr>
                <w:lang w:eastAsia="zh-CN"/>
              </w:rPr>
              <w:t>dition</w:t>
            </w:r>
            <w:r w:rsidR="00A62856" w:rsidRPr="00C74DA9">
              <w:rPr>
                <w:lang w:eastAsia="zh-CN"/>
              </w:rPr>
              <w:t xml:space="preserve"> de 2020</w:t>
            </w:r>
            <w:r w:rsidRPr="00C74DA9">
              <w:rPr>
                <w:lang w:eastAsia="zh-CN"/>
              </w:rPr>
              <w:t>)</w:t>
            </w:r>
            <w:bookmarkEnd w:id="10"/>
            <w:bookmarkEnd w:id="11"/>
            <w:bookmarkEnd w:id="12"/>
            <w:bookmarkEnd w:id="13"/>
            <w:bookmarkEnd w:id="14"/>
            <w:r w:rsidR="00AC1AD1" w:rsidRPr="00C74DA9">
              <w:rPr>
                <w:lang w:eastAsia="zh-CN"/>
              </w:rPr>
              <w:t>)</w:t>
            </w:r>
          </w:p>
        </w:tc>
      </w:tr>
      <w:tr w:rsidR="00770F90" w:rsidRPr="00C74DA9" w14:paraId="326DF1A9" w14:textId="77777777" w:rsidTr="008A4D73">
        <w:tc>
          <w:tcPr>
            <w:tcW w:w="2057" w:type="dxa"/>
            <w:vAlign w:val="center"/>
          </w:tcPr>
          <w:p w14:paraId="2D0D8601" w14:textId="77777777" w:rsidR="00770F90" w:rsidRPr="00C74DA9" w:rsidRDefault="00770F90" w:rsidP="008A4D73">
            <w:pPr>
              <w:pStyle w:val="Tabletext"/>
              <w:keepNext/>
              <w:keepLines/>
              <w:jc w:val="center"/>
              <w:rPr>
                <w:lang w:eastAsia="zh-CN"/>
              </w:rPr>
            </w:pPr>
            <w:r w:rsidRPr="00C74DA9">
              <w:rPr>
                <w:lang w:eastAsia="zh-CN"/>
              </w:rPr>
              <w:t>A25A2</w:t>
            </w:r>
          </w:p>
        </w:tc>
        <w:tc>
          <w:tcPr>
            <w:tcW w:w="7572" w:type="dxa"/>
          </w:tcPr>
          <w:p w14:paraId="7ADAAEB9" w14:textId="20E9CBD3" w:rsidR="00770F90" w:rsidRPr="00C74DA9" w:rsidRDefault="00A62856" w:rsidP="008A4D73">
            <w:pPr>
              <w:pStyle w:val="Tabletext"/>
              <w:keepNext/>
              <w:keepLines/>
              <w:rPr>
                <w:lang w:eastAsia="zh-CN"/>
              </w:rPr>
            </w:pPr>
            <w:r w:rsidRPr="00C74DA9">
              <w:t>§ </w:t>
            </w:r>
            <w:r w:rsidR="00770F90" w:rsidRPr="00C74DA9">
              <w:t>3.1</w:t>
            </w:r>
            <w:r w:rsidRPr="00C74DA9">
              <w:t xml:space="preserve"> </w:t>
            </w:r>
            <w:r w:rsidR="0067563B" w:rsidRPr="00C74DA9">
              <w:t>–</w:t>
            </w:r>
            <w:r w:rsidR="00770F90" w:rsidRPr="00C74DA9">
              <w:t xml:space="preserve"> </w:t>
            </w:r>
            <w:r w:rsidRPr="00C74DA9">
              <w:t xml:space="preserve">Articles du Règlement des radiocommunications </w:t>
            </w:r>
            <w:r w:rsidR="0067563B" w:rsidRPr="00C74DA9">
              <w:t>(</w:t>
            </w:r>
            <w:r w:rsidRPr="00C74DA9">
              <w:t xml:space="preserve">Section 3 </w:t>
            </w:r>
            <w:r w:rsidR="0067563B" w:rsidRPr="00C74DA9">
              <w:t>– R</w:t>
            </w:r>
            <w:r w:rsidRPr="00C74DA9">
              <w:t>ésultats obtenus dans l'application des procédures réglementaires prévues dans le Règlement des radiocommunications</w:t>
            </w:r>
            <w:r w:rsidR="0067563B" w:rsidRPr="00C74DA9">
              <w:t>)</w:t>
            </w:r>
          </w:p>
        </w:tc>
      </w:tr>
      <w:tr w:rsidR="00770F90" w:rsidRPr="00C74DA9" w14:paraId="461FC0A0" w14:textId="77777777" w:rsidTr="008A4D73">
        <w:tc>
          <w:tcPr>
            <w:tcW w:w="2057" w:type="dxa"/>
            <w:vAlign w:val="center"/>
          </w:tcPr>
          <w:p w14:paraId="3EDC9D03" w14:textId="77777777" w:rsidR="00770F90" w:rsidRPr="00C74DA9" w:rsidRDefault="00770F90" w:rsidP="008A4D73">
            <w:pPr>
              <w:pStyle w:val="Tabletext"/>
              <w:jc w:val="center"/>
              <w:rPr>
                <w:lang w:eastAsia="zh-CN"/>
              </w:rPr>
            </w:pPr>
            <w:r w:rsidRPr="00C74DA9">
              <w:rPr>
                <w:lang w:eastAsia="zh-CN"/>
              </w:rPr>
              <w:t>A25A3</w:t>
            </w:r>
          </w:p>
        </w:tc>
        <w:tc>
          <w:tcPr>
            <w:tcW w:w="7572" w:type="dxa"/>
          </w:tcPr>
          <w:p w14:paraId="308053E8" w14:textId="4DDF0400" w:rsidR="00770F90" w:rsidRPr="00C74DA9" w:rsidRDefault="00A62856" w:rsidP="00C20294">
            <w:pPr>
              <w:pStyle w:val="Tabletext"/>
            </w:pPr>
            <w:r w:rsidRPr="00C74DA9">
              <w:t>§ </w:t>
            </w:r>
            <w:r w:rsidR="00770F90" w:rsidRPr="00C74DA9">
              <w:t>3.1</w:t>
            </w:r>
            <w:r w:rsidRPr="00C74DA9">
              <w:t xml:space="preserve"> </w:t>
            </w:r>
            <w:r w:rsidR="0067563B" w:rsidRPr="00C74DA9">
              <w:t>–</w:t>
            </w:r>
            <w:r w:rsidR="00770F90" w:rsidRPr="00C74DA9">
              <w:t xml:space="preserve"> </w:t>
            </w:r>
            <w:r w:rsidRPr="00C74DA9">
              <w:t xml:space="preserve">Articles du Règlement des radiocommunications (questions liées aux satellites non géostationnaires) </w:t>
            </w:r>
            <w:r w:rsidR="0067563B" w:rsidRPr="00C74DA9">
              <w:t>(</w:t>
            </w:r>
            <w:r w:rsidRPr="00C74DA9">
              <w:t xml:space="preserve">Section 3 </w:t>
            </w:r>
            <w:r w:rsidR="0067563B" w:rsidRPr="00C74DA9">
              <w:t>– R</w:t>
            </w:r>
            <w:r w:rsidRPr="00C74DA9">
              <w:t>ésultats obtenus dans l'application des procédures réglementaires prévues dans le Règlement des radiocommunications</w:t>
            </w:r>
            <w:r w:rsidR="0067563B" w:rsidRPr="00C74DA9">
              <w:t>)</w:t>
            </w:r>
          </w:p>
        </w:tc>
      </w:tr>
      <w:tr w:rsidR="00770F90" w:rsidRPr="00C74DA9" w14:paraId="2D76810B" w14:textId="77777777" w:rsidTr="008A4D73">
        <w:tc>
          <w:tcPr>
            <w:tcW w:w="2057" w:type="dxa"/>
            <w:vAlign w:val="center"/>
          </w:tcPr>
          <w:p w14:paraId="4B2D8FB1" w14:textId="77777777" w:rsidR="00770F90" w:rsidRPr="00C74DA9" w:rsidRDefault="00770F90" w:rsidP="008A4D73">
            <w:pPr>
              <w:pStyle w:val="Tabletext"/>
              <w:jc w:val="center"/>
              <w:rPr>
                <w:lang w:eastAsia="zh-CN"/>
              </w:rPr>
            </w:pPr>
            <w:r w:rsidRPr="00C74DA9">
              <w:rPr>
                <w:lang w:eastAsia="zh-CN"/>
              </w:rPr>
              <w:t>A25A4</w:t>
            </w:r>
          </w:p>
        </w:tc>
        <w:tc>
          <w:tcPr>
            <w:tcW w:w="7572" w:type="dxa"/>
          </w:tcPr>
          <w:p w14:paraId="2DEE63C6" w14:textId="003086AC" w:rsidR="00770F90" w:rsidRPr="00C74DA9" w:rsidRDefault="00A62856" w:rsidP="00C20294">
            <w:pPr>
              <w:pStyle w:val="Tabletext"/>
            </w:pPr>
            <w:r w:rsidRPr="00C74DA9">
              <w:t>§ </w:t>
            </w:r>
            <w:r w:rsidR="00770F90" w:rsidRPr="00C74DA9">
              <w:t>3.2</w:t>
            </w:r>
            <w:r w:rsidRPr="00C74DA9">
              <w:t xml:space="preserve"> </w:t>
            </w:r>
            <w:r w:rsidR="0067563B" w:rsidRPr="00C74DA9">
              <w:t>–</w:t>
            </w:r>
            <w:r w:rsidRPr="00C74DA9">
              <w:t xml:space="preserve"> Appendices du Règlement des radiocommunications </w:t>
            </w:r>
            <w:r w:rsidR="0067563B" w:rsidRPr="00C74DA9">
              <w:t>(</w:t>
            </w:r>
            <w:r w:rsidRPr="00C74DA9">
              <w:t xml:space="preserve">Section 3 </w:t>
            </w:r>
            <w:r w:rsidR="0067563B" w:rsidRPr="00C74DA9">
              <w:t>– R</w:t>
            </w:r>
            <w:r w:rsidRPr="00C74DA9">
              <w:t>ésultats obtenus dans l'application des procédures réglementaires prévues dans le Règlement des radiocommunications</w:t>
            </w:r>
            <w:r w:rsidR="0067563B" w:rsidRPr="00C74DA9">
              <w:t>)</w:t>
            </w:r>
          </w:p>
        </w:tc>
      </w:tr>
      <w:tr w:rsidR="00770F90" w:rsidRPr="00C74DA9" w14:paraId="19546F02" w14:textId="77777777" w:rsidTr="008A4D73">
        <w:tc>
          <w:tcPr>
            <w:tcW w:w="2057" w:type="dxa"/>
            <w:vAlign w:val="center"/>
          </w:tcPr>
          <w:p w14:paraId="36413BDE" w14:textId="77777777" w:rsidR="00770F90" w:rsidRPr="00C74DA9" w:rsidRDefault="00770F90" w:rsidP="008A4D73">
            <w:pPr>
              <w:pStyle w:val="Tabletext"/>
              <w:jc w:val="center"/>
              <w:rPr>
                <w:lang w:eastAsia="zh-CN"/>
              </w:rPr>
            </w:pPr>
            <w:r w:rsidRPr="00C74DA9">
              <w:rPr>
                <w:lang w:eastAsia="zh-CN"/>
              </w:rPr>
              <w:t>A25A5</w:t>
            </w:r>
          </w:p>
        </w:tc>
        <w:tc>
          <w:tcPr>
            <w:tcW w:w="7572" w:type="dxa"/>
          </w:tcPr>
          <w:p w14:paraId="7FA28850" w14:textId="3283F2C6" w:rsidR="00770F90" w:rsidRPr="00C74DA9" w:rsidRDefault="00A62856" w:rsidP="00C20294">
            <w:pPr>
              <w:pStyle w:val="Tabletext"/>
            </w:pPr>
            <w:r w:rsidRPr="00C74DA9">
              <w:t>§ </w:t>
            </w:r>
            <w:r w:rsidR="00770F90" w:rsidRPr="00C74DA9">
              <w:t>3.3</w:t>
            </w:r>
            <w:r w:rsidRPr="00C74DA9">
              <w:t xml:space="preserve"> </w:t>
            </w:r>
            <w:r w:rsidR="0067563B" w:rsidRPr="00C74DA9">
              <w:t>–</w:t>
            </w:r>
            <w:r w:rsidRPr="00C74DA9">
              <w:t xml:space="preserve"> Résolutions </w:t>
            </w:r>
            <w:r w:rsidR="0067563B" w:rsidRPr="00C74DA9">
              <w:t>(</w:t>
            </w:r>
            <w:r w:rsidRPr="00C74DA9">
              <w:t xml:space="preserve">Section 3 </w:t>
            </w:r>
            <w:r w:rsidR="0067563B" w:rsidRPr="00C74DA9">
              <w:t>– R</w:t>
            </w:r>
            <w:r w:rsidRPr="00C74DA9">
              <w:t>ésultats obtenus dans l'application des procédures réglementaires prévues dans le Règlement des radiocommunications</w:t>
            </w:r>
            <w:r w:rsidR="0067563B" w:rsidRPr="00C74DA9">
              <w:t>)</w:t>
            </w:r>
          </w:p>
        </w:tc>
      </w:tr>
      <w:tr w:rsidR="00770F90" w:rsidRPr="00C74DA9" w14:paraId="06037A2F" w14:textId="77777777" w:rsidTr="008A4D73">
        <w:tc>
          <w:tcPr>
            <w:tcW w:w="2057" w:type="dxa"/>
            <w:vAlign w:val="center"/>
          </w:tcPr>
          <w:p w14:paraId="573362A3" w14:textId="77777777" w:rsidR="00770F90" w:rsidRPr="00C74DA9" w:rsidRDefault="00770F90" w:rsidP="008A4D73">
            <w:pPr>
              <w:pStyle w:val="Tabletext"/>
              <w:jc w:val="center"/>
              <w:rPr>
                <w:lang w:eastAsia="zh-CN"/>
              </w:rPr>
            </w:pPr>
            <w:r w:rsidRPr="00C74DA9">
              <w:rPr>
                <w:lang w:eastAsia="zh-CN"/>
              </w:rPr>
              <w:t>A25A6</w:t>
            </w:r>
          </w:p>
        </w:tc>
        <w:tc>
          <w:tcPr>
            <w:tcW w:w="7572" w:type="dxa"/>
          </w:tcPr>
          <w:p w14:paraId="695BE8EB" w14:textId="694C819A" w:rsidR="00770F90" w:rsidRPr="00C74DA9" w:rsidRDefault="00085C81" w:rsidP="00C20294">
            <w:pPr>
              <w:pStyle w:val="Tabletext"/>
            </w:pPr>
            <w:r w:rsidRPr="00C74DA9">
              <w:t>Demande adressée à la CMR-23 en vue de maintenir les assignations de fréquence du réseau à satellite CHINASAT-D-163E dans le Fichier de référence international des fréquences</w:t>
            </w:r>
          </w:p>
        </w:tc>
      </w:tr>
      <w:tr w:rsidR="00770F90" w:rsidRPr="00C74DA9" w14:paraId="4C9C02DF" w14:textId="77777777" w:rsidTr="008A4D73">
        <w:tc>
          <w:tcPr>
            <w:tcW w:w="2057" w:type="dxa"/>
            <w:vAlign w:val="center"/>
          </w:tcPr>
          <w:p w14:paraId="4E730563" w14:textId="77777777" w:rsidR="00770F90" w:rsidRPr="00C74DA9" w:rsidRDefault="00770F90" w:rsidP="008A4D73">
            <w:pPr>
              <w:pStyle w:val="Tabletext"/>
              <w:jc w:val="center"/>
              <w:rPr>
                <w:lang w:eastAsia="zh-CN"/>
              </w:rPr>
            </w:pPr>
            <w:r w:rsidRPr="00C74DA9">
              <w:rPr>
                <w:lang w:eastAsia="zh-CN"/>
              </w:rPr>
              <w:t>A25A7</w:t>
            </w:r>
          </w:p>
        </w:tc>
        <w:tc>
          <w:tcPr>
            <w:tcW w:w="7572" w:type="dxa"/>
          </w:tcPr>
          <w:p w14:paraId="2DA2762A" w14:textId="79E554FB" w:rsidR="00770F90" w:rsidRPr="00C74DA9" w:rsidRDefault="00085C81" w:rsidP="00C20294">
            <w:pPr>
              <w:pStyle w:val="Tabletext"/>
            </w:pPr>
            <w:r w:rsidRPr="00C74DA9">
              <w:t xml:space="preserve">Demande adressée à la CMR-23 en vue de fournir des indications sur l'utilisation et l'actualisation de la carte </w:t>
            </w:r>
            <w:r w:rsidR="00770F90" w:rsidRPr="00C74DA9">
              <w:t>IDWM</w:t>
            </w:r>
          </w:p>
        </w:tc>
      </w:tr>
    </w:tbl>
    <w:p w14:paraId="39569CA5" w14:textId="1F601439" w:rsidR="008A6F5E" w:rsidRPr="00C74DA9" w:rsidRDefault="008A6F5E" w:rsidP="001263E4"/>
    <w:p w14:paraId="14A246DA" w14:textId="79FC5287" w:rsidR="00E567DE" w:rsidRPr="00C74DA9" w:rsidRDefault="008A6F5E" w:rsidP="001263E4">
      <w:pPr>
        <w:jc w:val="center"/>
      </w:pPr>
      <w:r w:rsidRPr="00C74DA9">
        <w:t>______________</w:t>
      </w:r>
    </w:p>
    <w:sectPr w:rsidR="00E567DE" w:rsidRPr="00C74DA9">
      <w:headerReference w:type="default" r:id="rId14"/>
      <w:footerReference w:type="even" r:id="rId15"/>
      <w:footerReference w:type="default" r:id="rId16"/>
      <w:footerReference w:type="first" r:id="rId17"/>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83A35" w14:textId="77777777" w:rsidR="006F7A11" w:rsidRPr="00EE3D0D" w:rsidRDefault="006F7A11">
      <w:r w:rsidRPr="00EE3D0D">
        <w:separator/>
      </w:r>
    </w:p>
  </w:endnote>
  <w:endnote w:type="continuationSeparator" w:id="0">
    <w:p w14:paraId="4B2F5418" w14:textId="77777777" w:rsidR="006F7A11" w:rsidRPr="00EE3D0D" w:rsidRDefault="006F7A11">
      <w:r w:rsidRPr="00EE3D0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71883" w14:textId="61F780B0" w:rsidR="00936D25" w:rsidRPr="00EE3D0D" w:rsidRDefault="00C74DA9">
    <w:r>
      <w:fldChar w:fldCharType="begin"/>
    </w:r>
    <w:r>
      <w:instrText xml:space="preserve"> FILENAME \p  \* MERGEFORMAT </w:instrText>
    </w:r>
    <w:r>
      <w:fldChar w:fldCharType="separate"/>
    </w:r>
    <w:r w:rsidR="00BB1D82" w:rsidRPr="00EE3D0D">
      <w:t>Document1</w:t>
    </w:r>
    <w:r>
      <w:fldChar w:fldCharType="end"/>
    </w:r>
    <w:r w:rsidR="00936D25" w:rsidRPr="00EE3D0D">
      <w:tab/>
    </w:r>
    <w:r w:rsidR="00936D25" w:rsidRPr="00EE3D0D">
      <w:fldChar w:fldCharType="begin"/>
    </w:r>
    <w:r w:rsidR="00936D25" w:rsidRPr="00EE3D0D">
      <w:instrText xml:space="preserve"> SAVEDATE \@ DD.MM.YY </w:instrText>
    </w:r>
    <w:r w:rsidR="00936D25" w:rsidRPr="00EE3D0D">
      <w:fldChar w:fldCharType="separate"/>
    </w:r>
    <w:r w:rsidR="00C20294">
      <w:rPr>
        <w:noProof/>
      </w:rPr>
      <w:t>15.11.23</w:t>
    </w:r>
    <w:r w:rsidR="00936D25" w:rsidRPr="00EE3D0D">
      <w:fldChar w:fldCharType="end"/>
    </w:r>
    <w:r w:rsidR="00936D25" w:rsidRPr="00EE3D0D">
      <w:tab/>
    </w:r>
    <w:r w:rsidR="00936D25" w:rsidRPr="00EE3D0D">
      <w:fldChar w:fldCharType="begin"/>
    </w:r>
    <w:r w:rsidR="00936D25" w:rsidRPr="00EE3D0D">
      <w:instrText xml:space="preserve"> PRINTDATE \@ DD.MM.YY </w:instrText>
    </w:r>
    <w:r w:rsidR="00936D25" w:rsidRPr="00EE3D0D">
      <w:fldChar w:fldCharType="separate"/>
    </w:r>
    <w:r w:rsidR="00BB1D82" w:rsidRPr="00EE3D0D">
      <w:t>05.06.03</w:t>
    </w:r>
    <w:r w:rsidR="00936D25" w:rsidRPr="00EE3D0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EE1F9" w14:textId="1DC1D111" w:rsidR="00936D25" w:rsidRPr="00FE6B8B" w:rsidRDefault="00DF3246" w:rsidP="00B933EB">
    <w:pPr>
      <w:pStyle w:val="Footer"/>
      <w:rPr>
        <w:noProof w:val="0"/>
        <w:lang w:val="en-GB"/>
      </w:rPr>
    </w:pPr>
    <w:r w:rsidRPr="00EE3D0D">
      <w:rPr>
        <w:noProof w:val="0"/>
      </w:rPr>
      <w:fldChar w:fldCharType="begin"/>
    </w:r>
    <w:r w:rsidRPr="00FE6B8B">
      <w:rPr>
        <w:noProof w:val="0"/>
        <w:lang w:val="en-GB"/>
      </w:rPr>
      <w:instrText xml:space="preserve"> FILENAME \p  \* MERGEFORMAT </w:instrText>
    </w:r>
    <w:r w:rsidRPr="00EE3D0D">
      <w:rPr>
        <w:noProof w:val="0"/>
      </w:rPr>
      <w:fldChar w:fldCharType="separate"/>
    </w:r>
    <w:r w:rsidR="001263E4">
      <w:rPr>
        <w:lang w:val="en-GB"/>
      </w:rPr>
      <w:t>P:\FRA\ITU-R\CONF-R\CMR23\100\111ADD25F.docx</w:t>
    </w:r>
    <w:r w:rsidRPr="00EE3D0D">
      <w:rPr>
        <w:noProof w:val="0"/>
      </w:rPr>
      <w:fldChar w:fldCharType="end"/>
    </w:r>
    <w:r w:rsidR="00B933EB" w:rsidRPr="00FE6B8B">
      <w:rPr>
        <w:noProof w:val="0"/>
        <w:lang w:val="en-GB"/>
      </w:rPr>
      <w:t xml:space="preserve"> </w:t>
    </w:r>
    <w:r w:rsidR="0046094A" w:rsidRPr="00FE6B8B">
      <w:rPr>
        <w:noProof w:val="0"/>
        <w:lang w:val="en-GB"/>
      </w:rPr>
      <w:t>(5</w:t>
    </w:r>
    <w:r w:rsidR="00C74DA9">
      <w:rPr>
        <w:noProof w:val="0"/>
        <w:lang w:val="en-GB"/>
      </w:rPr>
      <w:t>30490</w:t>
    </w:r>
    <w:r w:rsidR="00B933EB" w:rsidRPr="00FE6B8B">
      <w:rPr>
        <w:noProof w:val="0"/>
        <w:lang w:val="en-GB"/>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F4F93" w14:textId="4E60FF49" w:rsidR="0046094A" w:rsidRPr="0001216E" w:rsidRDefault="0001216E" w:rsidP="0001216E">
    <w:pPr>
      <w:pStyle w:val="Footer"/>
      <w:rPr>
        <w:lang w:val="en-GB"/>
      </w:rPr>
    </w:pPr>
    <w:r>
      <w:fldChar w:fldCharType="begin"/>
    </w:r>
    <w:r w:rsidRPr="0001216E">
      <w:rPr>
        <w:lang w:val="en-GB"/>
      </w:rPr>
      <w:instrText xml:space="preserve"> FILENAME \p  \* MERGEFORMAT </w:instrText>
    </w:r>
    <w:r>
      <w:fldChar w:fldCharType="separate"/>
    </w:r>
    <w:r w:rsidR="001263E4">
      <w:rPr>
        <w:lang w:val="en-GB"/>
      </w:rPr>
      <w:t>P:\FRA\ITU-R\CONF-R\CMR23\100\111ADD25F.docx</w:t>
    </w:r>
    <w:r>
      <w:fldChar w:fldCharType="end"/>
    </w:r>
    <w:r w:rsidRPr="0001216E">
      <w:rPr>
        <w:lang w:val="en-GB"/>
      </w:rPr>
      <w:t xml:space="preserve"> (</w:t>
    </w:r>
    <w:r>
      <w:rPr>
        <w:lang w:val="en-GB"/>
      </w:rPr>
      <w:t>530490)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B5F2C" w14:textId="77777777" w:rsidR="006F7A11" w:rsidRPr="00EE3D0D" w:rsidRDefault="006F7A11">
      <w:r w:rsidRPr="00EE3D0D">
        <w:rPr>
          <w:b/>
        </w:rPr>
        <w:t>_______________</w:t>
      </w:r>
    </w:p>
  </w:footnote>
  <w:footnote w:type="continuationSeparator" w:id="0">
    <w:p w14:paraId="2CABA989" w14:textId="77777777" w:rsidR="006F7A11" w:rsidRPr="00EE3D0D" w:rsidRDefault="006F7A11">
      <w:r w:rsidRPr="00EE3D0D">
        <w:continuationSeparator/>
      </w:r>
    </w:p>
  </w:footnote>
  <w:footnote w:id="1">
    <w:p w14:paraId="2514697B" w14:textId="77777777" w:rsidR="008A6F5E" w:rsidRPr="00A03D99" w:rsidRDefault="008A6F5E" w:rsidP="008A6F5E">
      <w:pPr>
        <w:pStyle w:val="FootnoteText"/>
      </w:pPr>
      <w:r>
        <w:rPr>
          <w:rStyle w:val="FootnoteReference"/>
        </w:rPr>
        <w:t>1</w:t>
      </w:r>
      <w:r>
        <w:tab/>
      </w:r>
      <w:r w:rsidRPr="00A03D99">
        <w:t>Ce sous-point de l'ordre du jour ne concerne que le rapport du Directeur sur les difficultés rencontrées ou les incohérences constatées dans l'application du Règlement des radiocommunications et les observations formulées par les administrations. Les administrations sont invitées à informer le Directeur du Bureau des radiocommunications de toute difficulté rencontrée ou de toute incohérence constatée dans l'application du Règlement des radiocommunications.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09FFD" w14:textId="3E8FD82B" w:rsidR="004F1F8E" w:rsidRPr="00EE3D0D" w:rsidRDefault="004F1F8E" w:rsidP="004F1F8E">
    <w:pPr>
      <w:pStyle w:val="Header"/>
    </w:pPr>
    <w:r w:rsidRPr="00EE3D0D">
      <w:fldChar w:fldCharType="begin"/>
    </w:r>
    <w:r w:rsidRPr="00EE3D0D">
      <w:instrText xml:space="preserve"> PAGE </w:instrText>
    </w:r>
    <w:r w:rsidRPr="00EE3D0D">
      <w:fldChar w:fldCharType="separate"/>
    </w:r>
    <w:r w:rsidR="000B2763">
      <w:rPr>
        <w:noProof/>
      </w:rPr>
      <w:t>2</w:t>
    </w:r>
    <w:r w:rsidRPr="00EE3D0D">
      <w:fldChar w:fldCharType="end"/>
    </w:r>
  </w:p>
  <w:p w14:paraId="12D67871" w14:textId="1CEAE0FC" w:rsidR="004F1F8E" w:rsidRPr="00EE3D0D" w:rsidRDefault="00225CF2" w:rsidP="00FD7AA3">
    <w:pPr>
      <w:pStyle w:val="Header"/>
    </w:pPr>
    <w:r w:rsidRPr="00EE3D0D">
      <w:t>WRC</w:t>
    </w:r>
    <w:r w:rsidR="00D3426F" w:rsidRPr="00EE3D0D">
      <w:t>23</w:t>
    </w:r>
    <w:r w:rsidR="004F1F8E" w:rsidRPr="00EE3D0D">
      <w:t>/</w:t>
    </w:r>
    <w:r w:rsidR="0067563B">
      <w:t>111</w:t>
    </w:r>
    <w:r w:rsidR="006A4B45" w:rsidRPr="00EE3D0D">
      <w:t>(Add.2</w:t>
    </w:r>
    <w:r w:rsidR="0067563B">
      <w:t>5</w:t>
    </w:r>
    <w:r w:rsidR="006A4B45" w:rsidRPr="00EE3D0D">
      <w:t>)-</w:t>
    </w:r>
    <w:r w:rsidR="00010B43" w:rsidRPr="00EE3D0D">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455415252">
    <w:abstractNumId w:val="0"/>
  </w:num>
  <w:num w:numId="2" w16cid:durableId="171214675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57DE"/>
    <w:rsid w:val="00007EC7"/>
    <w:rsid w:val="00010B43"/>
    <w:rsid w:val="0001216E"/>
    <w:rsid w:val="00016648"/>
    <w:rsid w:val="00024117"/>
    <w:rsid w:val="00030C68"/>
    <w:rsid w:val="0003522F"/>
    <w:rsid w:val="00063A1F"/>
    <w:rsid w:val="00080E2C"/>
    <w:rsid w:val="00081366"/>
    <w:rsid w:val="00085C81"/>
    <w:rsid w:val="000863B3"/>
    <w:rsid w:val="00087567"/>
    <w:rsid w:val="000A4755"/>
    <w:rsid w:val="000A55AE"/>
    <w:rsid w:val="000B2763"/>
    <w:rsid w:val="000B2E0C"/>
    <w:rsid w:val="000B3D0C"/>
    <w:rsid w:val="001167B9"/>
    <w:rsid w:val="001227CD"/>
    <w:rsid w:val="001263E4"/>
    <w:rsid w:val="001267A0"/>
    <w:rsid w:val="0014065A"/>
    <w:rsid w:val="00147509"/>
    <w:rsid w:val="0015203F"/>
    <w:rsid w:val="00160C64"/>
    <w:rsid w:val="00173211"/>
    <w:rsid w:val="0018169B"/>
    <w:rsid w:val="00181D27"/>
    <w:rsid w:val="0019352B"/>
    <w:rsid w:val="001960D0"/>
    <w:rsid w:val="001A11F6"/>
    <w:rsid w:val="001A6CD1"/>
    <w:rsid w:val="001F17E8"/>
    <w:rsid w:val="00204306"/>
    <w:rsid w:val="002077BE"/>
    <w:rsid w:val="00222BA6"/>
    <w:rsid w:val="00225B2C"/>
    <w:rsid w:val="00225CF2"/>
    <w:rsid w:val="00232FD2"/>
    <w:rsid w:val="00244570"/>
    <w:rsid w:val="0026554E"/>
    <w:rsid w:val="002A4622"/>
    <w:rsid w:val="002A6F8F"/>
    <w:rsid w:val="002B17E5"/>
    <w:rsid w:val="002B40B1"/>
    <w:rsid w:val="002C0773"/>
    <w:rsid w:val="002C0EBF"/>
    <w:rsid w:val="002C28A4"/>
    <w:rsid w:val="002D7E0A"/>
    <w:rsid w:val="002E5A63"/>
    <w:rsid w:val="00314CE8"/>
    <w:rsid w:val="00315AFE"/>
    <w:rsid w:val="003411F6"/>
    <w:rsid w:val="003606A6"/>
    <w:rsid w:val="0036650C"/>
    <w:rsid w:val="00371086"/>
    <w:rsid w:val="0037125F"/>
    <w:rsid w:val="003866F2"/>
    <w:rsid w:val="00393ACD"/>
    <w:rsid w:val="003A130E"/>
    <w:rsid w:val="003A583E"/>
    <w:rsid w:val="003C1294"/>
    <w:rsid w:val="003C4A41"/>
    <w:rsid w:val="003C4A73"/>
    <w:rsid w:val="003D0E8C"/>
    <w:rsid w:val="003E112B"/>
    <w:rsid w:val="003E1D1C"/>
    <w:rsid w:val="003E7B05"/>
    <w:rsid w:val="003F3719"/>
    <w:rsid w:val="003F6F2D"/>
    <w:rsid w:val="00420997"/>
    <w:rsid w:val="00451587"/>
    <w:rsid w:val="0046094A"/>
    <w:rsid w:val="00466211"/>
    <w:rsid w:val="00473B45"/>
    <w:rsid w:val="0047745A"/>
    <w:rsid w:val="00483196"/>
    <w:rsid w:val="004834A9"/>
    <w:rsid w:val="00497632"/>
    <w:rsid w:val="004B5AC3"/>
    <w:rsid w:val="004D01FC"/>
    <w:rsid w:val="004D1C74"/>
    <w:rsid w:val="004E28C3"/>
    <w:rsid w:val="004F1F8E"/>
    <w:rsid w:val="005007C6"/>
    <w:rsid w:val="00510008"/>
    <w:rsid w:val="00512A32"/>
    <w:rsid w:val="005138F7"/>
    <w:rsid w:val="00515BC1"/>
    <w:rsid w:val="005343DA"/>
    <w:rsid w:val="0053651B"/>
    <w:rsid w:val="00560874"/>
    <w:rsid w:val="005807D1"/>
    <w:rsid w:val="0058557D"/>
    <w:rsid w:val="00586CF2"/>
    <w:rsid w:val="005A7C75"/>
    <w:rsid w:val="005C3768"/>
    <w:rsid w:val="005C6C3F"/>
    <w:rsid w:val="005F0F48"/>
    <w:rsid w:val="005F7B13"/>
    <w:rsid w:val="00613635"/>
    <w:rsid w:val="00613A8C"/>
    <w:rsid w:val="0062093D"/>
    <w:rsid w:val="00637ECF"/>
    <w:rsid w:val="00644F3A"/>
    <w:rsid w:val="00647B59"/>
    <w:rsid w:val="00672439"/>
    <w:rsid w:val="0067563B"/>
    <w:rsid w:val="006862A7"/>
    <w:rsid w:val="00690C7B"/>
    <w:rsid w:val="006A4B45"/>
    <w:rsid w:val="006C0588"/>
    <w:rsid w:val="006D4724"/>
    <w:rsid w:val="006F5FA2"/>
    <w:rsid w:val="006F7A11"/>
    <w:rsid w:val="0070076C"/>
    <w:rsid w:val="00701BAE"/>
    <w:rsid w:val="00721F04"/>
    <w:rsid w:val="00730E95"/>
    <w:rsid w:val="0073517C"/>
    <w:rsid w:val="007426B9"/>
    <w:rsid w:val="00750055"/>
    <w:rsid w:val="00761215"/>
    <w:rsid w:val="00764342"/>
    <w:rsid w:val="00770F90"/>
    <w:rsid w:val="00774362"/>
    <w:rsid w:val="00786598"/>
    <w:rsid w:val="00790C74"/>
    <w:rsid w:val="007A04E8"/>
    <w:rsid w:val="007B2C34"/>
    <w:rsid w:val="007F282B"/>
    <w:rsid w:val="00825327"/>
    <w:rsid w:val="00830086"/>
    <w:rsid w:val="00851625"/>
    <w:rsid w:val="00863C0A"/>
    <w:rsid w:val="008A3120"/>
    <w:rsid w:val="008A4B97"/>
    <w:rsid w:val="008A4D73"/>
    <w:rsid w:val="008A6F5E"/>
    <w:rsid w:val="008B5349"/>
    <w:rsid w:val="008C5B8E"/>
    <w:rsid w:val="008C5DD5"/>
    <w:rsid w:val="008C7123"/>
    <w:rsid w:val="008D41BE"/>
    <w:rsid w:val="008D58D3"/>
    <w:rsid w:val="008E3BC9"/>
    <w:rsid w:val="0090038E"/>
    <w:rsid w:val="0092018B"/>
    <w:rsid w:val="00923064"/>
    <w:rsid w:val="00930FFD"/>
    <w:rsid w:val="00936D25"/>
    <w:rsid w:val="00941EA5"/>
    <w:rsid w:val="00964700"/>
    <w:rsid w:val="00966C16"/>
    <w:rsid w:val="0098732F"/>
    <w:rsid w:val="009A045F"/>
    <w:rsid w:val="009A6A2B"/>
    <w:rsid w:val="009C7E7C"/>
    <w:rsid w:val="009D4382"/>
    <w:rsid w:val="009E461E"/>
    <w:rsid w:val="00A00473"/>
    <w:rsid w:val="00A03C9B"/>
    <w:rsid w:val="00A03D99"/>
    <w:rsid w:val="00A1021B"/>
    <w:rsid w:val="00A37105"/>
    <w:rsid w:val="00A43621"/>
    <w:rsid w:val="00A508FD"/>
    <w:rsid w:val="00A606C3"/>
    <w:rsid w:val="00A62856"/>
    <w:rsid w:val="00A83B09"/>
    <w:rsid w:val="00A84541"/>
    <w:rsid w:val="00A97B22"/>
    <w:rsid w:val="00AB4B84"/>
    <w:rsid w:val="00AC1AD1"/>
    <w:rsid w:val="00AE291C"/>
    <w:rsid w:val="00AE36A0"/>
    <w:rsid w:val="00B00294"/>
    <w:rsid w:val="00B100C2"/>
    <w:rsid w:val="00B205FA"/>
    <w:rsid w:val="00B367D1"/>
    <w:rsid w:val="00B36D51"/>
    <w:rsid w:val="00B3749C"/>
    <w:rsid w:val="00B64FD0"/>
    <w:rsid w:val="00B933EB"/>
    <w:rsid w:val="00BA5BD0"/>
    <w:rsid w:val="00BB1D82"/>
    <w:rsid w:val="00BC217E"/>
    <w:rsid w:val="00BD51C5"/>
    <w:rsid w:val="00BE6683"/>
    <w:rsid w:val="00BF26E7"/>
    <w:rsid w:val="00C1305F"/>
    <w:rsid w:val="00C20294"/>
    <w:rsid w:val="00C36CEC"/>
    <w:rsid w:val="00C51DD7"/>
    <w:rsid w:val="00C53FCA"/>
    <w:rsid w:val="00C60951"/>
    <w:rsid w:val="00C71DEB"/>
    <w:rsid w:val="00C74DA9"/>
    <w:rsid w:val="00C76BAF"/>
    <w:rsid w:val="00C814B9"/>
    <w:rsid w:val="00C83FE2"/>
    <w:rsid w:val="00CA3D96"/>
    <w:rsid w:val="00CB62F1"/>
    <w:rsid w:val="00CB685A"/>
    <w:rsid w:val="00CD516F"/>
    <w:rsid w:val="00D119A7"/>
    <w:rsid w:val="00D2436D"/>
    <w:rsid w:val="00D25FBA"/>
    <w:rsid w:val="00D32B28"/>
    <w:rsid w:val="00D3426F"/>
    <w:rsid w:val="00D352B7"/>
    <w:rsid w:val="00D42954"/>
    <w:rsid w:val="00D50F4E"/>
    <w:rsid w:val="00D66EAC"/>
    <w:rsid w:val="00D730DF"/>
    <w:rsid w:val="00D772F0"/>
    <w:rsid w:val="00D77BDC"/>
    <w:rsid w:val="00DC0FAC"/>
    <w:rsid w:val="00DC402B"/>
    <w:rsid w:val="00DE0932"/>
    <w:rsid w:val="00DF15E8"/>
    <w:rsid w:val="00DF3246"/>
    <w:rsid w:val="00E03A27"/>
    <w:rsid w:val="00E049F1"/>
    <w:rsid w:val="00E215CE"/>
    <w:rsid w:val="00E37A25"/>
    <w:rsid w:val="00E5121E"/>
    <w:rsid w:val="00E537FF"/>
    <w:rsid w:val="00E567DE"/>
    <w:rsid w:val="00E60CB2"/>
    <w:rsid w:val="00E6509A"/>
    <w:rsid w:val="00E6539B"/>
    <w:rsid w:val="00E70A31"/>
    <w:rsid w:val="00E723A7"/>
    <w:rsid w:val="00EA3F38"/>
    <w:rsid w:val="00EA5AB6"/>
    <w:rsid w:val="00EC7615"/>
    <w:rsid w:val="00ED16AA"/>
    <w:rsid w:val="00ED6B8D"/>
    <w:rsid w:val="00EE3D0D"/>
    <w:rsid w:val="00EE3D7B"/>
    <w:rsid w:val="00EF3BC1"/>
    <w:rsid w:val="00EF662E"/>
    <w:rsid w:val="00F10064"/>
    <w:rsid w:val="00F148F1"/>
    <w:rsid w:val="00F60F27"/>
    <w:rsid w:val="00F711A7"/>
    <w:rsid w:val="00F91E78"/>
    <w:rsid w:val="00FA0446"/>
    <w:rsid w:val="00FA3BBF"/>
    <w:rsid w:val="00FC41F8"/>
    <w:rsid w:val="00FD7AA3"/>
    <w:rsid w:val="00FE6B8B"/>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7FD14E"/>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ECC Footnote number,Appel note de bas de p,Footnote Reference/,Footnote symbol,Style 12,(NECG) Footnote Reference,Style 124,o,fr,Style 13,FR,Style 17,Style 3,Appel note de bas de p + 11 pt,Italic,Appel note de bas de p1,Footnote"/>
    <w:qFormat/>
    <w:rPr>
      <w:position w:val="6"/>
      <w:sz w:val="18"/>
    </w:rPr>
  </w:style>
  <w:style w:type="paragraph" w:styleId="FootnoteText">
    <w:name w:val="footnote text"/>
    <w:aliases w:val="ECC Footnote,ALTS FOOTNOTE,Footnote Text Char Char1,Footnote Text Char4 Char Char,Footnote Text Char1 Char1 Char1 Char,Footnote Text Char Char1 Char1 Char Char,Footnote Text Char1 Char1 Char1 Char Char Char1,DN,DNV-FT,footnote text"/>
    <w:basedOn w:val="Normal"/>
    <w:link w:val="FootnoteTextChar"/>
    <w:qFormat/>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link w:val="HeadingbChar"/>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DD4258"/>
  </w:style>
  <w:style w:type="character" w:styleId="Hyperlink">
    <w:name w:val="Hyperlink"/>
    <w:basedOn w:val="DefaultParagraphFont"/>
    <w:unhideWhenUsed/>
    <w:qFormat/>
    <w:rPr>
      <w:color w:val="0000FF" w:themeColor="hyperlink"/>
      <w:u w:val="single"/>
    </w:rPr>
  </w:style>
  <w:style w:type="character" w:styleId="CommentReference">
    <w:name w:val="annotation reference"/>
    <w:basedOn w:val="DefaultParagraphFont"/>
    <w:semiHidden/>
    <w:unhideWhenUsed/>
    <w:rsid w:val="00173211"/>
    <w:rPr>
      <w:sz w:val="16"/>
      <w:szCs w:val="16"/>
    </w:rPr>
  </w:style>
  <w:style w:type="paragraph" w:styleId="CommentText">
    <w:name w:val="annotation text"/>
    <w:basedOn w:val="Normal"/>
    <w:link w:val="CommentTextChar"/>
    <w:unhideWhenUsed/>
    <w:rsid w:val="00173211"/>
    <w:rPr>
      <w:sz w:val="20"/>
    </w:rPr>
  </w:style>
  <w:style w:type="character" w:customStyle="1" w:styleId="CommentTextChar">
    <w:name w:val="Comment Text Char"/>
    <w:basedOn w:val="DefaultParagraphFont"/>
    <w:link w:val="CommentText"/>
    <w:rsid w:val="00173211"/>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173211"/>
    <w:rPr>
      <w:b/>
      <w:bCs/>
    </w:rPr>
  </w:style>
  <w:style w:type="character" w:customStyle="1" w:styleId="CommentSubjectChar">
    <w:name w:val="Comment Subject Char"/>
    <w:basedOn w:val="CommentTextChar"/>
    <w:link w:val="CommentSubject"/>
    <w:semiHidden/>
    <w:rsid w:val="00173211"/>
    <w:rPr>
      <w:rFonts w:ascii="Times New Roman" w:hAnsi="Times New Roman"/>
      <w:b/>
      <w:bCs/>
      <w:lang w:val="fr-FR" w:eastAsia="en-US"/>
    </w:rPr>
  </w:style>
  <w:style w:type="paragraph" w:styleId="Revision">
    <w:name w:val="Revision"/>
    <w:hidden/>
    <w:uiPriority w:val="99"/>
    <w:semiHidden/>
    <w:rsid w:val="00173211"/>
    <w:rPr>
      <w:rFonts w:ascii="Times New Roman" w:hAnsi="Times New Roman"/>
      <w:sz w:val="24"/>
      <w:lang w:val="fr-FR" w:eastAsia="en-US"/>
    </w:rPr>
  </w:style>
  <w:style w:type="paragraph" w:styleId="BalloonText">
    <w:name w:val="Balloon Text"/>
    <w:basedOn w:val="Normal"/>
    <w:link w:val="BalloonTextChar"/>
    <w:semiHidden/>
    <w:unhideWhenUsed/>
    <w:rsid w:val="0017321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73211"/>
    <w:rPr>
      <w:rFonts w:ascii="Segoe UI" w:hAnsi="Segoe UI" w:cs="Segoe UI"/>
      <w:sz w:val="18"/>
      <w:szCs w:val="18"/>
      <w:lang w:val="fr-FR" w:eastAsia="en-US"/>
    </w:rPr>
  </w:style>
  <w:style w:type="character" w:customStyle="1" w:styleId="FootnoteTextChar">
    <w:name w:val="Footnote Text Char"/>
    <w:aliases w:val="ECC Footnote Char,ALTS FOOTNOTE Char,Footnote Text Char Char1 Char,Footnote Text Char4 Char Char Char,Footnote Text Char1 Char1 Char1 Char Char,Footnote Text Char Char1 Char1 Char Char Char,DN Char,DNV-FT Char,footnote text Char"/>
    <w:basedOn w:val="DefaultParagraphFont"/>
    <w:link w:val="FootnoteText"/>
    <w:qFormat/>
    <w:locked/>
    <w:rsid w:val="00A508FD"/>
    <w:rPr>
      <w:rFonts w:ascii="Times New Roman" w:hAnsi="Times New Roman"/>
      <w:sz w:val="24"/>
      <w:lang w:val="fr-FR" w:eastAsia="en-US"/>
    </w:rPr>
  </w:style>
  <w:style w:type="character" w:customStyle="1" w:styleId="HeadingbChar">
    <w:name w:val="Heading_b Char"/>
    <w:basedOn w:val="DefaultParagraphFont"/>
    <w:link w:val="Headingb"/>
    <w:locked/>
    <w:rsid w:val="00A508FD"/>
    <w:rPr>
      <w:rFonts w:ascii="Times New Roman" w:hAnsi="Times New Roman"/>
      <w:b/>
      <w:sz w:val="24"/>
      <w:lang w:val="fr-FR" w:eastAsia="en-US"/>
    </w:rPr>
  </w:style>
  <w:style w:type="character" w:customStyle="1" w:styleId="UnresolvedMention1">
    <w:name w:val="Unresolved Mention1"/>
    <w:basedOn w:val="DefaultParagraphFont"/>
    <w:uiPriority w:val="99"/>
    <w:semiHidden/>
    <w:unhideWhenUsed/>
    <w:rsid w:val="00770F90"/>
    <w:rPr>
      <w:color w:val="605E5C"/>
      <w:shd w:val="clear" w:color="auto" w:fill="E1DFDD"/>
    </w:rPr>
  </w:style>
  <w:style w:type="character" w:styleId="FollowedHyperlink">
    <w:name w:val="FollowedHyperlink"/>
    <w:basedOn w:val="DefaultParagraphFont"/>
    <w:semiHidden/>
    <w:unhideWhenUsed/>
    <w:rsid w:val="00A436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4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R23-WRC23-C-0004/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R23-WRC23-C-0062!A24-A3!MSW-F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563055-685E-4B92-830F-F6F8211988BE}">
  <ds:schemaRefs>
    <ds:schemaRef ds:uri="http://purl.org/dc/terms/"/>
    <ds:schemaRef ds:uri="http://schemas.microsoft.com/office/2006/metadata/properties"/>
    <ds:schemaRef ds:uri="http://schemas.microsoft.com/office/2006/documentManagement/types"/>
    <ds:schemaRef ds:uri="http://purl.org/dc/elements/1.1/"/>
    <ds:schemaRef ds:uri="http://purl.org/dc/dcmitype/"/>
    <ds:schemaRef ds:uri="http://www.w3.org/XML/1998/namespace"/>
    <ds:schemaRef ds:uri="http://schemas.microsoft.com/office/infopath/2007/PartnerControls"/>
    <ds:schemaRef ds:uri="http://schemas.openxmlformats.org/package/2006/metadata/core-propertie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AAACDB77-A4FA-4B09-830C-79E2FD78D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1FCF1B-3109-4FE9-BF59-1C587B946748}">
  <ds:schemaRefs>
    <ds:schemaRef ds:uri="http://schemas.microsoft.com/sharepoint/events"/>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343</Words>
  <Characters>2294</Characters>
  <Application>Microsoft Office Word</Application>
  <DocSecurity>0</DocSecurity>
  <Lines>19</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R23-WRC23-C-0062!A24-A3!MSW-F</vt:lpstr>
      <vt:lpstr>R23-WRC23-C-0062!A24-A3!MSW-F</vt:lpstr>
    </vt:vector>
  </TitlesOfParts>
  <Manager>Secrétariat général - Pool</Manager>
  <Company>Union internationale des télécommunications (UIT)</Company>
  <LinksUpToDate>false</LinksUpToDate>
  <CharactersWithSpaces>2632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R23-WRC23-C-0062!A24-A3!MSW-F</dc:title>
  <dc:subject>Conférence mondiale des radiocommunications - 2019</dc:subject>
  <dc:creator>Documents Proposals Manager (DPM)</dc:creator>
  <cp:keywords>DPM_v2023.8.1.1_prod</cp:keywords>
  <dc:description/>
  <cp:lastModifiedBy>French</cp:lastModifiedBy>
  <cp:revision>8</cp:revision>
  <cp:lastPrinted>2003-06-05T19:34:00Z</cp:lastPrinted>
  <dcterms:created xsi:type="dcterms:W3CDTF">2023-11-15T09:01:00Z</dcterms:created>
  <dcterms:modified xsi:type="dcterms:W3CDTF">2023-11-19T11:18:00Z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