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B55B6C" w14:paraId="2231996E" w14:textId="77777777" w:rsidTr="00F320AA">
        <w:trPr>
          <w:cantSplit/>
        </w:trPr>
        <w:tc>
          <w:tcPr>
            <w:tcW w:w="1418" w:type="dxa"/>
            <w:vAlign w:val="center"/>
          </w:tcPr>
          <w:p w14:paraId="7361FF97" w14:textId="77777777" w:rsidR="00F320AA" w:rsidRPr="00B55B6C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B55B6C">
              <w:rPr>
                <w:noProof/>
              </w:rPr>
              <w:drawing>
                <wp:inline distT="0" distB="0" distL="0" distR="0" wp14:anchorId="4E07D023" wp14:editId="1CC8A8DB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11974004" w14:textId="77777777" w:rsidR="00F320AA" w:rsidRPr="00B55B6C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55B6C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B55B6C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55B6C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727F8C2D" w14:textId="77777777" w:rsidR="00F320AA" w:rsidRPr="00B55B6C" w:rsidRDefault="00EB0812" w:rsidP="00F320AA">
            <w:pPr>
              <w:spacing w:before="0" w:line="240" w:lineRule="atLeast"/>
            </w:pPr>
            <w:r w:rsidRPr="00B55B6C">
              <w:rPr>
                <w:noProof/>
              </w:rPr>
              <w:drawing>
                <wp:inline distT="0" distB="0" distL="0" distR="0" wp14:anchorId="5902A0BD" wp14:editId="54DD61ED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B55B6C" w14:paraId="0EA1B551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3D7C6D5" w14:textId="77777777" w:rsidR="00A066F1" w:rsidRPr="00B55B6C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7F3CA38" w14:textId="77777777" w:rsidR="00A066F1" w:rsidRPr="00B55B6C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B55B6C" w14:paraId="41476DC6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B59846" w14:textId="77777777" w:rsidR="00A066F1" w:rsidRPr="00B55B6C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D9FA9F2" w14:textId="77777777" w:rsidR="00A066F1" w:rsidRPr="00B55B6C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B55B6C" w14:paraId="3054D8AC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C4B1BFE" w14:textId="77777777" w:rsidR="00A066F1" w:rsidRPr="00B55B6C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B55B6C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187DE207" w14:textId="77777777" w:rsidR="00A066F1" w:rsidRPr="00B55B6C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B55B6C">
              <w:rPr>
                <w:rFonts w:ascii="Verdana" w:hAnsi="Verdana"/>
                <w:b/>
                <w:sz w:val="20"/>
              </w:rPr>
              <w:t>Addendum 6 to</w:t>
            </w:r>
            <w:r w:rsidRPr="00B55B6C">
              <w:rPr>
                <w:rFonts w:ascii="Verdana" w:hAnsi="Verdana"/>
                <w:b/>
                <w:sz w:val="20"/>
              </w:rPr>
              <w:br/>
              <w:t>Document 111(Add.24)</w:t>
            </w:r>
            <w:r w:rsidR="00A066F1" w:rsidRPr="00B55B6C">
              <w:rPr>
                <w:rFonts w:ascii="Verdana" w:hAnsi="Verdana"/>
                <w:b/>
                <w:sz w:val="20"/>
              </w:rPr>
              <w:t>-</w:t>
            </w:r>
            <w:r w:rsidR="005E10C9" w:rsidRPr="00B55B6C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B55B6C" w14:paraId="44EAC20C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20905D1" w14:textId="77777777" w:rsidR="00A066F1" w:rsidRPr="00B55B6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6F30F9C4" w14:textId="77777777" w:rsidR="00A066F1" w:rsidRPr="00B55B6C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B55B6C">
              <w:rPr>
                <w:rFonts w:ascii="Verdana" w:hAnsi="Verdana"/>
                <w:b/>
                <w:sz w:val="20"/>
              </w:rPr>
              <w:t>29 October 2023</w:t>
            </w:r>
          </w:p>
        </w:tc>
      </w:tr>
      <w:tr w:rsidR="00A066F1" w:rsidRPr="00B55B6C" w14:paraId="4AF0B3E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D232B49" w14:textId="77777777" w:rsidR="00A066F1" w:rsidRPr="00B55B6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4940830F" w14:textId="77777777" w:rsidR="00A066F1" w:rsidRPr="00B55B6C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55B6C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B55B6C" w14:paraId="055F73B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F31D25A" w14:textId="77777777" w:rsidR="00A066F1" w:rsidRPr="00B55B6C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B55B6C" w14:paraId="022A62D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9E786C7" w14:textId="77777777" w:rsidR="00E55816" w:rsidRPr="00B55B6C" w:rsidRDefault="00884D60" w:rsidP="00E55816">
            <w:pPr>
              <w:pStyle w:val="Source"/>
            </w:pPr>
            <w:r w:rsidRPr="00B55B6C">
              <w:t>China (People's Republic of)</w:t>
            </w:r>
          </w:p>
        </w:tc>
      </w:tr>
      <w:tr w:rsidR="00E55816" w:rsidRPr="00B55B6C" w14:paraId="2EE666E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F1E0D06" w14:textId="32DAB405" w:rsidR="00E55816" w:rsidRPr="00B55B6C" w:rsidRDefault="00AB5E05" w:rsidP="00E55816">
            <w:pPr>
              <w:pStyle w:val="Title1"/>
            </w:pPr>
            <w:r w:rsidRPr="00B55B6C">
              <w:t>Proposals for the work of the Conference</w:t>
            </w:r>
          </w:p>
        </w:tc>
      </w:tr>
      <w:tr w:rsidR="00E55816" w:rsidRPr="00B55B6C" w14:paraId="78BFA18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805FCC9" w14:textId="77777777" w:rsidR="00E55816" w:rsidRPr="00B55B6C" w:rsidRDefault="00E55816" w:rsidP="00E55816">
            <w:pPr>
              <w:pStyle w:val="Title2"/>
            </w:pPr>
          </w:p>
        </w:tc>
      </w:tr>
      <w:tr w:rsidR="00A538A6" w:rsidRPr="00B55B6C" w14:paraId="70C6B5C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AA5AC0F" w14:textId="77777777" w:rsidR="00A538A6" w:rsidRPr="00B55B6C" w:rsidRDefault="004B13CB" w:rsidP="004B13CB">
            <w:pPr>
              <w:pStyle w:val="Agendaitem"/>
              <w:rPr>
                <w:lang w:val="en-GB"/>
              </w:rPr>
            </w:pPr>
            <w:r w:rsidRPr="00B55B6C">
              <w:rPr>
                <w:lang w:val="en-GB"/>
              </w:rPr>
              <w:t>Agenda item 9.1</w:t>
            </w:r>
          </w:p>
        </w:tc>
      </w:tr>
    </w:tbl>
    <w:bookmarkEnd w:id="5"/>
    <w:bookmarkEnd w:id="6"/>
    <w:p w14:paraId="1239916E" w14:textId="77777777" w:rsidR="00187BD9" w:rsidRPr="00B55B6C" w:rsidRDefault="00D86BC9" w:rsidP="006965F8">
      <w:r w:rsidRPr="00B55B6C">
        <w:t>9</w:t>
      </w:r>
      <w:r w:rsidRPr="00B55B6C">
        <w:tab/>
        <w:t>to consider and approve the Report of the Director of the Radiocommunication Bureau, in accordance with Article 7 of the ITU Convention</w:t>
      </w:r>
      <w:r w:rsidRPr="00B55B6C">
        <w:rPr>
          <w:bCs/>
        </w:rPr>
        <w:t>;</w:t>
      </w:r>
    </w:p>
    <w:p w14:paraId="458CEA86" w14:textId="77777777" w:rsidR="00187BD9" w:rsidRPr="00B55B6C" w:rsidRDefault="00D86BC9" w:rsidP="00570495">
      <w:r w:rsidRPr="00B55B6C">
        <w:t>9.1</w:t>
      </w:r>
      <w:r w:rsidRPr="00B55B6C">
        <w:tab/>
        <w:t>on the activities of the ITU Radiocommunication Sector since WRC</w:t>
      </w:r>
      <w:r w:rsidRPr="00B55B6C">
        <w:noBreakHyphen/>
        <w:t>19:</w:t>
      </w:r>
    </w:p>
    <w:p w14:paraId="142A976D" w14:textId="77777777" w:rsidR="00AB5E05" w:rsidRPr="00B55B6C" w:rsidRDefault="00AB5E05" w:rsidP="00AB5E05">
      <w:pPr>
        <w:rPr>
          <w:lang w:eastAsia="zh-CN"/>
        </w:rPr>
      </w:pPr>
    </w:p>
    <w:p w14:paraId="4BD46CB2" w14:textId="4F63658A" w:rsidR="0091616E" w:rsidRPr="00B55B6C" w:rsidRDefault="0091616E" w:rsidP="0091616E">
      <w:pPr>
        <w:pStyle w:val="Headingb"/>
        <w:rPr>
          <w:lang w:val="en-GB" w:eastAsia="zh-CN"/>
        </w:rPr>
      </w:pPr>
      <w:r w:rsidRPr="00B55B6C">
        <w:rPr>
          <w:lang w:val="en-GB" w:eastAsia="zh-CN"/>
        </w:rPr>
        <w:t>Introduction</w:t>
      </w:r>
    </w:p>
    <w:p w14:paraId="57BD75F2" w14:textId="21ED7C9C" w:rsidR="0091616E" w:rsidRPr="00B55B6C" w:rsidRDefault="0091616E" w:rsidP="0091616E">
      <w:pPr>
        <w:pStyle w:val="Headingb"/>
        <w:rPr>
          <w:rFonts w:ascii="Times New Roman" w:hAnsi="Times New Roman" w:cs="Times New Roman"/>
          <w:b w:val="0"/>
          <w:iCs/>
          <w:lang w:val="en-GB"/>
        </w:rPr>
      </w:pPr>
      <w:r w:rsidRPr="00B55B6C">
        <w:rPr>
          <w:rFonts w:ascii="Times New Roman" w:hAnsi="Times New Roman" w:cs="Times New Roman"/>
          <w:b w:val="0"/>
          <w:iCs/>
          <w:lang w:val="en-GB"/>
        </w:rPr>
        <w:t xml:space="preserve">Coordinated Universal Time (UTC) is the </w:t>
      </w:r>
      <w:hyperlink r:id="rId14" w:tgtFrame="_blank" w:history="1">
        <w:r w:rsidRPr="00B55B6C">
          <w:rPr>
            <w:rFonts w:ascii="Times New Roman" w:hAnsi="Times New Roman" w:cs="Times New Roman"/>
            <w:b w:val="0"/>
            <w:iCs/>
            <w:lang w:val="en-GB"/>
          </w:rPr>
          <w:t>official</w:t>
        </w:r>
      </w:hyperlink>
      <w:r w:rsidRPr="00B55B6C">
        <w:rPr>
          <w:rFonts w:ascii="Times New Roman" w:hAnsi="Times New Roman" w:cs="Times New Roman"/>
          <w:b w:val="0"/>
          <w:iCs/>
          <w:lang w:val="en-GB"/>
        </w:rPr>
        <w:t xml:space="preserve"> reference time scale for the modern world. It is maintained by the International Bureau of Weights and Measures (BIPM) and adjusted </w:t>
      </w:r>
      <w:r w:rsidR="00AB1944" w:rsidRPr="00B55B6C">
        <w:rPr>
          <w:rFonts w:ascii="Times New Roman" w:hAnsi="Times New Roman" w:cs="Times New Roman"/>
          <w:b w:val="0"/>
          <w:iCs/>
          <w:lang w:val="en-GB"/>
        </w:rPr>
        <w:t xml:space="preserve">with the </w:t>
      </w:r>
      <w:r w:rsidRPr="00B55B6C">
        <w:rPr>
          <w:rFonts w:ascii="Times New Roman" w:hAnsi="Times New Roman" w:cs="Times New Roman"/>
          <w:b w:val="0"/>
          <w:iCs/>
          <w:lang w:val="en-GB"/>
        </w:rPr>
        <w:t xml:space="preserve">insertion or deletion of positive or negative leap-seconds to ensure approximate agreement with mean solar time (UT1). </w:t>
      </w:r>
      <w:r w:rsidR="007929DB" w:rsidRPr="00B55B6C">
        <w:rPr>
          <w:rFonts w:ascii="Times New Roman" w:hAnsi="Times New Roman" w:cs="Times New Roman"/>
          <w:b w:val="0"/>
          <w:iCs/>
          <w:lang w:val="en-GB"/>
        </w:rPr>
        <w:t xml:space="preserve">Removing </w:t>
      </w:r>
      <w:r w:rsidRPr="00B55B6C">
        <w:rPr>
          <w:rFonts w:ascii="Times New Roman" w:hAnsi="Times New Roman" w:cs="Times New Roman"/>
          <w:b w:val="0"/>
          <w:iCs/>
          <w:lang w:val="en-GB"/>
        </w:rPr>
        <w:t xml:space="preserve">the </w:t>
      </w:r>
      <w:r w:rsidR="00AB1944" w:rsidRPr="00B55B6C">
        <w:rPr>
          <w:rFonts w:ascii="Times New Roman" w:hAnsi="Times New Roman" w:cs="Times New Roman"/>
          <w:b w:val="0"/>
          <w:iCs/>
          <w:lang w:val="en-GB"/>
        </w:rPr>
        <w:t xml:space="preserve">insertion or deletion of the </w:t>
      </w:r>
      <w:r w:rsidRPr="00B55B6C">
        <w:rPr>
          <w:rFonts w:ascii="Times New Roman" w:hAnsi="Times New Roman" w:cs="Times New Roman"/>
          <w:b w:val="0"/>
          <w:iCs/>
          <w:lang w:val="en-GB"/>
        </w:rPr>
        <w:t xml:space="preserve">leap second from the definition of UTC </w:t>
      </w:r>
      <w:r w:rsidR="007929DB" w:rsidRPr="00B55B6C">
        <w:rPr>
          <w:rFonts w:ascii="Times New Roman" w:hAnsi="Times New Roman" w:cs="Times New Roman"/>
          <w:b w:val="0"/>
          <w:iCs/>
          <w:lang w:val="en-GB"/>
        </w:rPr>
        <w:t xml:space="preserve">has been a matter of discussion for </w:t>
      </w:r>
      <w:r w:rsidRPr="00B55B6C">
        <w:rPr>
          <w:rFonts w:ascii="Times New Roman" w:hAnsi="Times New Roman" w:cs="Times New Roman"/>
          <w:b w:val="0"/>
          <w:iCs/>
          <w:lang w:val="en-GB"/>
        </w:rPr>
        <w:t xml:space="preserve">more </w:t>
      </w:r>
      <w:r w:rsidR="007929DB" w:rsidRPr="00B55B6C">
        <w:rPr>
          <w:rFonts w:ascii="Times New Roman" w:hAnsi="Times New Roman" w:cs="Times New Roman"/>
          <w:b w:val="0"/>
          <w:iCs/>
          <w:lang w:val="en-GB"/>
        </w:rPr>
        <w:t>than 20</w:t>
      </w:r>
      <w:r w:rsidRPr="00B55B6C">
        <w:rPr>
          <w:rFonts w:ascii="Times New Roman" w:hAnsi="Times New Roman" w:cs="Times New Roman"/>
          <w:b w:val="0"/>
          <w:iCs/>
          <w:lang w:val="en-GB"/>
        </w:rPr>
        <w:t xml:space="preserve"> years</w:t>
      </w:r>
      <w:r w:rsidR="007929DB" w:rsidRPr="00B55B6C">
        <w:rPr>
          <w:rFonts w:ascii="Times New Roman" w:hAnsi="Times New Roman" w:cs="Times New Roman"/>
          <w:b w:val="0"/>
          <w:iCs/>
          <w:lang w:val="en-GB"/>
        </w:rPr>
        <w:t>, but i</w:t>
      </w:r>
      <w:r w:rsidRPr="00B55B6C">
        <w:rPr>
          <w:rFonts w:ascii="Times New Roman" w:hAnsi="Times New Roman" w:cs="Times New Roman"/>
          <w:b w:val="0"/>
          <w:iCs/>
          <w:lang w:val="en-GB"/>
        </w:rPr>
        <w:t xml:space="preserve">t has </w:t>
      </w:r>
      <w:r w:rsidR="007929DB" w:rsidRPr="00B55B6C">
        <w:rPr>
          <w:rFonts w:ascii="Times New Roman" w:hAnsi="Times New Roman" w:cs="Times New Roman"/>
          <w:b w:val="0"/>
          <w:iCs/>
          <w:lang w:val="en-GB"/>
        </w:rPr>
        <w:t xml:space="preserve">still </w:t>
      </w:r>
      <w:r w:rsidRPr="00B55B6C">
        <w:rPr>
          <w:rFonts w:ascii="Times New Roman" w:hAnsi="Times New Roman" w:cs="Times New Roman"/>
          <w:b w:val="0"/>
          <w:iCs/>
          <w:lang w:val="en-GB"/>
        </w:rPr>
        <w:t>not been implemented.</w:t>
      </w:r>
    </w:p>
    <w:p w14:paraId="5CB0FE01" w14:textId="2B918A89" w:rsidR="00AB5E05" w:rsidRPr="00B55B6C" w:rsidRDefault="0091616E" w:rsidP="00AB5E05">
      <w:pPr>
        <w:rPr>
          <w:lang w:eastAsia="zh-CN"/>
        </w:rPr>
      </w:pPr>
      <w:r w:rsidRPr="00B55B6C">
        <w:rPr>
          <w:iCs/>
        </w:rPr>
        <w:t xml:space="preserve">Since WRC-15, this issue has been studied </w:t>
      </w:r>
      <w:r w:rsidR="00AB1944" w:rsidRPr="00B55B6C">
        <w:rPr>
          <w:iCs/>
        </w:rPr>
        <w:t xml:space="preserve">continuously </w:t>
      </w:r>
      <w:r w:rsidRPr="00B55B6C">
        <w:rPr>
          <w:iCs/>
        </w:rPr>
        <w:t xml:space="preserve">by ITU-R and the organizations of the Metre Convention in parallel and in cooperation with each other. In line with Resolution </w:t>
      </w:r>
      <w:r w:rsidRPr="00B55B6C">
        <w:rPr>
          <w:b/>
          <w:bCs/>
          <w:iCs/>
        </w:rPr>
        <w:t>655</w:t>
      </w:r>
      <w:r w:rsidRPr="00B55B6C">
        <w:rPr>
          <w:iCs/>
        </w:rPr>
        <w:t xml:space="preserve"> </w:t>
      </w:r>
      <w:r w:rsidRPr="00B55B6C">
        <w:rPr>
          <w:b/>
          <w:bCs/>
          <w:iCs/>
        </w:rPr>
        <w:t>(WRC-15)</w:t>
      </w:r>
      <w:r w:rsidRPr="00B55B6C">
        <w:rPr>
          <w:iCs/>
        </w:rPr>
        <w:t>, the relationship between ITU-R and BIPM has been strengthened. ITU-R and BIPM signed a Memorandum of Understanding in 2020. After that, the</w:t>
      </w:r>
      <w:hyperlink r:id="rId15" w:history="1">
        <w:r w:rsidRPr="00B55B6C">
          <w:rPr>
            <w:iCs/>
          </w:rPr>
          <w:t xml:space="preserve"> 27</w:t>
        </w:r>
        <w:r w:rsidRPr="00B55B6C">
          <w:rPr>
            <w:iCs/>
            <w:vertAlign w:val="superscript"/>
          </w:rPr>
          <w:t>th</w:t>
        </w:r>
        <w:r w:rsidR="00AB1944" w:rsidRPr="00B55B6C">
          <w:rPr>
            <w:iCs/>
          </w:rPr>
          <w:t xml:space="preserve"> meeting of the General Conference on Weights and Measures</w:t>
        </w:r>
        <w:r w:rsidRPr="00B55B6C">
          <w:rPr>
            <w:iCs/>
          </w:rPr>
          <w:t xml:space="preserve"> </w:t>
        </w:r>
        <w:r w:rsidR="00AB1944" w:rsidRPr="00B55B6C">
          <w:rPr>
            <w:iCs/>
          </w:rPr>
          <w:t>(</w:t>
        </w:r>
        <w:r w:rsidRPr="00B55B6C">
          <w:rPr>
            <w:iCs/>
          </w:rPr>
          <w:t>CGPM</w:t>
        </w:r>
      </w:hyperlink>
      <w:r w:rsidR="00AB1944" w:rsidRPr="00B55B6C">
        <w:rPr>
          <w:iCs/>
        </w:rPr>
        <w:t>)</w:t>
      </w:r>
      <w:r w:rsidRPr="00B55B6C">
        <w:rPr>
          <w:iCs/>
        </w:rPr>
        <w:t xml:space="preserve"> in November 2022 adopted </w:t>
      </w:r>
      <w:hyperlink r:id="rId16" w:history="1">
        <w:r w:rsidRPr="00B55B6C">
          <w:rPr>
            <w:iCs/>
          </w:rPr>
          <w:t>Resolution 4</w:t>
        </w:r>
      </w:hyperlink>
      <w:r w:rsidRPr="00B55B6C">
        <w:rPr>
          <w:iCs/>
        </w:rPr>
        <w:t xml:space="preserve"> on the use and future development of UTC and decided that the maximum value of the difference (UT1 – UTC) was going to be added to ensure that the continuity of UTC could last </w:t>
      </w:r>
      <w:r w:rsidR="005119B3" w:rsidRPr="00B55B6C">
        <w:rPr>
          <w:iCs/>
        </w:rPr>
        <w:t xml:space="preserve">for </w:t>
      </w:r>
      <w:r w:rsidRPr="00B55B6C">
        <w:rPr>
          <w:iCs/>
        </w:rPr>
        <w:t xml:space="preserve">at least </w:t>
      </w:r>
      <w:r w:rsidR="005119B3" w:rsidRPr="00B55B6C">
        <w:rPr>
          <w:iCs/>
        </w:rPr>
        <w:t>100 years</w:t>
      </w:r>
      <w:r w:rsidRPr="00B55B6C">
        <w:rPr>
          <w:iCs/>
        </w:rPr>
        <w:t xml:space="preserve">. </w:t>
      </w:r>
      <w:r w:rsidRPr="00B55B6C">
        <w:rPr>
          <w:iCs/>
          <w:lang w:eastAsia="zh-CN"/>
        </w:rPr>
        <w:t xml:space="preserve">The </w:t>
      </w:r>
      <w:r w:rsidR="005119B3" w:rsidRPr="00B55B6C">
        <w:rPr>
          <w:iCs/>
          <w:lang w:eastAsia="zh-CN"/>
        </w:rPr>
        <w:t>transition</w:t>
      </w:r>
      <w:r w:rsidRPr="00B55B6C">
        <w:rPr>
          <w:iCs/>
          <w:lang w:eastAsia="zh-CN"/>
        </w:rPr>
        <w:t xml:space="preserve"> from the old to the new UTC </w:t>
      </w:r>
      <w:r w:rsidR="005119B3" w:rsidRPr="00B55B6C">
        <w:rPr>
          <w:iCs/>
          <w:lang w:eastAsia="zh-CN"/>
        </w:rPr>
        <w:t xml:space="preserve">system </w:t>
      </w:r>
      <w:r w:rsidRPr="00B55B6C">
        <w:rPr>
          <w:iCs/>
          <w:lang w:eastAsia="zh-CN"/>
        </w:rPr>
        <w:t xml:space="preserve">is expected to </w:t>
      </w:r>
      <w:r w:rsidR="005119B3" w:rsidRPr="00B55B6C">
        <w:rPr>
          <w:iCs/>
          <w:lang w:eastAsia="zh-CN"/>
        </w:rPr>
        <w:t>be completed b</w:t>
      </w:r>
      <w:r w:rsidR="007929DB" w:rsidRPr="00B55B6C">
        <w:rPr>
          <w:iCs/>
          <w:lang w:eastAsia="zh-CN"/>
        </w:rPr>
        <w:t>y the end of</w:t>
      </w:r>
      <w:r w:rsidR="005119B3" w:rsidRPr="00B55B6C">
        <w:rPr>
          <w:iCs/>
          <w:lang w:eastAsia="zh-CN"/>
        </w:rPr>
        <w:t xml:space="preserve"> 2035.</w:t>
      </w:r>
    </w:p>
    <w:p w14:paraId="0D0D49A7" w14:textId="55DF0460" w:rsidR="00AB5E05" w:rsidRPr="00B55B6C" w:rsidRDefault="005119B3" w:rsidP="00AB5E05">
      <w:pPr>
        <w:pStyle w:val="Headingb"/>
        <w:rPr>
          <w:lang w:val="en-GB" w:eastAsia="zh-CN"/>
        </w:rPr>
      </w:pPr>
      <w:r w:rsidRPr="00B55B6C">
        <w:rPr>
          <w:lang w:val="en-GB" w:eastAsia="zh-CN"/>
        </w:rPr>
        <w:t>Proposal</w:t>
      </w:r>
    </w:p>
    <w:p w14:paraId="178816AD" w14:textId="20B20ED4" w:rsidR="00AB5E05" w:rsidRPr="00B55B6C" w:rsidRDefault="005119B3" w:rsidP="00AB5E05">
      <w:pPr>
        <w:rPr>
          <w:lang w:eastAsia="zh-CN"/>
        </w:rPr>
      </w:pPr>
      <w:r w:rsidRPr="00B55B6C">
        <w:rPr>
          <w:iCs/>
        </w:rPr>
        <w:t xml:space="preserve">China supports the continuation of ITU-R studies </w:t>
      </w:r>
      <w:r w:rsidR="00AB1944" w:rsidRPr="00B55B6C">
        <w:t>to cooperate further</w:t>
      </w:r>
      <w:r w:rsidRPr="00B55B6C">
        <w:rPr>
          <w:iCs/>
        </w:rPr>
        <w:t xml:space="preserve"> with BIPM, </w:t>
      </w:r>
      <w:r w:rsidR="00AB1944" w:rsidRPr="00B55B6C">
        <w:rPr>
          <w:iCs/>
        </w:rPr>
        <w:t>the International Committee for Weights and Measures (</w:t>
      </w:r>
      <w:r w:rsidRPr="00B55B6C">
        <w:rPr>
          <w:iCs/>
        </w:rPr>
        <w:t>CIPM</w:t>
      </w:r>
      <w:r w:rsidR="00AB1944" w:rsidRPr="00B55B6C">
        <w:rPr>
          <w:iCs/>
        </w:rPr>
        <w:t>)</w:t>
      </w:r>
      <w:r w:rsidRPr="00B55B6C">
        <w:rPr>
          <w:iCs/>
        </w:rPr>
        <w:t xml:space="preserve"> and CGPM on the future of UTC. At the same time, sufficient time (i.</w:t>
      </w:r>
      <w:r w:rsidR="007929DB" w:rsidRPr="00B55B6C">
        <w:rPr>
          <w:iCs/>
        </w:rPr>
        <w:t>e.</w:t>
      </w:r>
      <w:r w:rsidRPr="00B55B6C">
        <w:rPr>
          <w:iCs/>
        </w:rPr>
        <w:t xml:space="preserve"> 2035) should be reserved to ensure a smooth transition from the old to the new UTC system.</w:t>
      </w:r>
    </w:p>
    <w:p w14:paraId="4A0DEE0C" w14:textId="77777777" w:rsidR="00241FA2" w:rsidRPr="00B55B6C" w:rsidRDefault="00241FA2" w:rsidP="00EB54B2">
      <w:pPr>
        <w:rPr>
          <w:lang w:eastAsia="zh-CN"/>
        </w:rPr>
      </w:pPr>
    </w:p>
    <w:p w14:paraId="13721442" w14:textId="77777777" w:rsidR="00187BD9" w:rsidRPr="00B55B6C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B55B6C">
        <w:rPr>
          <w:lang w:eastAsia="zh-CN"/>
        </w:rPr>
        <w:br w:type="page"/>
      </w:r>
    </w:p>
    <w:p w14:paraId="39237F82" w14:textId="77777777" w:rsidR="00E608F0" w:rsidRPr="00B55B6C" w:rsidRDefault="00D86BC9">
      <w:pPr>
        <w:pStyle w:val="Proposal"/>
      </w:pPr>
      <w:r w:rsidRPr="00B55B6C">
        <w:lastRenderedPageBreak/>
        <w:tab/>
        <w:t>CHN/111A24A6/1</w:t>
      </w:r>
    </w:p>
    <w:p w14:paraId="21DF6B1B" w14:textId="10DBEBD6" w:rsidR="00E608F0" w:rsidRPr="00B55B6C" w:rsidRDefault="00AC3EF6">
      <w:pPr>
        <w:rPr>
          <w:lang w:eastAsia="zh-CN"/>
        </w:rPr>
      </w:pPr>
      <w:r w:rsidRPr="00B55B6C">
        <w:t xml:space="preserve">China supports the continuation of ITU-R studies to cooperate further with the International Bureau of Weights and Measures (BIPM), the International Committee of Weights and Measures (CIPM) and </w:t>
      </w:r>
      <w:r w:rsidR="00AB1944" w:rsidRPr="00B55B6C">
        <w:t>the General Conference on Weights and Measures (</w:t>
      </w:r>
      <w:r w:rsidRPr="00B55B6C">
        <w:t>CGPM</w:t>
      </w:r>
      <w:r w:rsidR="00AB1944" w:rsidRPr="00B55B6C">
        <w:t>)</w:t>
      </w:r>
      <w:r w:rsidRPr="00B55B6C">
        <w:t xml:space="preserve"> on the future of UTC. </w:t>
      </w:r>
      <w:r w:rsidRPr="00B55B6C">
        <w:rPr>
          <w:iCs/>
        </w:rPr>
        <w:t>At the same time, sufficient time (i.</w:t>
      </w:r>
      <w:r w:rsidR="007929DB" w:rsidRPr="00B55B6C">
        <w:rPr>
          <w:iCs/>
        </w:rPr>
        <w:t>e.</w:t>
      </w:r>
      <w:r w:rsidRPr="00B55B6C">
        <w:rPr>
          <w:iCs/>
        </w:rPr>
        <w:t xml:space="preserve"> 2035) should be reserved to ensure a smooth transition from the old to the new UTC system.</w:t>
      </w:r>
    </w:p>
    <w:p w14:paraId="131CAC39" w14:textId="5AEE64AC" w:rsidR="00E608F0" w:rsidRPr="00B55B6C" w:rsidRDefault="00D86BC9" w:rsidP="00AB5E05">
      <w:pPr>
        <w:pStyle w:val="Reasons"/>
        <w:rPr>
          <w:lang w:eastAsia="zh-CN"/>
        </w:rPr>
      </w:pPr>
      <w:r w:rsidRPr="00B55B6C">
        <w:rPr>
          <w:b/>
          <w:lang w:eastAsia="zh-CN"/>
        </w:rPr>
        <w:t>Reasons:</w:t>
      </w:r>
      <w:r w:rsidRPr="00B55B6C">
        <w:rPr>
          <w:lang w:eastAsia="zh-CN"/>
        </w:rPr>
        <w:tab/>
      </w:r>
      <w:r w:rsidR="00AC3EF6" w:rsidRPr="00B55B6C">
        <w:rPr>
          <w:lang w:eastAsia="zh-CN"/>
        </w:rPr>
        <w:t xml:space="preserve">BIPM and ITU-R have signed a Memorandum of Understanding and the 27th CGPM has adopted Resolution 4 to add the tolerance value </w:t>
      </w:r>
      <w:r w:rsidR="00AB1944" w:rsidRPr="00B55B6C">
        <w:rPr>
          <w:lang w:eastAsia="zh-CN"/>
        </w:rPr>
        <w:t>for</w:t>
      </w:r>
      <w:r w:rsidR="007929DB" w:rsidRPr="00B55B6C">
        <w:rPr>
          <w:lang w:eastAsia="zh-CN"/>
        </w:rPr>
        <w:t xml:space="preserve"> </w:t>
      </w:r>
      <w:r w:rsidR="00AC3EF6" w:rsidRPr="00B55B6C">
        <w:rPr>
          <w:lang w:eastAsia="zh-CN"/>
        </w:rPr>
        <w:t xml:space="preserve">(UT1 – UTC). </w:t>
      </w:r>
      <w:r w:rsidR="00AC3EF6" w:rsidRPr="00B55B6C">
        <w:t>Given the existing situation, it is necessary to follow the latest development</w:t>
      </w:r>
      <w:r w:rsidR="007929DB" w:rsidRPr="00B55B6C">
        <w:t>s</w:t>
      </w:r>
      <w:r w:rsidR="00AC3EF6" w:rsidRPr="00B55B6C">
        <w:t xml:space="preserve"> and support reserv</w:t>
      </w:r>
      <w:r w:rsidR="00AB1944" w:rsidRPr="00B55B6C">
        <w:t>ing</w:t>
      </w:r>
      <w:r w:rsidR="00AC3EF6" w:rsidRPr="00B55B6C">
        <w:t xml:space="preserve"> sufficient time to ensure a smooth transition </w:t>
      </w:r>
      <w:r w:rsidR="00AC3EF6" w:rsidRPr="00B55B6C">
        <w:rPr>
          <w:iCs/>
        </w:rPr>
        <w:t>from the old to the new UTC systems</w:t>
      </w:r>
      <w:r w:rsidR="00AB1944" w:rsidRPr="00B55B6C">
        <w:rPr>
          <w:iCs/>
        </w:rPr>
        <w:t>.</w:t>
      </w:r>
    </w:p>
    <w:p w14:paraId="4EFCAA3A" w14:textId="77777777" w:rsidR="00AB5E05" w:rsidRPr="00B55B6C" w:rsidRDefault="00AB5E05" w:rsidP="00AB5E05">
      <w:pPr>
        <w:rPr>
          <w:lang w:eastAsia="zh-CN"/>
        </w:rPr>
      </w:pPr>
    </w:p>
    <w:p w14:paraId="6C9AAE67" w14:textId="1D49768F" w:rsidR="00AB5E05" w:rsidRPr="00AB5E05" w:rsidRDefault="00AB5E05" w:rsidP="00AB5E05">
      <w:pPr>
        <w:jc w:val="center"/>
      </w:pPr>
      <w:r w:rsidRPr="00B55B6C">
        <w:t>______________</w:t>
      </w:r>
    </w:p>
    <w:sectPr w:rsidR="00AB5E05" w:rsidRPr="00AB5E05" w:rsidSect="0039169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B853" w14:textId="77777777" w:rsidR="000675AC" w:rsidRDefault="000675AC">
      <w:r>
        <w:separator/>
      </w:r>
    </w:p>
  </w:endnote>
  <w:endnote w:type="continuationSeparator" w:id="0">
    <w:p w14:paraId="2528B785" w14:textId="77777777" w:rsidR="000675AC" w:rsidRDefault="0006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C77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3E93EB4" w14:textId="3AB3F25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6FC3">
      <w:rPr>
        <w:noProof/>
      </w:rPr>
      <w:t>07.11.23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12DB" w14:textId="2540B431" w:rsidR="00E45D05" w:rsidRPr="005B0D51" w:rsidRDefault="00C22CFA" w:rsidP="009B1EA1">
    <w:pPr>
      <w:pStyle w:val="Footer"/>
      <w:rPr>
        <w:lang w:val="pt-PT"/>
      </w:rPr>
    </w:pPr>
    <w:r>
      <w:fldChar w:fldCharType="begin"/>
    </w:r>
    <w:r w:rsidRPr="005B0D51">
      <w:rPr>
        <w:rFonts w:eastAsia="SimSun"/>
        <w:lang w:val="pt-PT" w:eastAsia="zh-CN"/>
      </w:rPr>
      <w:instrText xml:space="preserve"> FILENAME \p \* MERGEFORMAT </w:instrText>
    </w:r>
    <w:r>
      <w:fldChar w:fldCharType="separate"/>
    </w:r>
    <w:r w:rsidR="00C5663A" w:rsidRPr="005B0D51">
      <w:rPr>
        <w:rFonts w:eastAsia="SimSun"/>
        <w:lang w:val="pt-PT" w:eastAsia="zh-CN"/>
      </w:rPr>
      <w:t>P:\ENG\ITU-R\CONF-R\CMR23\100\111ADD24ADD06E.docx</w:t>
    </w:r>
    <w:r>
      <w:fldChar w:fldCharType="end"/>
    </w:r>
    <w:r w:rsidRPr="005B0D51">
      <w:rPr>
        <w:lang w:val="pt-PT"/>
      </w:rPr>
      <w:t xml:space="preserve"> (5302</w:t>
    </w:r>
    <w:r w:rsidR="00AB5E05" w:rsidRPr="005B0D51">
      <w:rPr>
        <w:lang w:val="pt-PT"/>
      </w:rPr>
      <w:t>81</w:t>
    </w:r>
    <w:r w:rsidRPr="005B0D51">
      <w:rPr>
        <w:lang w:val="pt-P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1C77" w14:textId="70E3763D" w:rsidR="00C22CFA" w:rsidRPr="005B0D51" w:rsidRDefault="00C22CFA">
    <w:pPr>
      <w:pStyle w:val="Footer"/>
      <w:rPr>
        <w:lang w:val="pt-PT"/>
      </w:rPr>
    </w:pPr>
    <w:r>
      <w:fldChar w:fldCharType="begin"/>
    </w:r>
    <w:r w:rsidRPr="005B0D51">
      <w:rPr>
        <w:rFonts w:eastAsia="SimSun"/>
        <w:lang w:val="pt-PT" w:eastAsia="zh-CN"/>
      </w:rPr>
      <w:instrText xml:space="preserve"> FILENAME \p \* MERGEFORMAT </w:instrText>
    </w:r>
    <w:r>
      <w:fldChar w:fldCharType="separate"/>
    </w:r>
    <w:r w:rsidR="00C5663A" w:rsidRPr="005B0D51">
      <w:rPr>
        <w:rFonts w:eastAsia="SimSun"/>
        <w:lang w:val="pt-PT" w:eastAsia="zh-CN"/>
      </w:rPr>
      <w:t>P:\ENG\ITU-R\CONF-R\CMR23\100\111ADD24ADD06E.docx</w:t>
    </w:r>
    <w:r>
      <w:fldChar w:fldCharType="end"/>
    </w:r>
    <w:r w:rsidRPr="005B0D51">
      <w:rPr>
        <w:lang w:val="pt-PT"/>
      </w:rPr>
      <w:t xml:space="preserve"> (5302</w:t>
    </w:r>
    <w:r w:rsidR="00AB5E05" w:rsidRPr="005B0D51">
      <w:rPr>
        <w:lang w:val="pt-PT"/>
      </w:rPr>
      <w:t>81</w:t>
    </w:r>
    <w:r w:rsidRPr="005B0D51">
      <w:rPr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4F55" w14:textId="77777777" w:rsidR="000675AC" w:rsidRDefault="000675AC">
      <w:r>
        <w:rPr>
          <w:b/>
        </w:rPr>
        <w:t>_______________</w:t>
      </w:r>
    </w:p>
  </w:footnote>
  <w:footnote w:type="continuationSeparator" w:id="0">
    <w:p w14:paraId="0C8A3631" w14:textId="77777777" w:rsidR="000675AC" w:rsidRDefault="0006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2D53" w14:textId="77777777" w:rsidR="00C5663A" w:rsidRDefault="00C5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1363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0A55B707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7" w:name="OLE_LINK1"/>
    <w:bookmarkStart w:id="8" w:name="OLE_LINK2"/>
    <w:bookmarkStart w:id="9" w:name="OLE_LINK3"/>
    <w:r w:rsidR="00EB55C6">
      <w:t>111(Add.24)(Add.6)</w:t>
    </w:r>
    <w:bookmarkEnd w:id="7"/>
    <w:bookmarkEnd w:id="8"/>
    <w:bookmarkEnd w:id="9"/>
    <w:r w:rsidR="00187BD9"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27B7" w14:textId="77777777" w:rsidR="00C5663A" w:rsidRDefault="00C5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39158214">
    <w:abstractNumId w:val="0"/>
  </w:num>
  <w:num w:numId="2" w16cid:durableId="84725727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674E3"/>
    <w:rsid w:val="000675AC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E4932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536A8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02782"/>
    <w:rsid w:val="0041348E"/>
    <w:rsid w:val="00420873"/>
    <w:rsid w:val="00423E22"/>
    <w:rsid w:val="00492075"/>
    <w:rsid w:val="004969AD"/>
    <w:rsid w:val="004A26C4"/>
    <w:rsid w:val="004B13CB"/>
    <w:rsid w:val="004D252E"/>
    <w:rsid w:val="004D26EA"/>
    <w:rsid w:val="004D2BFB"/>
    <w:rsid w:val="004D5D5C"/>
    <w:rsid w:val="004F3DC0"/>
    <w:rsid w:val="0050139F"/>
    <w:rsid w:val="005119B3"/>
    <w:rsid w:val="0055140B"/>
    <w:rsid w:val="00553048"/>
    <w:rsid w:val="005861D7"/>
    <w:rsid w:val="005964AB"/>
    <w:rsid w:val="005B0D51"/>
    <w:rsid w:val="005C099A"/>
    <w:rsid w:val="005C31A5"/>
    <w:rsid w:val="005E10C9"/>
    <w:rsid w:val="005E290B"/>
    <w:rsid w:val="005E61DD"/>
    <w:rsid w:val="005F04D8"/>
    <w:rsid w:val="006023DF"/>
    <w:rsid w:val="00606672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929DB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1616E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B1944"/>
    <w:rsid w:val="00AB5E05"/>
    <w:rsid w:val="00AC3EF6"/>
    <w:rsid w:val="00AD6FC3"/>
    <w:rsid w:val="00AD7914"/>
    <w:rsid w:val="00AE514B"/>
    <w:rsid w:val="00B40888"/>
    <w:rsid w:val="00B55B6C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3E7"/>
    <w:rsid w:val="00C20466"/>
    <w:rsid w:val="00C214ED"/>
    <w:rsid w:val="00C22CFA"/>
    <w:rsid w:val="00C234E6"/>
    <w:rsid w:val="00C324A8"/>
    <w:rsid w:val="00C54517"/>
    <w:rsid w:val="00C5663A"/>
    <w:rsid w:val="00C56F70"/>
    <w:rsid w:val="00C57B91"/>
    <w:rsid w:val="00C64CD8"/>
    <w:rsid w:val="00C82695"/>
    <w:rsid w:val="00C97C68"/>
    <w:rsid w:val="00CA1A47"/>
    <w:rsid w:val="00CA3DFC"/>
    <w:rsid w:val="00CB0F7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86BC9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608F0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078E6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557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5BA17C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929D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pm.org/en/cgpm-2022/resolution-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ipm.org/en/cgpm-2022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aidu.com/link?url=a3uK37wfiQl3zfxANrlHO2adBhQesB1trQN7-V7bSu4HzqHKBWaC0tr7umBhR6YY4RqArWkFLT5LCRqovMt2ta&amp;wd=&amp;eqid=860b14550000bdd300000003652778a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R23-WRC23-C-0111!A24-A6!MSW-E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Props1.xml><?xml version="1.0" encoding="utf-8"?>
<ds:datastoreItem xmlns:ds="http://schemas.openxmlformats.org/officeDocument/2006/customXml" ds:itemID="{CC258FC3-0B9A-44B0-B1DF-DFDBFC1E0B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CFEDDB-A7FF-45FD-9771-8A7ED7ED2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2EE80-E85E-4FE8-892A-4DE69896C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46D327-7E1E-41E8-B023-638E8CB76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8D32B3-AD85-47BD-AE00-FC0D62AB84F4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R23-WRC23-C-0111!A24-A6!MSW-E</vt:lpstr>
    </vt:vector>
  </TitlesOfParts>
  <Manager>General Secretariat - Pool</Manager>
  <Company>International Telecommunication Union (ITU)</Company>
  <LinksUpToDate>false</LinksUpToDate>
  <CharactersWithSpaces>3111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R23-WRC23-C-0111!A24-A6!MSW-E</dc:title>
  <dc:subject>World Radiocommunication Conference - 2023</dc:subject>
  <dc:creator>Documents Proposals Manager (DPM)</dc:creator>
  <cp:keywords>DPM_v2023.8.1.1_prod</cp:keywords>
  <dc:description>Uploaded on 2015.07.06</dc:description>
  <cp:lastModifiedBy>Xue, Kun</cp:lastModifiedBy>
  <cp:revision>3</cp:revision>
  <cp:lastPrinted>2017-02-10T08:23:00Z</cp:lastPrinted>
  <dcterms:created xsi:type="dcterms:W3CDTF">2023-11-09T08:20:00Z</dcterms:created>
  <dcterms:modified xsi:type="dcterms:W3CDTF">2023-11-09T08:20:00Z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