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3112DF" w14:paraId="17021931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5A00D6A8" w14:textId="77777777" w:rsidR="00752552" w:rsidRPr="003112DF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3112DF">
              <w:rPr>
                <w:noProof/>
                <w:lang w:val="en-GB" w:bidi="ar-EG"/>
              </w:rPr>
              <w:drawing>
                <wp:inline distT="0" distB="0" distL="0" distR="0" wp14:anchorId="1C49D5B1" wp14:editId="579799E0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D37C3E5" w14:textId="77777777" w:rsidR="00752552" w:rsidRPr="003112DF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3112DF">
              <w:rPr>
                <w:rtl/>
              </w:rPr>
              <w:t xml:space="preserve">المؤتمر العالمي للاتصالات الراديوية </w:t>
            </w:r>
            <w:r w:rsidRPr="003112DF">
              <w:t>(WRC-23)</w:t>
            </w:r>
          </w:p>
          <w:p w14:paraId="0F63125E" w14:textId="77777777" w:rsidR="00752552" w:rsidRPr="003112DF" w:rsidRDefault="00752552" w:rsidP="00752552">
            <w:pPr>
              <w:rPr>
                <w:b/>
                <w:bCs/>
                <w:rtl/>
                <w:lang w:bidi="ar-EG"/>
              </w:rPr>
            </w:pPr>
            <w:r w:rsidRPr="003112DF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3112DF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3112DF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3112DF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3112DF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3112DF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6C46275" w14:textId="77777777" w:rsidR="00752552" w:rsidRPr="003112DF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3112DF">
              <w:rPr>
                <w:noProof/>
              </w:rPr>
              <w:drawing>
                <wp:inline distT="0" distB="0" distL="0" distR="0" wp14:anchorId="6DF71784" wp14:editId="3B4E076F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3112DF" w14:paraId="68A88762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68D3BDA" w14:textId="77777777" w:rsidR="000D1EE4" w:rsidRPr="003112DF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33DE5E0" w14:textId="77777777" w:rsidR="000D1EE4" w:rsidRPr="003112DF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3112DF" w14:paraId="5BF9284E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45E9F9B" w14:textId="77777777" w:rsidR="000D1EE4" w:rsidRPr="003112DF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D1DD174" w14:textId="77777777" w:rsidR="000D1EE4" w:rsidRPr="003112DF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3112DF" w14:paraId="37414EAE" w14:textId="77777777" w:rsidTr="00752552">
        <w:trPr>
          <w:cantSplit/>
        </w:trPr>
        <w:tc>
          <w:tcPr>
            <w:tcW w:w="6696" w:type="dxa"/>
            <w:gridSpan w:val="2"/>
          </w:tcPr>
          <w:p w14:paraId="008C1806" w14:textId="77777777" w:rsidR="000D1EE4" w:rsidRPr="003112DF" w:rsidRDefault="00E50850" w:rsidP="00F80BD2">
            <w:pPr>
              <w:pStyle w:val="Committee"/>
              <w:bidi/>
              <w:spacing w:line="260" w:lineRule="exact"/>
              <w:rPr>
                <w:rtl/>
                <w:lang w:bidi="ar-EG"/>
              </w:rPr>
            </w:pPr>
            <w:r w:rsidRPr="003112DF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9824FEF" w14:textId="77777777" w:rsidR="000D1EE4" w:rsidRPr="003112DF" w:rsidRDefault="00E50850" w:rsidP="00F80BD2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3112DF">
              <w:rPr>
                <w:rFonts w:eastAsia="SimSun"/>
                <w:b/>
                <w:bCs/>
                <w:rtl/>
                <w:lang w:bidi="ar-EG"/>
              </w:rPr>
              <w:t>الإضافة 6</w:t>
            </w:r>
            <w:r w:rsidRPr="003112DF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3112DF">
              <w:rPr>
                <w:rFonts w:eastAsia="SimSun"/>
                <w:b/>
                <w:bCs/>
              </w:rPr>
              <w:t>111(Add.24)-A</w:t>
            </w:r>
          </w:p>
        </w:tc>
      </w:tr>
      <w:tr w:rsidR="000D1EE4" w:rsidRPr="003112DF" w14:paraId="325745A6" w14:textId="77777777" w:rsidTr="00752552">
        <w:trPr>
          <w:cantSplit/>
        </w:trPr>
        <w:tc>
          <w:tcPr>
            <w:tcW w:w="6696" w:type="dxa"/>
            <w:gridSpan w:val="2"/>
          </w:tcPr>
          <w:p w14:paraId="5F7439CB" w14:textId="77777777" w:rsidR="000D1EE4" w:rsidRPr="003112DF" w:rsidRDefault="000D1EE4" w:rsidP="00F80BD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8DA1B55" w14:textId="77777777" w:rsidR="000D1EE4" w:rsidRPr="003112DF" w:rsidRDefault="00E50850" w:rsidP="00F80BD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112DF">
              <w:rPr>
                <w:rFonts w:eastAsia="SimSun"/>
                <w:b/>
                <w:bCs/>
              </w:rPr>
              <w:t>29</w:t>
            </w:r>
            <w:r w:rsidRPr="003112DF">
              <w:rPr>
                <w:rFonts w:eastAsia="SimSun"/>
                <w:b/>
                <w:bCs/>
                <w:rtl/>
              </w:rPr>
              <w:t xml:space="preserve"> أكتوبر </w:t>
            </w:r>
            <w:r w:rsidRPr="003112DF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3112DF" w14:paraId="0C6BE16A" w14:textId="77777777" w:rsidTr="00752552">
        <w:trPr>
          <w:cantSplit/>
        </w:trPr>
        <w:tc>
          <w:tcPr>
            <w:tcW w:w="6696" w:type="dxa"/>
            <w:gridSpan w:val="2"/>
          </w:tcPr>
          <w:p w14:paraId="5917CCDE" w14:textId="77777777" w:rsidR="000D1EE4" w:rsidRPr="003112DF" w:rsidRDefault="000D1EE4" w:rsidP="00F80BD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11B3925" w14:textId="77777777" w:rsidR="000D1EE4" w:rsidRPr="003112DF" w:rsidRDefault="00E50850" w:rsidP="00F80BD2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3112DF">
              <w:rPr>
                <w:b/>
                <w:bCs/>
                <w:rtl/>
                <w:lang w:bidi="ar-EG"/>
              </w:rPr>
              <w:t>الأصل: بالصينية</w:t>
            </w:r>
          </w:p>
        </w:tc>
      </w:tr>
      <w:tr w:rsidR="000D1EE4" w:rsidRPr="003112DF" w14:paraId="77106FE4" w14:textId="77777777" w:rsidTr="00752552">
        <w:trPr>
          <w:cantSplit/>
        </w:trPr>
        <w:tc>
          <w:tcPr>
            <w:tcW w:w="9666" w:type="dxa"/>
            <w:gridSpan w:val="4"/>
          </w:tcPr>
          <w:p w14:paraId="21B34FFD" w14:textId="77777777" w:rsidR="000D1EE4" w:rsidRPr="003112DF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3112DF" w14:paraId="6882B0BD" w14:textId="77777777" w:rsidTr="00752552">
        <w:trPr>
          <w:cantSplit/>
        </w:trPr>
        <w:tc>
          <w:tcPr>
            <w:tcW w:w="9666" w:type="dxa"/>
            <w:gridSpan w:val="4"/>
          </w:tcPr>
          <w:p w14:paraId="4CA17141" w14:textId="77777777" w:rsidR="000D1EE4" w:rsidRPr="003112DF" w:rsidRDefault="000D1EE4" w:rsidP="003112DF">
            <w:pPr>
              <w:pStyle w:val="Source"/>
              <w:rPr>
                <w:rtl/>
              </w:rPr>
            </w:pPr>
            <w:r w:rsidRPr="003112DF">
              <w:rPr>
                <w:rtl/>
              </w:rPr>
              <w:t>جمهورية الصين الشعبية</w:t>
            </w:r>
          </w:p>
        </w:tc>
      </w:tr>
      <w:tr w:rsidR="000D1EE4" w:rsidRPr="003112DF" w14:paraId="73792605" w14:textId="77777777" w:rsidTr="00752552">
        <w:trPr>
          <w:cantSplit/>
        </w:trPr>
        <w:tc>
          <w:tcPr>
            <w:tcW w:w="9666" w:type="dxa"/>
            <w:gridSpan w:val="4"/>
          </w:tcPr>
          <w:p w14:paraId="78C3329A" w14:textId="22580CE0" w:rsidR="000D1EE4" w:rsidRPr="003112DF" w:rsidRDefault="00044450" w:rsidP="003112DF">
            <w:pPr>
              <w:pStyle w:val="Title1"/>
              <w:rPr>
                <w:rtl/>
              </w:rPr>
            </w:pPr>
            <w:r w:rsidRPr="003112DF"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3112DF" w14:paraId="6AB415DC" w14:textId="77777777" w:rsidTr="00752552">
        <w:trPr>
          <w:cantSplit/>
        </w:trPr>
        <w:tc>
          <w:tcPr>
            <w:tcW w:w="9666" w:type="dxa"/>
            <w:gridSpan w:val="4"/>
          </w:tcPr>
          <w:p w14:paraId="09B47333" w14:textId="77777777" w:rsidR="000D1EE4" w:rsidRPr="003112DF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3112DF" w14:paraId="31552B00" w14:textId="77777777" w:rsidTr="00752552">
        <w:trPr>
          <w:cantSplit/>
        </w:trPr>
        <w:tc>
          <w:tcPr>
            <w:tcW w:w="9666" w:type="dxa"/>
            <w:gridSpan w:val="4"/>
          </w:tcPr>
          <w:p w14:paraId="19B78AD1" w14:textId="6CEEEC60" w:rsidR="00E50850" w:rsidRPr="003112DF" w:rsidRDefault="00E50850" w:rsidP="003112DF">
            <w:pPr>
              <w:pStyle w:val="Agendaitem"/>
            </w:pPr>
            <w:r w:rsidRPr="003112DF">
              <w:rPr>
                <w:rtl/>
              </w:rPr>
              <w:t>بند جدول الأعمال</w:t>
            </w:r>
            <w:r w:rsidR="00920BC7" w:rsidRPr="003112DF">
              <w:rPr>
                <w:rFonts w:hint="cs"/>
                <w:rtl/>
              </w:rPr>
              <w:t xml:space="preserve"> 1.9</w:t>
            </w:r>
          </w:p>
        </w:tc>
      </w:tr>
    </w:tbl>
    <w:p w14:paraId="05D46280" w14:textId="2CE45993" w:rsidR="00E406DA" w:rsidRPr="003112DF" w:rsidRDefault="00D74046" w:rsidP="00F80BD2">
      <w:pPr>
        <w:pStyle w:val="Normalaftertitle"/>
        <w:rPr>
          <w:rtl/>
        </w:rPr>
      </w:pPr>
      <w:r w:rsidRPr="003112DF">
        <w:t>9</w:t>
      </w:r>
      <w:r w:rsidRPr="003112DF">
        <w:rPr>
          <w:rtl/>
        </w:rPr>
        <w:tab/>
        <w:t xml:space="preserve">النظر في تقرير مدير مكتب الاتصالات الراديوية وإقراره، وفقاً للمادة </w:t>
      </w:r>
      <w:r w:rsidRPr="003112DF">
        <w:t>7</w:t>
      </w:r>
      <w:r w:rsidRPr="003112DF">
        <w:rPr>
          <w:rtl/>
        </w:rPr>
        <w:t xml:space="preserve"> من اتفاقية الاتحاد؛</w:t>
      </w:r>
    </w:p>
    <w:p w14:paraId="3FD38258" w14:textId="77777777" w:rsidR="00E406DA" w:rsidRPr="003112DF" w:rsidRDefault="00D74046" w:rsidP="001D42C8">
      <w:pPr>
        <w:spacing w:line="180" w:lineRule="auto"/>
      </w:pPr>
      <w:r w:rsidRPr="003112DF">
        <w:t>1.9</w:t>
      </w:r>
      <w:r w:rsidRPr="003112DF">
        <w:rPr>
          <w:rtl/>
        </w:rPr>
        <w:tab/>
        <w:t xml:space="preserve">بشأن أنشطة قطاع الاتصالات الراديوية بالاتحاد منذ المؤتمر العالمي للاتصالات الراديوية لعام </w:t>
      </w:r>
      <w:r w:rsidRPr="003112DF">
        <w:t>2019</w:t>
      </w:r>
      <w:r w:rsidRPr="003112DF">
        <w:rPr>
          <w:rtl/>
        </w:rPr>
        <w:t>:</w:t>
      </w:r>
    </w:p>
    <w:p w14:paraId="303C4C80" w14:textId="77777777" w:rsidR="00E406DA" w:rsidRPr="003112DF" w:rsidRDefault="00E406DA" w:rsidP="0035641C">
      <w:pPr>
        <w:rPr>
          <w:rtl/>
          <w:lang w:bidi="ar-EG"/>
        </w:rPr>
      </w:pPr>
    </w:p>
    <w:p w14:paraId="144F9EDF" w14:textId="42E7498E" w:rsidR="00417E14" w:rsidRPr="003112DF" w:rsidRDefault="002A0FBE" w:rsidP="005D2F2F">
      <w:pPr>
        <w:pStyle w:val="Headingb"/>
        <w:rPr>
          <w:rtl/>
        </w:rPr>
      </w:pPr>
      <w:r w:rsidRPr="003112DF">
        <w:rPr>
          <w:rtl/>
        </w:rPr>
        <w:t>مقدمة</w:t>
      </w:r>
    </w:p>
    <w:p w14:paraId="3DFD9BDC" w14:textId="55BA2BFA" w:rsidR="002A0FBE" w:rsidRPr="003112DF" w:rsidRDefault="00B95B54" w:rsidP="00C309E0">
      <w:pPr>
        <w:rPr>
          <w:rtl/>
          <w:lang w:bidi="ar-LB"/>
        </w:rPr>
      </w:pPr>
      <w:r w:rsidRPr="003112DF">
        <w:rPr>
          <w:rtl/>
          <w:lang w:bidi="ar-LB"/>
        </w:rPr>
        <w:t xml:space="preserve">التوقيت العالمي المنسق </w:t>
      </w:r>
      <w:r w:rsidRPr="003112DF">
        <w:rPr>
          <w:lang w:bidi="ar-LB"/>
        </w:rPr>
        <w:t>(UTC)</w:t>
      </w:r>
      <w:r w:rsidRPr="003112DF">
        <w:rPr>
          <w:rtl/>
          <w:lang w:bidi="ar-LB"/>
        </w:rPr>
        <w:t xml:space="preserve"> هو سلم التوقيت المرجعي الرسمي للعالم الحديث. ويشرف عليه المكتب الدولي للأوزان والمقاييس </w:t>
      </w:r>
      <w:r w:rsidRPr="003112DF">
        <w:rPr>
          <w:lang w:bidi="ar-LB"/>
        </w:rPr>
        <w:t>(BIPM)</w:t>
      </w:r>
      <w:r w:rsidRPr="003112DF">
        <w:rPr>
          <w:rtl/>
          <w:lang w:bidi="ar-LB"/>
        </w:rPr>
        <w:t xml:space="preserve"> ويُضبط بإضافة الثواني الكبيسة الموجبة أو السالبة أو طرحها لتأمين توافق تقريبي مع التوقيت الشمسي المتوسط </w:t>
      </w:r>
      <w:r w:rsidRPr="003112DF">
        <w:rPr>
          <w:lang w:bidi="ar-LB"/>
        </w:rPr>
        <w:t>(UTI)</w:t>
      </w:r>
      <w:r w:rsidRPr="003112DF">
        <w:rPr>
          <w:rtl/>
          <w:lang w:bidi="ar-LB"/>
        </w:rPr>
        <w:t xml:space="preserve">. وكانت مسألة إلغاء </w:t>
      </w:r>
      <w:r w:rsidR="0051719E" w:rsidRPr="003112DF">
        <w:rPr>
          <w:rtl/>
          <w:lang w:bidi="ar-LB"/>
        </w:rPr>
        <w:t>إضافة أو طرح الثواني الكبيسة من تعريف التوقيت العالمي المنسق موضع نقاش لأكثر</w:t>
      </w:r>
      <w:r w:rsidR="003112DF">
        <w:rPr>
          <w:rFonts w:hint="eastAsia"/>
          <w:rtl/>
          <w:lang w:bidi="ar-EG"/>
        </w:rPr>
        <w:t> </w:t>
      </w:r>
      <w:r w:rsidR="0051719E" w:rsidRPr="003112DF">
        <w:rPr>
          <w:rtl/>
          <w:lang w:bidi="ar-LB"/>
        </w:rPr>
        <w:t>من 20 سنة، ولكنه لم يتم تنفيذها حتى الآن.</w:t>
      </w:r>
    </w:p>
    <w:p w14:paraId="05E70C59" w14:textId="5B6E0A32" w:rsidR="003112DF" w:rsidRDefault="0051719E" w:rsidP="003223F2">
      <w:r w:rsidRPr="003112DF">
        <w:rPr>
          <w:rtl/>
        </w:rPr>
        <w:t xml:space="preserve">ويقوم قطاع الاتصالات الراديوية والمنظمات الأطراف في "اتفاقية المتر"، </w:t>
      </w:r>
      <w:r w:rsidRPr="003112DF">
        <w:rPr>
          <w:rtl/>
          <w:lang w:bidi="ar-LB"/>
        </w:rPr>
        <w:t>بالتوازي والتعاون فيما بينها،</w:t>
      </w:r>
      <w:r w:rsidRPr="003112DF">
        <w:rPr>
          <w:rtl/>
        </w:rPr>
        <w:t xml:space="preserve"> بدراسة هذه المسألة منذ</w:t>
      </w:r>
      <w:r w:rsidR="003112DF">
        <w:rPr>
          <w:rFonts w:hint="cs"/>
          <w:rtl/>
        </w:rPr>
        <w:t> </w:t>
      </w:r>
      <w:r w:rsidRPr="003112DF">
        <w:rPr>
          <w:rtl/>
        </w:rPr>
        <w:t xml:space="preserve">المؤتمر </w:t>
      </w:r>
      <w:r w:rsidRPr="003112DF">
        <w:rPr>
          <w:lang w:bidi="ar-LB"/>
        </w:rPr>
        <w:t>WRC-15</w:t>
      </w:r>
      <w:r w:rsidRPr="003112DF">
        <w:rPr>
          <w:rtl/>
          <w:lang w:bidi="ar-LB"/>
        </w:rPr>
        <w:t xml:space="preserve">. وتماشياً مع القرار </w:t>
      </w:r>
      <w:r w:rsidRPr="003112DF">
        <w:rPr>
          <w:b/>
          <w:bCs/>
        </w:rPr>
        <w:t>655 (WRC-15)</w:t>
      </w:r>
      <w:r w:rsidRPr="003112DF">
        <w:rPr>
          <w:rtl/>
        </w:rPr>
        <w:t>، تعززت العلاقة بين قطاع الاتصالات الراديوية والمكتب الدولي للأوزان والمقاييس، فوقعا مذكرة تفاهم في عام 2020. بعد ذلك، اعتمد ا</w:t>
      </w:r>
      <w:r w:rsidR="003223F2" w:rsidRPr="003112DF">
        <w:rPr>
          <w:rtl/>
        </w:rPr>
        <w:t xml:space="preserve">لمؤتمر العام للأوزان والمقاييس </w:t>
      </w:r>
      <w:r w:rsidR="003223F2" w:rsidRPr="003112DF">
        <w:t>(CGPM)</w:t>
      </w:r>
      <w:r w:rsidR="003223F2" w:rsidRPr="003112DF">
        <w:rPr>
          <w:rtl/>
          <w:lang w:bidi="ar-LB"/>
        </w:rPr>
        <w:t xml:space="preserve"> في دورته السابعة والعشرين التي عقدت في نوفمبر 2022 القرار 4 بشأن استعمال التوقيت العالمي المنسق وتطوره المستقبلي وقرر</w:t>
      </w:r>
      <w:r w:rsidR="003112DF">
        <w:rPr>
          <w:rFonts w:hint="cs"/>
          <w:rtl/>
          <w:lang w:bidi="ar-LB"/>
        </w:rPr>
        <w:t> </w:t>
      </w:r>
      <w:r w:rsidR="00E406DA" w:rsidRPr="003112DF">
        <w:rPr>
          <w:rtl/>
          <w:lang w:bidi="ar-LB"/>
        </w:rPr>
        <w:t>ز</w:t>
      </w:r>
      <w:r w:rsidR="003223F2" w:rsidRPr="003112DF">
        <w:rPr>
          <w:rtl/>
          <w:lang w:bidi="ar-LB"/>
        </w:rPr>
        <w:t xml:space="preserve">يادة القيمة القصوى للفرق بين التوقيتين </w:t>
      </w:r>
      <w:r w:rsidR="003223F2" w:rsidRPr="003112DF">
        <w:rPr>
          <w:lang w:bidi="ar-LB"/>
        </w:rPr>
        <w:t>UTI</w:t>
      </w:r>
      <w:r w:rsidR="003223F2" w:rsidRPr="003112DF">
        <w:rPr>
          <w:rtl/>
          <w:lang w:bidi="ar-LB"/>
        </w:rPr>
        <w:t xml:space="preserve"> و</w:t>
      </w:r>
      <w:r w:rsidR="003223F2" w:rsidRPr="003112DF">
        <w:rPr>
          <w:lang w:bidi="ar-LB"/>
        </w:rPr>
        <w:t>UTC</w:t>
      </w:r>
      <w:r w:rsidR="003223F2" w:rsidRPr="003112DF">
        <w:rPr>
          <w:rtl/>
          <w:lang w:bidi="ar-LB"/>
        </w:rPr>
        <w:t xml:space="preserve"> لضمان استمرارية التوقيت </w:t>
      </w:r>
      <w:r w:rsidR="003223F2" w:rsidRPr="003112DF">
        <w:rPr>
          <w:lang w:bidi="ar-LB"/>
        </w:rPr>
        <w:t>UTC</w:t>
      </w:r>
      <w:r w:rsidR="003223F2" w:rsidRPr="003112DF">
        <w:rPr>
          <w:rtl/>
          <w:lang w:bidi="ar-LB"/>
        </w:rPr>
        <w:t xml:space="preserve"> لأكثر من 100 عام على الأقل. ويتوقع أن يستكمل الانتقال من </w:t>
      </w:r>
      <w:r w:rsidR="007476F6" w:rsidRPr="003112DF">
        <w:rPr>
          <w:rtl/>
          <w:lang w:bidi="ar-LB"/>
        </w:rPr>
        <w:t>ال</w:t>
      </w:r>
      <w:r w:rsidR="003223F2" w:rsidRPr="003112DF">
        <w:rPr>
          <w:rtl/>
          <w:lang w:bidi="ar-LB"/>
        </w:rPr>
        <w:t xml:space="preserve">نظام </w:t>
      </w:r>
      <w:r w:rsidR="007476F6" w:rsidRPr="003112DF">
        <w:rPr>
          <w:rtl/>
          <w:lang w:bidi="ar-LB"/>
        </w:rPr>
        <w:t>القديم إلى النظام الجديد للتوقيت العالمي</w:t>
      </w:r>
      <w:r w:rsidR="003223F2" w:rsidRPr="003112DF">
        <w:rPr>
          <w:rtl/>
          <w:lang w:bidi="ar-LB"/>
        </w:rPr>
        <w:t xml:space="preserve"> </w:t>
      </w:r>
      <w:r w:rsidR="007476F6" w:rsidRPr="003112DF">
        <w:rPr>
          <w:rtl/>
          <w:lang w:bidi="ar-LB"/>
        </w:rPr>
        <w:t>المنسق بحلول نهاية العام 2035.</w:t>
      </w:r>
    </w:p>
    <w:p w14:paraId="4D8E98B8" w14:textId="162AE02E" w:rsidR="00B24B17" w:rsidRPr="003112DF" w:rsidRDefault="002A0FBE" w:rsidP="005D2F2F">
      <w:pPr>
        <w:pStyle w:val="Headingb"/>
      </w:pPr>
      <w:r w:rsidRPr="003112DF">
        <w:rPr>
          <w:rtl/>
        </w:rPr>
        <w:t>المقترح</w:t>
      </w:r>
    </w:p>
    <w:p w14:paraId="0B118A80" w14:textId="50D9AA7B" w:rsidR="004C67F1" w:rsidRPr="003112DF" w:rsidRDefault="007476F6" w:rsidP="00651B59">
      <w:pPr>
        <w:rPr>
          <w:rtl/>
          <w:lang w:val="en-GB" w:bidi="ar-EG"/>
        </w:rPr>
      </w:pPr>
      <w:r w:rsidRPr="003112DF">
        <w:rPr>
          <w:rtl/>
          <w:lang w:bidi="ar-EG"/>
        </w:rPr>
        <w:t>تؤيد الصين مواصلة دراسات قطاع الاتصالات الراديوية</w:t>
      </w:r>
      <w:r w:rsidR="00E406DA" w:rsidRPr="003112DF">
        <w:rPr>
          <w:rtl/>
          <w:lang w:bidi="ar-EG"/>
        </w:rPr>
        <w:t xml:space="preserve"> ل</w:t>
      </w:r>
      <w:r w:rsidRPr="003112DF">
        <w:rPr>
          <w:rtl/>
          <w:lang w:bidi="ar-EG"/>
        </w:rPr>
        <w:t xml:space="preserve">زيادة التعاون مع المكتب الدولي للأوزان والمقاييس، واللجة الدولية للأوزان والمقاييس </w:t>
      </w:r>
      <w:r w:rsidRPr="003112DF">
        <w:rPr>
          <w:lang w:bidi="ar-EG"/>
        </w:rPr>
        <w:t>(CIPM)</w:t>
      </w:r>
      <w:r w:rsidRPr="003112DF">
        <w:rPr>
          <w:rtl/>
          <w:lang w:bidi="ar-EG"/>
        </w:rPr>
        <w:t xml:space="preserve">، </w:t>
      </w:r>
      <w:r w:rsidRPr="003112DF">
        <w:rPr>
          <w:rtl/>
          <w:lang w:bidi="ar-LB"/>
        </w:rPr>
        <w:t xml:space="preserve">والمؤتمر العام للأوزان والمقاييس </w:t>
      </w:r>
      <w:r w:rsidRPr="003112DF">
        <w:rPr>
          <w:lang w:bidi="ar-LB"/>
        </w:rPr>
        <w:t>(CGPM)</w:t>
      </w:r>
      <w:r w:rsidRPr="003112DF">
        <w:rPr>
          <w:rtl/>
          <w:lang w:bidi="ar-LB"/>
        </w:rPr>
        <w:t xml:space="preserve"> بشأن مستقبل التوقيت العالمي المنسق. في الوقت نفسه، ينبغي تخصيص وقت</w:t>
      </w:r>
      <w:r w:rsidRPr="003112DF">
        <w:rPr>
          <w:lang w:bidi="ar-LB"/>
        </w:rPr>
        <w:t xml:space="preserve"> </w:t>
      </w:r>
      <w:r w:rsidRPr="003112DF">
        <w:rPr>
          <w:rtl/>
          <w:lang w:bidi="ar-LB"/>
        </w:rPr>
        <w:t>احتياطي كافٍ (أي حتى عام 2035)</w:t>
      </w:r>
      <w:r w:rsidRPr="003112DF">
        <w:rPr>
          <w:lang w:bidi="ar-LB"/>
        </w:rPr>
        <w:t xml:space="preserve"> </w:t>
      </w:r>
      <w:r w:rsidRPr="003112DF">
        <w:rPr>
          <w:rtl/>
          <w:lang w:bidi="ar-LB"/>
        </w:rPr>
        <w:t>لضمان انتقال سلس من النظام القديم إلى النظام الجديد للتوقيت العالمي المنسق.</w:t>
      </w:r>
      <w:r w:rsidR="004C67F1" w:rsidRPr="003112DF">
        <w:rPr>
          <w:rtl/>
          <w:lang w:val="en-GB" w:bidi="ar-EG"/>
        </w:rPr>
        <w:br w:type="page"/>
      </w:r>
    </w:p>
    <w:p w14:paraId="262CD745" w14:textId="77777777" w:rsidR="000F055C" w:rsidRPr="003112DF" w:rsidRDefault="00D74046">
      <w:pPr>
        <w:pStyle w:val="Proposal"/>
      </w:pPr>
      <w:r w:rsidRPr="003112DF">
        <w:lastRenderedPageBreak/>
        <w:tab/>
        <w:t>CHN/111A24A6/1</w:t>
      </w:r>
    </w:p>
    <w:p w14:paraId="74C28C38" w14:textId="0111A05B" w:rsidR="003112DF" w:rsidRDefault="00E406DA" w:rsidP="00D74046">
      <w:pPr>
        <w:rPr>
          <w:rtl/>
        </w:rPr>
      </w:pPr>
      <w:r w:rsidRPr="003112DF">
        <w:rPr>
          <w:rtl/>
        </w:rPr>
        <w:t xml:space="preserve">تؤيد الصين </w:t>
      </w:r>
      <w:r w:rsidRPr="003112DF">
        <w:rPr>
          <w:rtl/>
          <w:lang w:bidi="ar-EG"/>
        </w:rPr>
        <w:t>مواصلة دراسات قطاع الاتصالات الراديوية لزيادة التعاون مع المكتب الدولي للأوزان والمقاييس</w:t>
      </w:r>
      <w:r w:rsidR="00651B59">
        <w:rPr>
          <w:rFonts w:hint="cs"/>
          <w:rtl/>
          <w:lang w:bidi="ar-EG"/>
        </w:rPr>
        <w:t xml:space="preserve"> </w:t>
      </w:r>
      <w:r w:rsidR="00651B59">
        <w:rPr>
          <w:lang w:bidi="ar-EG"/>
        </w:rPr>
        <w:t>(BIPM)</w:t>
      </w:r>
      <w:r w:rsidRPr="003112DF">
        <w:rPr>
          <w:rtl/>
          <w:lang w:bidi="ar-EG"/>
        </w:rPr>
        <w:t>، واللج</w:t>
      </w:r>
      <w:r w:rsidR="001D7397">
        <w:rPr>
          <w:rFonts w:hint="cs"/>
          <w:rtl/>
          <w:lang w:bidi="ar-EG"/>
        </w:rPr>
        <w:t>ن</w:t>
      </w:r>
      <w:r w:rsidRPr="003112DF">
        <w:rPr>
          <w:rtl/>
          <w:lang w:bidi="ar-EG"/>
        </w:rPr>
        <w:t xml:space="preserve">ة الدولية للأوزان والمقاييس </w:t>
      </w:r>
      <w:r w:rsidRPr="003112DF">
        <w:rPr>
          <w:lang w:bidi="ar-EG"/>
        </w:rPr>
        <w:t>(CIPM)</w:t>
      </w:r>
      <w:r w:rsidRPr="003112DF">
        <w:rPr>
          <w:rtl/>
          <w:lang w:bidi="ar-EG"/>
        </w:rPr>
        <w:t xml:space="preserve">، </w:t>
      </w:r>
      <w:r w:rsidRPr="003112DF">
        <w:rPr>
          <w:rtl/>
          <w:lang w:bidi="ar-LB"/>
        </w:rPr>
        <w:t xml:space="preserve">والمؤتمر العام للأوزان والمقاييس </w:t>
      </w:r>
      <w:r w:rsidRPr="003112DF">
        <w:rPr>
          <w:lang w:bidi="ar-LB"/>
        </w:rPr>
        <w:t>(CGPM)</w:t>
      </w:r>
      <w:r w:rsidRPr="003112DF">
        <w:rPr>
          <w:rtl/>
          <w:lang w:bidi="ar-LB"/>
        </w:rPr>
        <w:t xml:space="preserve"> بشأن مستقبل التوقيت العالمي المنسق. في</w:t>
      </w:r>
      <w:r w:rsidR="008F68D8">
        <w:rPr>
          <w:rFonts w:hint="cs"/>
          <w:rtl/>
          <w:lang w:bidi="ar-LB"/>
        </w:rPr>
        <w:t> </w:t>
      </w:r>
      <w:r w:rsidRPr="003112DF">
        <w:rPr>
          <w:rtl/>
          <w:lang w:bidi="ar-LB"/>
        </w:rPr>
        <w:t>الوقت نفسه، ينبغي تخصيص وقت</w:t>
      </w:r>
      <w:r w:rsidRPr="003112DF">
        <w:rPr>
          <w:lang w:bidi="ar-LB"/>
        </w:rPr>
        <w:t xml:space="preserve"> </w:t>
      </w:r>
      <w:r w:rsidRPr="003112DF">
        <w:rPr>
          <w:rtl/>
          <w:lang w:bidi="ar-LB"/>
        </w:rPr>
        <w:t>احتياطي كافٍ (أي حتى عام 2035)</w:t>
      </w:r>
      <w:r w:rsidRPr="003112DF">
        <w:rPr>
          <w:lang w:bidi="ar-LB"/>
        </w:rPr>
        <w:t xml:space="preserve"> </w:t>
      </w:r>
      <w:r w:rsidRPr="003112DF">
        <w:rPr>
          <w:rtl/>
          <w:lang w:bidi="ar-LB"/>
        </w:rPr>
        <w:t>لضمان انتقال سلس من النظام القديم إلى النظام الجديد للتوقيت العالمي المنسق.</w:t>
      </w:r>
    </w:p>
    <w:p w14:paraId="5E7DED54" w14:textId="18F4FB42" w:rsidR="003112DF" w:rsidRDefault="00D74046" w:rsidP="003D780D">
      <w:pPr>
        <w:pStyle w:val="Reasons"/>
        <w:rPr>
          <w:b w:val="0"/>
          <w:bCs w:val="0"/>
          <w:rtl/>
          <w:lang w:bidi="ar-LB"/>
        </w:rPr>
      </w:pPr>
      <w:r w:rsidRPr="003112DF">
        <w:rPr>
          <w:rtl/>
        </w:rPr>
        <w:t>الأسباب:</w:t>
      </w:r>
      <w:r w:rsidRPr="003112DF">
        <w:tab/>
      </w:r>
      <w:r w:rsidR="00E406DA" w:rsidRPr="003112DF">
        <w:rPr>
          <w:b w:val="0"/>
          <w:bCs w:val="0"/>
          <w:rtl/>
        </w:rPr>
        <w:t xml:space="preserve">وقع المكتب الدولي للأوزان والمقاييس وقطاع الاتصالات الراديوية مذكرة تفاهم </w:t>
      </w:r>
      <w:r w:rsidR="00E406DA" w:rsidRPr="00273E38">
        <w:rPr>
          <w:b w:val="0"/>
          <w:bCs w:val="0"/>
          <w:rtl/>
        </w:rPr>
        <w:t>واعتمد المؤتمر العام للأوزان والمقاييس</w:t>
      </w:r>
      <w:r w:rsidR="00E406DA" w:rsidRPr="003112DF">
        <w:rPr>
          <w:b w:val="0"/>
          <w:bCs w:val="0"/>
          <w:rtl/>
        </w:rPr>
        <w:t xml:space="preserve"> </w:t>
      </w:r>
      <w:r w:rsidR="00E406DA" w:rsidRPr="003112DF">
        <w:rPr>
          <w:b w:val="0"/>
          <w:bCs w:val="0"/>
        </w:rPr>
        <w:t>(CGPM)</w:t>
      </w:r>
      <w:r w:rsidR="00E406DA" w:rsidRPr="003112DF">
        <w:rPr>
          <w:b w:val="0"/>
          <w:bCs w:val="0"/>
          <w:rtl/>
          <w:lang w:bidi="ar-LB"/>
        </w:rPr>
        <w:t xml:space="preserve"> القرار 4 بشأن إضافة قيمة التفاوت بين التوقيتين </w:t>
      </w:r>
      <w:r w:rsidR="00E406DA" w:rsidRPr="003112DF">
        <w:rPr>
          <w:b w:val="0"/>
          <w:bCs w:val="0"/>
          <w:lang w:bidi="ar-LB"/>
        </w:rPr>
        <w:t>UTI</w:t>
      </w:r>
      <w:r w:rsidR="00E406DA" w:rsidRPr="003112DF">
        <w:rPr>
          <w:b w:val="0"/>
          <w:bCs w:val="0"/>
          <w:rtl/>
          <w:lang w:bidi="ar-LB"/>
        </w:rPr>
        <w:t xml:space="preserve"> و</w:t>
      </w:r>
      <w:r w:rsidR="00E406DA" w:rsidRPr="003112DF">
        <w:rPr>
          <w:b w:val="0"/>
          <w:bCs w:val="0"/>
          <w:lang w:bidi="ar-LB"/>
        </w:rPr>
        <w:t>UTC</w:t>
      </w:r>
      <w:r w:rsidR="00E406DA" w:rsidRPr="003112DF">
        <w:rPr>
          <w:b w:val="0"/>
          <w:bCs w:val="0"/>
          <w:rtl/>
          <w:lang w:bidi="ar-LB"/>
        </w:rPr>
        <w:t>. وبالنظر إلى الوضع القائم، من الضروري متابعة المستجدات وتأييد تخصيص وقت</w:t>
      </w:r>
      <w:r w:rsidR="00740642">
        <w:rPr>
          <w:b w:val="0"/>
          <w:bCs w:val="0"/>
          <w:lang w:bidi="ar-LB"/>
        </w:rPr>
        <w:t xml:space="preserve"> </w:t>
      </w:r>
      <w:r w:rsidR="00E406DA" w:rsidRPr="003112DF">
        <w:rPr>
          <w:b w:val="0"/>
          <w:bCs w:val="0"/>
          <w:rtl/>
          <w:lang w:bidi="ar-LB"/>
        </w:rPr>
        <w:t>احتياطي كافٍ (أي حتى عام 2035)</w:t>
      </w:r>
      <w:r w:rsidR="00E406DA" w:rsidRPr="003112DF">
        <w:rPr>
          <w:b w:val="0"/>
          <w:bCs w:val="0"/>
          <w:lang w:bidi="ar-LB"/>
        </w:rPr>
        <w:t xml:space="preserve"> </w:t>
      </w:r>
      <w:r w:rsidR="00E406DA" w:rsidRPr="003112DF">
        <w:rPr>
          <w:b w:val="0"/>
          <w:bCs w:val="0"/>
          <w:rtl/>
          <w:lang w:bidi="ar-LB"/>
        </w:rPr>
        <w:t>لضمان انتقال سلس من النظام القديم إلى</w:t>
      </w:r>
      <w:r w:rsidR="003D780D">
        <w:rPr>
          <w:b w:val="0"/>
          <w:bCs w:val="0"/>
          <w:lang w:bidi="ar-LB"/>
        </w:rPr>
        <w:t> </w:t>
      </w:r>
      <w:r w:rsidR="00E406DA" w:rsidRPr="003112DF">
        <w:rPr>
          <w:b w:val="0"/>
          <w:bCs w:val="0"/>
          <w:rtl/>
          <w:lang w:bidi="ar-LB"/>
        </w:rPr>
        <w:t>النظام الجديد للتوقيت العالمي المنسق.</w:t>
      </w:r>
    </w:p>
    <w:p w14:paraId="21C271CA" w14:textId="1E75E1CF" w:rsidR="000D0DB9" w:rsidRPr="003112DF" w:rsidRDefault="003D780D" w:rsidP="003D780D">
      <w:pPr>
        <w:spacing w:before="600" w:line="240" w:lineRule="auto"/>
        <w:jc w:val="center"/>
        <w:rPr>
          <w:rtl/>
        </w:rPr>
      </w:pPr>
      <w:r w:rsidRPr="00FE0082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0D0DB9" w:rsidRPr="003112DF" w:rsidSect="004C67F1">
      <w:headerReference w:type="even" r:id="rId15"/>
      <w:footerReference w:type="even" r:id="rId16"/>
      <w:footerReference w:type="first" r:id="rId17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7CFA" w14:textId="77777777" w:rsidR="001A6F04" w:rsidRDefault="001A6F04" w:rsidP="002919E1">
      <w:r>
        <w:separator/>
      </w:r>
    </w:p>
    <w:p w14:paraId="3CBA4056" w14:textId="77777777" w:rsidR="001A6F04" w:rsidRDefault="001A6F04" w:rsidP="002919E1"/>
    <w:p w14:paraId="504301F3" w14:textId="77777777" w:rsidR="001A6F04" w:rsidRDefault="001A6F04" w:rsidP="002919E1"/>
    <w:p w14:paraId="35AEB7E5" w14:textId="77777777" w:rsidR="001A6F04" w:rsidRDefault="001A6F04"/>
    <w:p w14:paraId="0AD1A642" w14:textId="77777777" w:rsidR="001A6F04" w:rsidRDefault="001A6F04"/>
  </w:endnote>
  <w:endnote w:type="continuationSeparator" w:id="0">
    <w:p w14:paraId="6ECF0ED3" w14:textId="77777777" w:rsidR="001A6F04" w:rsidRDefault="001A6F04" w:rsidP="002919E1">
      <w:r>
        <w:continuationSeparator/>
      </w:r>
    </w:p>
    <w:p w14:paraId="1878AA5E" w14:textId="77777777" w:rsidR="001A6F04" w:rsidRDefault="001A6F04" w:rsidP="002919E1"/>
    <w:p w14:paraId="682C9969" w14:textId="77777777" w:rsidR="001A6F04" w:rsidRDefault="001A6F04" w:rsidP="002919E1"/>
    <w:p w14:paraId="12063301" w14:textId="77777777" w:rsidR="001A6F04" w:rsidRDefault="001A6F04"/>
    <w:p w14:paraId="12DF6962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4B63" w14:textId="0B3D26F5" w:rsidR="00D63A6F" w:rsidRPr="00D63A6F" w:rsidRDefault="00D63A6F" w:rsidP="0002410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112DF">
      <w:rPr>
        <w:noProof/>
        <w:sz w:val="16"/>
        <w:szCs w:val="16"/>
        <w:lang w:val="fr-FR"/>
      </w:rPr>
      <w:t>P:\ARA\ITU-R\CONF-R\CMR23\100\111ADD24ADD06A.docx</w:t>
    </w:r>
    <w:r w:rsidRPr="0026373E">
      <w:rPr>
        <w:sz w:val="16"/>
        <w:szCs w:val="16"/>
      </w:rPr>
      <w:fldChar w:fldCharType="end"/>
    </w:r>
    <w:r w:rsidR="003112DF">
      <w:rPr>
        <w:sz w:val="16"/>
        <w:szCs w:val="16"/>
      </w:rPr>
      <w:t xml:space="preserve"> </w:t>
    </w:r>
    <w:r w:rsidRPr="0026373E">
      <w:rPr>
        <w:sz w:val="16"/>
        <w:szCs w:val="16"/>
        <w:lang w:val="fr-FR"/>
      </w:rPr>
      <w:t xml:space="preserve"> (</w:t>
    </w:r>
    <w:r w:rsidR="0002410B" w:rsidRPr="0002410B">
      <w:rPr>
        <w:sz w:val="16"/>
        <w:szCs w:val="16"/>
      </w:rPr>
      <w:t>530281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86FC" w14:textId="5E5CE5E8" w:rsidR="0002410B" w:rsidRPr="00D63A6F" w:rsidRDefault="0002410B" w:rsidP="0002410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112DF">
      <w:rPr>
        <w:noProof/>
        <w:sz w:val="16"/>
        <w:szCs w:val="16"/>
        <w:lang w:val="fr-FR"/>
      </w:rPr>
      <w:t>P:\ARA\ITU-R\CONF-R\CMR23\100\111ADD24ADD06A.docx</w:t>
    </w:r>
    <w:r w:rsidRPr="0026373E">
      <w:rPr>
        <w:sz w:val="16"/>
        <w:szCs w:val="16"/>
      </w:rPr>
      <w:fldChar w:fldCharType="end"/>
    </w:r>
    <w:r w:rsidR="003112DF">
      <w:rPr>
        <w:sz w:val="16"/>
        <w:szCs w:val="16"/>
      </w:rPr>
      <w:t xml:space="preserve"> </w:t>
    </w:r>
    <w:r w:rsidRPr="0026373E">
      <w:rPr>
        <w:sz w:val="16"/>
        <w:szCs w:val="16"/>
        <w:lang w:val="fr-FR"/>
      </w:rPr>
      <w:t xml:space="preserve"> (</w:t>
    </w:r>
    <w:r w:rsidRPr="0002410B">
      <w:rPr>
        <w:sz w:val="16"/>
        <w:szCs w:val="16"/>
      </w:rPr>
      <w:t>530281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F721" w14:textId="77777777" w:rsidR="001A6F04" w:rsidRDefault="001A6F04" w:rsidP="00C45930">
      <w:r>
        <w:separator/>
      </w:r>
    </w:p>
  </w:footnote>
  <w:footnote w:type="continuationSeparator" w:id="0">
    <w:p w14:paraId="0E1DAA40" w14:textId="77777777" w:rsidR="001A6F04" w:rsidRDefault="001A6F04" w:rsidP="002919E1">
      <w:r>
        <w:continuationSeparator/>
      </w:r>
    </w:p>
    <w:p w14:paraId="23192408" w14:textId="77777777" w:rsidR="001A6F04" w:rsidRDefault="001A6F04" w:rsidP="002919E1"/>
    <w:p w14:paraId="16880506" w14:textId="77777777" w:rsidR="001A6F04" w:rsidRDefault="001A6F04" w:rsidP="002919E1"/>
    <w:p w14:paraId="7B3580E8" w14:textId="77777777" w:rsidR="001A6F04" w:rsidRDefault="001A6F04"/>
    <w:p w14:paraId="4E9F3A4B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CEEB" w14:textId="6A0F9CC7" w:rsidR="00D63A6F" w:rsidRPr="005E5F16" w:rsidRDefault="005E5F16" w:rsidP="00C34096">
    <w:pPr>
      <w:bidi w:val="0"/>
      <w:spacing w:after="360" w:line="240" w:lineRule="auto"/>
      <w:jc w:val="center"/>
    </w:pPr>
    <w:r w:rsidRPr="00C34096">
      <w:rPr>
        <w:rStyle w:val="PageNumber"/>
        <w:rFonts w:ascii="Dubai" w:hAnsi="Dubai" w:cs="Dubai"/>
      </w:rPr>
      <w:fldChar w:fldCharType="begin"/>
    </w:r>
    <w:r w:rsidRPr="00C34096">
      <w:rPr>
        <w:rStyle w:val="PageNumber"/>
        <w:rFonts w:ascii="Dubai" w:hAnsi="Dubai" w:cs="Dubai"/>
      </w:rPr>
      <w:instrText xml:space="preserve"> PAGE </w:instrText>
    </w:r>
    <w:r w:rsidRPr="00C34096">
      <w:rPr>
        <w:rStyle w:val="PageNumber"/>
        <w:rFonts w:ascii="Dubai" w:hAnsi="Dubai" w:cs="Dubai"/>
      </w:rPr>
      <w:fldChar w:fldCharType="separate"/>
    </w:r>
    <w:r w:rsidRPr="00C34096">
      <w:rPr>
        <w:rStyle w:val="PageNumber"/>
        <w:rFonts w:ascii="Dubai" w:hAnsi="Dubai" w:cs="Dubai"/>
      </w:rPr>
      <w:t>2</w:t>
    </w:r>
    <w:r w:rsidRPr="00C34096">
      <w:rPr>
        <w:rStyle w:val="PageNumber"/>
        <w:rFonts w:ascii="Dubai" w:hAnsi="Dubai" w:cs="Dubai"/>
      </w:rPr>
      <w:fldChar w:fldCharType="end"/>
    </w:r>
    <w:r w:rsidRPr="00C34096">
      <w:rPr>
        <w:rStyle w:val="PageNumber"/>
        <w:rFonts w:ascii="Dubai" w:hAnsi="Dubai" w:cs="Dubai"/>
        <w:rtl/>
      </w:rPr>
      <w:br/>
    </w:r>
    <w:r w:rsidR="004F5F29" w:rsidRPr="00C34096">
      <w:rPr>
        <w:rStyle w:val="PageNumber"/>
        <w:rFonts w:ascii="Dubai" w:hAnsi="Dubai" w:cs="Dubai"/>
      </w:rPr>
      <w:t>WRC</w:t>
    </w:r>
    <w:r w:rsidRPr="00C34096">
      <w:rPr>
        <w:rStyle w:val="PageNumber"/>
        <w:rFonts w:ascii="Dubai" w:hAnsi="Dubai" w:cs="Dubai"/>
      </w:rPr>
      <w:t>23/111(Add.24)(Add.6)-A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BA8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FAD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A59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5C3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28762259">
    <w:abstractNumId w:val="9"/>
  </w:num>
  <w:num w:numId="2" w16cid:durableId="409544375">
    <w:abstractNumId w:val="13"/>
  </w:num>
  <w:num w:numId="3" w16cid:durableId="350885132">
    <w:abstractNumId w:val="11"/>
  </w:num>
  <w:num w:numId="4" w16cid:durableId="1962496938">
    <w:abstractNumId w:val="14"/>
  </w:num>
  <w:num w:numId="5" w16cid:durableId="1711564645">
    <w:abstractNumId w:val="7"/>
  </w:num>
  <w:num w:numId="6" w16cid:durableId="823929321">
    <w:abstractNumId w:val="6"/>
  </w:num>
  <w:num w:numId="7" w16cid:durableId="660813461">
    <w:abstractNumId w:val="5"/>
  </w:num>
  <w:num w:numId="8" w16cid:durableId="97410015">
    <w:abstractNumId w:val="4"/>
  </w:num>
  <w:num w:numId="9" w16cid:durableId="1735660012">
    <w:abstractNumId w:val="8"/>
  </w:num>
  <w:num w:numId="10" w16cid:durableId="686252852">
    <w:abstractNumId w:val="3"/>
  </w:num>
  <w:num w:numId="11" w16cid:durableId="2098407068">
    <w:abstractNumId w:val="2"/>
  </w:num>
  <w:num w:numId="12" w16cid:durableId="899485708">
    <w:abstractNumId w:val="1"/>
  </w:num>
  <w:num w:numId="13" w16cid:durableId="1928806760">
    <w:abstractNumId w:val="0"/>
  </w:num>
  <w:num w:numId="14" w16cid:durableId="556017533">
    <w:abstractNumId w:val="10"/>
  </w:num>
  <w:num w:numId="15" w16cid:durableId="1252931451">
    <w:abstractNumId w:val="15"/>
  </w:num>
  <w:num w:numId="16" w16cid:durableId="920985310">
    <w:abstractNumId w:val="12"/>
  </w:num>
  <w:num w:numId="17" w16cid:durableId="677276235">
    <w:abstractNumId w:val="6"/>
  </w:num>
  <w:num w:numId="18" w16cid:durableId="958337709">
    <w:abstractNumId w:val="5"/>
  </w:num>
  <w:num w:numId="19" w16cid:durableId="1601523282">
    <w:abstractNumId w:val="3"/>
  </w:num>
  <w:num w:numId="20" w16cid:durableId="1921211670">
    <w:abstractNumId w:val="2"/>
  </w:num>
  <w:num w:numId="21" w16cid:durableId="711543768">
    <w:abstractNumId w:val="6"/>
  </w:num>
  <w:num w:numId="22" w16cid:durableId="1536650709">
    <w:abstractNumId w:val="5"/>
  </w:num>
  <w:num w:numId="23" w16cid:durableId="1638955318">
    <w:abstractNumId w:val="3"/>
  </w:num>
  <w:num w:numId="24" w16cid:durableId="1759331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2410B"/>
    <w:rsid w:val="00034B65"/>
    <w:rsid w:val="00037AB5"/>
    <w:rsid w:val="00040C94"/>
    <w:rsid w:val="000425FC"/>
    <w:rsid w:val="00044450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3BF9"/>
    <w:rsid w:val="000B5404"/>
    <w:rsid w:val="000B5B15"/>
    <w:rsid w:val="000C2EA0"/>
    <w:rsid w:val="000C4669"/>
    <w:rsid w:val="000C6716"/>
    <w:rsid w:val="000D06EB"/>
    <w:rsid w:val="000D0DB9"/>
    <w:rsid w:val="000D1708"/>
    <w:rsid w:val="000D1EE4"/>
    <w:rsid w:val="000D6E0C"/>
    <w:rsid w:val="000E2AFC"/>
    <w:rsid w:val="000E4B40"/>
    <w:rsid w:val="000E6D30"/>
    <w:rsid w:val="000F055C"/>
    <w:rsid w:val="000F05F5"/>
    <w:rsid w:val="000F217C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50"/>
    <w:rsid w:val="001B0F78"/>
    <w:rsid w:val="001B217C"/>
    <w:rsid w:val="001B5953"/>
    <w:rsid w:val="001B76DD"/>
    <w:rsid w:val="001C4118"/>
    <w:rsid w:val="001C69FA"/>
    <w:rsid w:val="001D4F6F"/>
    <w:rsid w:val="001D7397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3E38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0FBE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2DF"/>
    <w:rsid w:val="00311E3F"/>
    <w:rsid w:val="00314B1E"/>
    <w:rsid w:val="003223F2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0195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D780D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1719E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2F2F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B59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0642"/>
    <w:rsid w:val="00741855"/>
    <w:rsid w:val="00742B73"/>
    <w:rsid w:val="007476F6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57FF8"/>
    <w:rsid w:val="008614B8"/>
    <w:rsid w:val="00862C7E"/>
    <w:rsid w:val="008657CB"/>
    <w:rsid w:val="008672FD"/>
    <w:rsid w:val="00873A6F"/>
    <w:rsid w:val="00877988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8D8"/>
    <w:rsid w:val="008F6F58"/>
    <w:rsid w:val="009004DF"/>
    <w:rsid w:val="0090079C"/>
    <w:rsid w:val="00903820"/>
    <w:rsid w:val="00904AA5"/>
    <w:rsid w:val="00906BA8"/>
    <w:rsid w:val="00907ECF"/>
    <w:rsid w:val="00920BC7"/>
    <w:rsid w:val="00921CBB"/>
    <w:rsid w:val="00932571"/>
    <w:rsid w:val="009344B2"/>
    <w:rsid w:val="0094097F"/>
    <w:rsid w:val="00942BC9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5B5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096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74046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06DA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87B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197D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0D26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BD2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141399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263D53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8588aae-4434-4f56-b991-07331ee76e9f" targetNamespace="http://schemas.microsoft.com/office/2006/metadata/properties" ma:root="true" ma:fieldsID="d41af5c836d734370eb92e7ee5f83852" ns2:_="" ns3:_="">
    <xsd:import namespace="996b2e75-67fd-4955-a3b0-5ab9934cb50b"/>
    <xsd:import namespace="38588aae-4434-4f56-b991-07331ee76e9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8aae-4434-4f56-b991-07331ee76e9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8588aae-4434-4f56-b991-07331ee76e9f">DPM</DPM_x0020_Author>
    <DPM_x0020_File_x0020_name xmlns="38588aae-4434-4f56-b991-07331ee76e9f">R23-WRC23-C-0111!A24-A6!MSW-A</DPM_x0020_File_x0020_name>
    <DPM_x0020_Version xmlns="38588aae-4434-4f56-b991-07331ee76e9f">DPM_2022.05.12.01</DPM_x0020_Version>
  </documentManagement>
</p:properties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8588aae-4434-4f56-b991-07331ee76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38588aae-4434-4f56-b991-07331ee76e9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391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R23-WRC23-C-0111!A24-A6!MSW-A</vt:lpstr>
    </vt:vector>
  </TitlesOfParts>
  <Manager>General Secretariat - Pool</Manager>
  <Company>International Telecommunication Union (ITU)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R23-WRC23-C-0111!A24-A6!MSW-A</dc:title>
  <dc:creator>Documents Proposals Manager (DPM)</dc:creator>
  <cp:keywords>DPM_v2023.8.1.1_prod</cp:keywords>
  <cp:lastModifiedBy>Arabic_HD</cp:lastModifiedBy>
  <cp:revision>13</cp:revision>
  <cp:lastPrinted>2020-08-11T14:28:00Z</cp:lastPrinted>
  <dcterms:created xsi:type="dcterms:W3CDTF">2023-11-17T10:56:00Z</dcterms:created>
  <dcterms:modified xsi:type="dcterms:W3CDTF">2023-11-17T22:48:00Z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