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354BBF" w14:paraId="749AE101" w14:textId="77777777" w:rsidTr="00752552">
        <w:trPr>
          <w:cantSplit/>
          <w:trHeight w:val="20"/>
        </w:trPr>
        <w:tc>
          <w:tcPr>
            <w:tcW w:w="1589" w:type="dxa"/>
            <w:vAlign w:val="center"/>
          </w:tcPr>
          <w:p w14:paraId="70678A7F" w14:textId="77777777" w:rsidR="00752552" w:rsidRPr="00354BBF" w:rsidRDefault="00752552" w:rsidP="00752552">
            <w:pPr>
              <w:spacing w:before="0"/>
              <w:jc w:val="left"/>
              <w:rPr>
                <w:b/>
                <w:bCs/>
                <w:rtl/>
                <w:lang w:bidi="ar-EG"/>
              </w:rPr>
            </w:pPr>
            <w:r w:rsidRPr="00354BBF">
              <w:rPr>
                <w:noProof/>
              </w:rPr>
              <w:drawing>
                <wp:inline distT="0" distB="0" distL="0" distR="0" wp14:anchorId="533E271C" wp14:editId="126F3B3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F39302F" w14:textId="77777777" w:rsidR="00752552" w:rsidRPr="00354BBF" w:rsidRDefault="00752552" w:rsidP="00752552">
            <w:pPr>
              <w:pStyle w:val="LOGO"/>
              <w:framePr w:hSpace="0" w:wrap="auto" w:xAlign="left" w:yAlign="inline"/>
              <w:rPr>
                <w:rtl/>
              </w:rPr>
            </w:pPr>
            <w:r w:rsidRPr="00354BBF">
              <w:rPr>
                <w:rtl/>
              </w:rPr>
              <w:t xml:space="preserve">المؤتمر العالمي للاتصالات الراديوية </w:t>
            </w:r>
            <w:r w:rsidRPr="00354BBF">
              <w:t>(WRC-23)</w:t>
            </w:r>
          </w:p>
          <w:p w14:paraId="5FFA5343" w14:textId="77777777" w:rsidR="00752552" w:rsidRPr="00354BBF" w:rsidRDefault="00752552" w:rsidP="00752552">
            <w:pPr>
              <w:rPr>
                <w:b/>
                <w:bCs/>
                <w:rtl/>
                <w:lang w:bidi="ar-EG"/>
              </w:rPr>
            </w:pPr>
            <w:r w:rsidRPr="00354BBF">
              <w:rPr>
                <w:b/>
                <w:bCs/>
                <w:sz w:val="26"/>
                <w:szCs w:val="26"/>
                <w:rtl/>
              </w:rPr>
              <w:t xml:space="preserve">دبي، </w:t>
            </w:r>
            <w:r w:rsidRPr="00354BBF">
              <w:rPr>
                <w:b/>
                <w:bCs/>
                <w:sz w:val="26"/>
                <w:szCs w:val="26"/>
                <w:lang w:bidi="ar-EG"/>
              </w:rPr>
              <w:t>20</w:t>
            </w:r>
            <w:r w:rsidRPr="00354BBF">
              <w:rPr>
                <w:b/>
                <w:bCs/>
                <w:sz w:val="26"/>
                <w:szCs w:val="26"/>
                <w:rtl/>
                <w:lang w:bidi="ar-EG"/>
              </w:rPr>
              <w:t xml:space="preserve"> نوفمبر – </w:t>
            </w:r>
            <w:r w:rsidRPr="00354BBF">
              <w:rPr>
                <w:b/>
                <w:bCs/>
                <w:sz w:val="26"/>
                <w:szCs w:val="26"/>
                <w:lang w:bidi="ar-EG"/>
              </w:rPr>
              <w:t>15</w:t>
            </w:r>
            <w:r w:rsidRPr="00354BBF">
              <w:rPr>
                <w:b/>
                <w:bCs/>
                <w:sz w:val="26"/>
                <w:szCs w:val="26"/>
                <w:rtl/>
                <w:lang w:bidi="ar-EG"/>
              </w:rPr>
              <w:t xml:space="preserve"> ديسمبر </w:t>
            </w:r>
            <w:r w:rsidRPr="00354BBF">
              <w:rPr>
                <w:b/>
                <w:bCs/>
                <w:sz w:val="26"/>
                <w:szCs w:val="26"/>
                <w:lang w:bidi="ar-EG"/>
              </w:rPr>
              <w:t>2023</w:t>
            </w:r>
          </w:p>
        </w:tc>
        <w:tc>
          <w:tcPr>
            <w:tcW w:w="1982" w:type="dxa"/>
            <w:vAlign w:val="center"/>
          </w:tcPr>
          <w:p w14:paraId="21592987" w14:textId="77777777" w:rsidR="00752552" w:rsidRPr="00354BBF" w:rsidRDefault="00752552" w:rsidP="00752552">
            <w:pPr>
              <w:jc w:val="right"/>
              <w:rPr>
                <w:rtl/>
                <w:lang w:bidi="ar-EG"/>
              </w:rPr>
            </w:pPr>
            <w:bookmarkStart w:id="0" w:name="ditulogo"/>
            <w:bookmarkEnd w:id="0"/>
            <w:r w:rsidRPr="00354BBF">
              <w:rPr>
                <w:noProof/>
              </w:rPr>
              <w:drawing>
                <wp:inline distT="0" distB="0" distL="0" distR="0" wp14:anchorId="503F3885" wp14:editId="24681F1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354BBF" w14:paraId="76C06982" w14:textId="77777777" w:rsidTr="00752552">
        <w:trPr>
          <w:cantSplit/>
          <w:trHeight w:val="20"/>
        </w:trPr>
        <w:tc>
          <w:tcPr>
            <w:tcW w:w="6696" w:type="dxa"/>
            <w:gridSpan w:val="2"/>
            <w:tcBorders>
              <w:bottom w:val="single" w:sz="12" w:space="0" w:color="auto"/>
            </w:tcBorders>
          </w:tcPr>
          <w:p w14:paraId="74B6CFB5" w14:textId="77777777" w:rsidR="000D1EE4" w:rsidRPr="00354BBF" w:rsidRDefault="000D1EE4" w:rsidP="000D1EE4">
            <w:pPr>
              <w:rPr>
                <w:rtl/>
                <w:lang w:bidi="ar-EG"/>
              </w:rPr>
            </w:pPr>
          </w:p>
        </w:tc>
        <w:tc>
          <w:tcPr>
            <w:tcW w:w="2970" w:type="dxa"/>
            <w:gridSpan w:val="2"/>
            <w:tcBorders>
              <w:bottom w:val="single" w:sz="12" w:space="0" w:color="auto"/>
            </w:tcBorders>
          </w:tcPr>
          <w:p w14:paraId="244B45C5" w14:textId="77777777" w:rsidR="000D1EE4" w:rsidRPr="00354BBF" w:rsidRDefault="000D1EE4" w:rsidP="000D1EE4">
            <w:pPr>
              <w:rPr>
                <w:lang w:val="en-GB" w:bidi="ar-EG"/>
              </w:rPr>
            </w:pPr>
          </w:p>
        </w:tc>
      </w:tr>
      <w:tr w:rsidR="000D1EE4" w:rsidRPr="00354BBF" w14:paraId="56119AB8" w14:textId="77777777" w:rsidTr="00752552">
        <w:trPr>
          <w:cantSplit/>
          <w:trHeight w:val="20"/>
        </w:trPr>
        <w:tc>
          <w:tcPr>
            <w:tcW w:w="6696" w:type="dxa"/>
            <w:gridSpan w:val="2"/>
            <w:tcBorders>
              <w:top w:val="single" w:sz="12" w:space="0" w:color="auto"/>
            </w:tcBorders>
          </w:tcPr>
          <w:p w14:paraId="4E9CA35A" w14:textId="77777777" w:rsidR="000D1EE4" w:rsidRPr="00354BBF" w:rsidRDefault="000D1EE4" w:rsidP="000D1EE4">
            <w:pPr>
              <w:rPr>
                <w:b/>
                <w:bCs/>
                <w:rtl/>
                <w:lang w:bidi="ar-EG"/>
              </w:rPr>
            </w:pPr>
          </w:p>
        </w:tc>
        <w:tc>
          <w:tcPr>
            <w:tcW w:w="2970" w:type="dxa"/>
            <w:gridSpan w:val="2"/>
            <w:tcBorders>
              <w:top w:val="single" w:sz="12" w:space="0" w:color="auto"/>
            </w:tcBorders>
          </w:tcPr>
          <w:p w14:paraId="6A3388BD" w14:textId="77777777" w:rsidR="000D1EE4" w:rsidRPr="00354BBF" w:rsidRDefault="000D1EE4" w:rsidP="000D1EE4">
            <w:pPr>
              <w:rPr>
                <w:b/>
                <w:bCs/>
                <w:lang w:bidi="ar-EG"/>
              </w:rPr>
            </w:pPr>
          </w:p>
        </w:tc>
      </w:tr>
      <w:tr w:rsidR="000D1EE4" w:rsidRPr="00354BBF" w14:paraId="37C722EE" w14:textId="77777777" w:rsidTr="00752552">
        <w:trPr>
          <w:cantSplit/>
        </w:trPr>
        <w:tc>
          <w:tcPr>
            <w:tcW w:w="6696" w:type="dxa"/>
            <w:gridSpan w:val="2"/>
          </w:tcPr>
          <w:p w14:paraId="7C69596F" w14:textId="77777777" w:rsidR="000D1EE4" w:rsidRPr="00354BBF" w:rsidRDefault="00E50850" w:rsidP="001F4088">
            <w:pPr>
              <w:pStyle w:val="Committee"/>
              <w:bidi/>
              <w:rPr>
                <w:rtl/>
                <w:lang w:bidi="ar-EG"/>
              </w:rPr>
            </w:pPr>
            <w:r w:rsidRPr="00354BBF">
              <w:rPr>
                <w:rtl/>
                <w:lang w:bidi="ar-EG"/>
              </w:rPr>
              <w:t>الجلسة العامة</w:t>
            </w:r>
          </w:p>
        </w:tc>
        <w:tc>
          <w:tcPr>
            <w:tcW w:w="2970" w:type="dxa"/>
            <w:gridSpan w:val="2"/>
          </w:tcPr>
          <w:p w14:paraId="7098FA4C" w14:textId="77777777" w:rsidR="000D1EE4" w:rsidRPr="00354BBF" w:rsidRDefault="00E50850" w:rsidP="001F4088">
            <w:pPr>
              <w:jc w:val="left"/>
              <w:rPr>
                <w:b/>
                <w:bCs/>
                <w:rtl/>
                <w:lang w:bidi="ar-EG"/>
              </w:rPr>
            </w:pPr>
            <w:r w:rsidRPr="00354BBF">
              <w:rPr>
                <w:rFonts w:eastAsia="SimSun"/>
                <w:b/>
                <w:bCs/>
                <w:rtl/>
                <w:lang w:bidi="ar-EG"/>
              </w:rPr>
              <w:t>الإضافة 3</w:t>
            </w:r>
            <w:r w:rsidRPr="00354BBF">
              <w:rPr>
                <w:rFonts w:eastAsia="SimSun"/>
                <w:b/>
                <w:bCs/>
                <w:rtl/>
                <w:lang w:bidi="ar-EG"/>
              </w:rPr>
              <w:br/>
              <w:t xml:space="preserve">للوثيقة </w:t>
            </w:r>
            <w:r w:rsidRPr="00354BBF">
              <w:rPr>
                <w:rFonts w:eastAsia="SimSun"/>
                <w:b/>
                <w:bCs/>
              </w:rPr>
              <w:t>111(Add.24)-A</w:t>
            </w:r>
          </w:p>
        </w:tc>
      </w:tr>
      <w:tr w:rsidR="000D1EE4" w:rsidRPr="00354BBF" w14:paraId="58B33F9B" w14:textId="77777777" w:rsidTr="00752552">
        <w:trPr>
          <w:cantSplit/>
        </w:trPr>
        <w:tc>
          <w:tcPr>
            <w:tcW w:w="6696" w:type="dxa"/>
            <w:gridSpan w:val="2"/>
          </w:tcPr>
          <w:p w14:paraId="6D93DEE6" w14:textId="77777777" w:rsidR="000D1EE4" w:rsidRPr="00354BBF" w:rsidRDefault="000D1EE4" w:rsidP="000D1EE4">
            <w:pPr>
              <w:spacing w:before="60" w:after="60" w:line="260" w:lineRule="exact"/>
              <w:rPr>
                <w:b/>
                <w:bCs/>
                <w:rtl/>
                <w:lang w:bidi="ar-EG"/>
              </w:rPr>
            </w:pPr>
          </w:p>
        </w:tc>
        <w:tc>
          <w:tcPr>
            <w:tcW w:w="2970" w:type="dxa"/>
            <w:gridSpan w:val="2"/>
          </w:tcPr>
          <w:p w14:paraId="5CDB009C" w14:textId="77777777" w:rsidR="000D1EE4" w:rsidRPr="00354BBF" w:rsidRDefault="00E50850" w:rsidP="001F4088">
            <w:pPr>
              <w:jc w:val="left"/>
              <w:rPr>
                <w:b/>
                <w:bCs/>
                <w:rtl/>
                <w:lang w:bidi="ar-EG"/>
              </w:rPr>
            </w:pPr>
            <w:r w:rsidRPr="00354BBF">
              <w:rPr>
                <w:rFonts w:eastAsia="SimSun"/>
                <w:b/>
                <w:bCs/>
              </w:rPr>
              <w:t>29</w:t>
            </w:r>
            <w:r w:rsidRPr="00354BBF">
              <w:rPr>
                <w:rFonts w:eastAsia="SimSun"/>
                <w:b/>
                <w:bCs/>
                <w:rtl/>
              </w:rPr>
              <w:t xml:space="preserve"> أكتوبر </w:t>
            </w:r>
            <w:r w:rsidRPr="00354BBF">
              <w:rPr>
                <w:rFonts w:eastAsia="SimSun"/>
                <w:b/>
                <w:bCs/>
              </w:rPr>
              <w:t>2023</w:t>
            </w:r>
          </w:p>
        </w:tc>
      </w:tr>
      <w:tr w:rsidR="000D1EE4" w:rsidRPr="00354BBF" w14:paraId="55A20605" w14:textId="77777777" w:rsidTr="00752552">
        <w:trPr>
          <w:cantSplit/>
        </w:trPr>
        <w:tc>
          <w:tcPr>
            <w:tcW w:w="6696" w:type="dxa"/>
            <w:gridSpan w:val="2"/>
          </w:tcPr>
          <w:p w14:paraId="6F9BFC77" w14:textId="77777777" w:rsidR="000D1EE4" w:rsidRPr="00354BBF" w:rsidRDefault="000D1EE4" w:rsidP="000D1EE4">
            <w:pPr>
              <w:spacing w:before="60" w:after="60" w:line="260" w:lineRule="exact"/>
              <w:rPr>
                <w:b/>
                <w:bCs/>
                <w:rtl/>
                <w:lang w:bidi="ar-EG"/>
              </w:rPr>
            </w:pPr>
          </w:p>
        </w:tc>
        <w:tc>
          <w:tcPr>
            <w:tcW w:w="2970" w:type="dxa"/>
            <w:gridSpan w:val="2"/>
          </w:tcPr>
          <w:p w14:paraId="4E31554B" w14:textId="77777777" w:rsidR="000D1EE4" w:rsidRPr="00354BBF" w:rsidRDefault="00E50850" w:rsidP="001F4088">
            <w:pPr>
              <w:jc w:val="left"/>
              <w:rPr>
                <w:b/>
                <w:bCs/>
                <w:lang w:bidi="ar-EG"/>
              </w:rPr>
            </w:pPr>
            <w:r w:rsidRPr="00354BBF">
              <w:rPr>
                <w:b/>
                <w:bCs/>
                <w:rtl/>
                <w:lang w:bidi="ar-EG"/>
              </w:rPr>
              <w:t>الأصل: بالصينية</w:t>
            </w:r>
          </w:p>
        </w:tc>
      </w:tr>
      <w:tr w:rsidR="000D1EE4" w:rsidRPr="00354BBF" w14:paraId="4BBB83CF" w14:textId="77777777" w:rsidTr="00752552">
        <w:trPr>
          <w:cantSplit/>
        </w:trPr>
        <w:tc>
          <w:tcPr>
            <w:tcW w:w="9666" w:type="dxa"/>
            <w:gridSpan w:val="4"/>
          </w:tcPr>
          <w:p w14:paraId="43CDDD9C" w14:textId="77777777" w:rsidR="000D1EE4" w:rsidRPr="00354BBF" w:rsidRDefault="000D1EE4" w:rsidP="000D1EE4">
            <w:pPr>
              <w:rPr>
                <w:b/>
                <w:bCs/>
                <w:lang w:bidi="ar-EG"/>
              </w:rPr>
            </w:pPr>
          </w:p>
        </w:tc>
      </w:tr>
      <w:tr w:rsidR="000D1EE4" w:rsidRPr="00354BBF" w14:paraId="22FD2D4B" w14:textId="77777777" w:rsidTr="00752552">
        <w:trPr>
          <w:cantSplit/>
        </w:trPr>
        <w:tc>
          <w:tcPr>
            <w:tcW w:w="9666" w:type="dxa"/>
            <w:gridSpan w:val="4"/>
          </w:tcPr>
          <w:p w14:paraId="73BC89BE" w14:textId="77777777" w:rsidR="000D1EE4" w:rsidRPr="00354BBF" w:rsidRDefault="000D1EE4" w:rsidP="000D1EE4">
            <w:pPr>
              <w:pStyle w:val="Source"/>
              <w:rPr>
                <w:rtl/>
                <w:lang w:bidi="ar-SA"/>
              </w:rPr>
            </w:pPr>
            <w:r w:rsidRPr="00354BBF">
              <w:rPr>
                <w:rtl/>
              </w:rPr>
              <w:t>جمهورية الصين الشعبية</w:t>
            </w:r>
          </w:p>
        </w:tc>
      </w:tr>
      <w:tr w:rsidR="000D1EE4" w:rsidRPr="00354BBF" w14:paraId="7ABA9EFE" w14:textId="77777777" w:rsidTr="00752552">
        <w:trPr>
          <w:cantSplit/>
        </w:trPr>
        <w:tc>
          <w:tcPr>
            <w:tcW w:w="9666" w:type="dxa"/>
            <w:gridSpan w:val="4"/>
          </w:tcPr>
          <w:p w14:paraId="65BF660B" w14:textId="7F41AF89" w:rsidR="000D1EE4" w:rsidRPr="00354BBF" w:rsidRDefault="001F4088" w:rsidP="000D1EE4">
            <w:pPr>
              <w:pStyle w:val="Title1"/>
              <w:rPr>
                <w:rtl/>
              </w:rPr>
            </w:pPr>
            <w:r w:rsidRPr="00354BBF">
              <w:rPr>
                <w:rtl/>
              </w:rPr>
              <w:t>مقترحات بشأن أعمال المؤتمر</w:t>
            </w:r>
          </w:p>
        </w:tc>
      </w:tr>
      <w:tr w:rsidR="000D1EE4" w:rsidRPr="00354BBF" w14:paraId="12ABA0F0" w14:textId="77777777" w:rsidTr="00752552">
        <w:trPr>
          <w:cantSplit/>
        </w:trPr>
        <w:tc>
          <w:tcPr>
            <w:tcW w:w="9666" w:type="dxa"/>
            <w:gridSpan w:val="4"/>
          </w:tcPr>
          <w:p w14:paraId="64725ECC" w14:textId="77777777" w:rsidR="000D1EE4" w:rsidRPr="00354BBF" w:rsidRDefault="000D1EE4" w:rsidP="000D1EE4">
            <w:pPr>
              <w:pStyle w:val="Title2"/>
              <w:rPr>
                <w:rtl/>
              </w:rPr>
            </w:pPr>
          </w:p>
        </w:tc>
      </w:tr>
      <w:tr w:rsidR="00E50850" w:rsidRPr="00354BBF" w14:paraId="739A45CC" w14:textId="77777777" w:rsidTr="00752552">
        <w:trPr>
          <w:cantSplit/>
        </w:trPr>
        <w:tc>
          <w:tcPr>
            <w:tcW w:w="9666" w:type="dxa"/>
            <w:gridSpan w:val="4"/>
          </w:tcPr>
          <w:p w14:paraId="5D49CF15" w14:textId="2622CB49" w:rsidR="00E50850" w:rsidRPr="00354BBF" w:rsidRDefault="00E50850" w:rsidP="00E50850">
            <w:pPr>
              <w:pStyle w:val="Agendaitem"/>
              <w:rPr>
                <w:rtl/>
                <w:lang w:val="en-US" w:bidi="ar-SA"/>
              </w:rPr>
            </w:pPr>
            <w:r w:rsidRPr="00354BBF">
              <w:rPr>
                <w:rtl/>
                <w:cs/>
              </w:rPr>
              <w:t>‎‎‎‎‎‎‎‎‎‎‎‎ بند جدول الأعمال</w:t>
            </w:r>
            <w:r w:rsidR="001F4088" w:rsidRPr="00354BBF">
              <w:rPr>
                <w:rtl/>
              </w:rPr>
              <w:t xml:space="preserve"> </w:t>
            </w:r>
            <w:r w:rsidR="00667634" w:rsidRPr="00354BBF">
              <w:t>1.9</w:t>
            </w:r>
            <w:r w:rsidR="00667634" w:rsidRPr="00354BBF">
              <w:rPr>
                <w:rtl/>
                <w:lang w:bidi="ar-SA"/>
              </w:rPr>
              <w:t>(1.9-</w:t>
            </w:r>
            <w:r w:rsidR="00AB5874">
              <w:rPr>
                <w:rFonts w:hint="cs"/>
                <w:rtl/>
                <w:lang w:bidi="ar-SA"/>
              </w:rPr>
              <w:t>ج</w:t>
            </w:r>
            <w:r w:rsidR="00667634" w:rsidRPr="00354BBF">
              <w:rPr>
                <w:rtl/>
                <w:lang w:bidi="ar-SA"/>
              </w:rPr>
              <w:t>)</w:t>
            </w:r>
          </w:p>
        </w:tc>
      </w:tr>
    </w:tbl>
    <w:p w14:paraId="007495E7" w14:textId="77777777" w:rsidR="00447522" w:rsidRPr="00354BBF" w:rsidRDefault="00654306" w:rsidP="00E468B7">
      <w:pPr>
        <w:pStyle w:val="enumlev1"/>
        <w:rPr>
          <w:rtl/>
        </w:rPr>
      </w:pPr>
      <w:r w:rsidRPr="00354BBF">
        <w:t>9</w:t>
      </w:r>
      <w:r w:rsidRPr="00354BBF">
        <w:rPr>
          <w:rtl/>
        </w:rPr>
        <w:tab/>
        <w:t xml:space="preserve">النظر في تقرير مدير مكتب الاتصالات الراديوية وإقراره، وفقاً للمادة </w:t>
      </w:r>
      <w:r w:rsidRPr="00354BBF">
        <w:t>7</w:t>
      </w:r>
      <w:r w:rsidRPr="00354BBF">
        <w:rPr>
          <w:rtl/>
        </w:rPr>
        <w:t xml:space="preserve"> من اتفاقية الاتحاد؛</w:t>
      </w:r>
    </w:p>
    <w:p w14:paraId="1B6ECC43" w14:textId="3B63194F" w:rsidR="001D42C8" w:rsidRPr="00354BBF" w:rsidRDefault="00654306" w:rsidP="00E468B7">
      <w:pPr>
        <w:pStyle w:val="enumlev1"/>
      </w:pPr>
      <w:r w:rsidRPr="00354BBF">
        <w:t>1.9</w:t>
      </w:r>
      <w:r w:rsidRPr="00354BBF">
        <w:rPr>
          <w:rtl/>
        </w:rPr>
        <w:tab/>
        <w:t xml:space="preserve">بشأن أنشطة قطاع الاتصالات الراديوية بالاتحاد منذ المؤتمر العالمي للاتصالات الراديوية لعام </w:t>
      </w:r>
      <w:r w:rsidRPr="00354BBF">
        <w:t>2019</w:t>
      </w:r>
      <w:r w:rsidRPr="00354BBF">
        <w:rPr>
          <w:rtl/>
        </w:rPr>
        <w:t>:</w:t>
      </w:r>
    </w:p>
    <w:p w14:paraId="5E85781B" w14:textId="44034370" w:rsidR="00F150C5" w:rsidRPr="00354BBF" w:rsidRDefault="00667634" w:rsidP="00E468B7">
      <w:pPr>
        <w:pStyle w:val="enumlev1"/>
        <w:tabs>
          <w:tab w:val="clear" w:pos="851"/>
          <w:tab w:val="clear" w:pos="1418"/>
          <w:tab w:val="left" w:pos="813"/>
        </w:tabs>
        <w:ind w:left="3" w:firstLine="0"/>
        <w:rPr>
          <w:rtl/>
          <w:lang w:bidi="ar-EG"/>
        </w:rPr>
      </w:pPr>
      <w:r w:rsidRPr="00354BBF">
        <w:rPr>
          <w:rtl/>
        </w:rPr>
        <w:t>(1.9-</w:t>
      </w:r>
      <w:r w:rsidR="00AB5874">
        <w:rPr>
          <w:rFonts w:hint="cs"/>
          <w:rtl/>
        </w:rPr>
        <w:t>ج</w:t>
      </w:r>
      <w:r w:rsidRPr="00354BBF">
        <w:rPr>
          <w:rtl/>
        </w:rPr>
        <w:t>)</w:t>
      </w:r>
      <w:r w:rsidR="00654306" w:rsidRPr="00354BBF">
        <w:rPr>
          <w:rtl/>
        </w:rPr>
        <w:t xml:space="preserve"> </w:t>
      </w:r>
      <w:r w:rsidR="00654306" w:rsidRPr="00354BBF">
        <w:rPr>
          <w:rtl/>
        </w:rPr>
        <w:tab/>
      </w:r>
      <w:r w:rsidR="00654306" w:rsidRPr="00354BBF">
        <w:rPr>
          <w:rtl/>
          <w:lang w:val="es-ES"/>
        </w:rPr>
        <w:t xml:space="preserve">دراسة استعمال أنظمة الاتصالات المتنقلة الدولية من أجل النطاق العريض اللاسلكي الثابت في نطاقات التردد الموزعة على أساس أولي للخدمات الثابتة، وفقاً للقرار </w:t>
      </w:r>
      <w:r w:rsidR="00654306" w:rsidRPr="00354BBF">
        <w:rPr>
          <w:b/>
          <w:bCs/>
          <w:lang w:val="en-GB"/>
        </w:rPr>
        <w:t>175 (WRC-19)</w:t>
      </w:r>
      <w:r w:rsidR="00654306" w:rsidRPr="00354BBF">
        <w:rPr>
          <w:rtl/>
          <w:lang w:val="es-ES"/>
        </w:rPr>
        <w:t>؛</w:t>
      </w:r>
    </w:p>
    <w:p w14:paraId="3F37B693" w14:textId="504F7B99" w:rsidR="00D72812" w:rsidRPr="00354BBF" w:rsidRDefault="00654306" w:rsidP="001F4088">
      <w:pPr>
        <w:rPr>
          <w:rtl/>
        </w:rPr>
      </w:pPr>
      <w:r w:rsidRPr="00354BBF">
        <w:rPr>
          <w:position w:val="2"/>
          <w:rtl/>
        </w:rPr>
        <w:t xml:space="preserve">القرار </w:t>
      </w:r>
      <w:r w:rsidRPr="00354BBF">
        <w:rPr>
          <w:b/>
          <w:position w:val="2"/>
        </w:rPr>
        <w:t>175 (WRC</w:t>
      </w:r>
      <w:r w:rsidRPr="00354BBF">
        <w:rPr>
          <w:b/>
          <w:position w:val="2"/>
        </w:rPr>
        <w:noBreakHyphen/>
        <w:t>19)</w:t>
      </w:r>
      <w:r w:rsidR="001F4088" w:rsidRPr="00354BBF">
        <w:rPr>
          <w:b/>
          <w:position w:val="2"/>
          <w:rtl/>
        </w:rPr>
        <w:t xml:space="preserve"> </w:t>
      </w:r>
      <w:r w:rsidR="001F4088" w:rsidRPr="00354BBF">
        <w:t>–</w:t>
      </w:r>
      <w:r w:rsidR="001F4088" w:rsidRPr="00354BBF">
        <w:rPr>
          <w:rtl/>
        </w:rPr>
        <w:t xml:space="preserve"> </w:t>
      </w:r>
      <w:r w:rsidRPr="00354BBF">
        <w:rPr>
          <w:position w:val="2"/>
          <w:rtl/>
        </w:rPr>
        <w:t>استعمال أنظمة الاتصالات المتنقلة الدولية للنطاق العريض اللاسلكي الثابت في نطاقات التردد الموزعة على أساس أولي للخدمة الثابتة</w:t>
      </w:r>
    </w:p>
    <w:p w14:paraId="5763ECCF" w14:textId="091D7DA9" w:rsidR="00417E14" w:rsidRPr="00354BBF" w:rsidRDefault="001F4088" w:rsidP="001F4088">
      <w:pPr>
        <w:pStyle w:val="Headingb"/>
        <w:rPr>
          <w:rtl/>
        </w:rPr>
      </w:pPr>
      <w:r w:rsidRPr="00354BBF">
        <w:rPr>
          <w:rtl/>
        </w:rPr>
        <w:t>مقدمة</w:t>
      </w:r>
    </w:p>
    <w:p w14:paraId="4B6A7C02" w14:textId="447C8AEE" w:rsidR="001F4088" w:rsidRPr="00354BBF" w:rsidRDefault="009654E3" w:rsidP="00C309E0">
      <w:pPr>
        <w:rPr>
          <w:rtl/>
        </w:rPr>
      </w:pPr>
      <w:r w:rsidRPr="009654E3">
        <w:rPr>
          <w:rtl/>
        </w:rPr>
        <w:t>إن المؤتمر العالمي للاتصالات الراديوية (شرم الشيخ، 2019)</w:t>
      </w:r>
      <w:r w:rsidR="00411690" w:rsidRPr="00411690">
        <w:rPr>
          <w:rFonts w:hint="cs"/>
          <w:rtl/>
        </w:rPr>
        <w:t xml:space="preserve"> </w:t>
      </w:r>
      <w:r w:rsidR="00411690">
        <w:rPr>
          <w:rFonts w:hint="cs"/>
          <w:rtl/>
        </w:rPr>
        <w:t xml:space="preserve">في القرار </w:t>
      </w:r>
      <w:bookmarkStart w:id="1" w:name="_Hlk150148175"/>
      <w:r w:rsidR="00411690" w:rsidRPr="00A256D1">
        <w:rPr>
          <w:b/>
        </w:rPr>
        <w:t>175 (WRC</w:t>
      </w:r>
      <w:r w:rsidR="00411690">
        <w:rPr>
          <w:b/>
        </w:rPr>
        <w:noBreakHyphen/>
      </w:r>
      <w:r w:rsidR="00411690" w:rsidRPr="00A256D1">
        <w:rPr>
          <w:b/>
        </w:rPr>
        <w:t>19)</w:t>
      </w:r>
      <w:bookmarkEnd w:id="1"/>
      <w:r w:rsidR="00411690" w:rsidRPr="00354BBF">
        <w:rPr>
          <w:rtl/>
        </w:rPr>
        <w:t xml:space="preserve"> </w:t>
      </w:r>
      <w:r w:rsidRPr="009654E3">
        <w:rPr>
          <w:rtl/>
        </w:rPr>
        <w:t>يقرر أن يدعو قطاع الاتصالات الراديوية بالاتحاد</w:t>
      </w:r>
      <w:r>
        <w:rPr>
          <w:rFonts w:hint="cs"/>
          <w:rtl/>
        </w:rPr>
        <w:t xml:space="preserve"> </w:t>
      </w:r>
      <w:r w:rsidR="001F4088" w:rsidRPr="00354BBF">
        <w:rPr>
          <w:rtl/>
        </w:rPr>
        <w:t>"</w:t>
      </w:r>
      <w:r w:rsidR="001F4088" w:rsidRPr="00354BBF">
        <w:rPr>
          <w:rtl/>
          <w:lang w:bidi="ar-SY"/>
        </w:rPr>
        <w:t>إلى إجراء أي دراسات ضرورية بشأن استعمال أنظمة الاتصالات المتنقلة الدولية من أجل النطاق العريض اللاسلكي الثابت في نطاقات التردد الموزعة على أساس أولي للخدمة الثابتة، مع مراعاة دراسات قطاع الاتصالات الراديوية وكتيباته وتوصياته وتقاريره ذات الصلة."</w:t>
      </w:r>
    </w:p>
    <w:p w14:paraId="52129793" w14:textId="6B038ACD" w:rsidR="00E468B7" w:rsidRDefault="00E468B7" w:rsidP="00E468B7">
      <w:pPr>
        <w:rPr>
          <w:rtl/>
        </w:rPr>
      </w:pPr>
      <w:r>
        <w:rPr>
          <w:rtl/>
        </w:rPr>
        <w:t xml:space="preserve">ووفقاً لنتائج </w:t>
      </w:r>
      <w:r w:rsidRPr="00E468B7">
        <w:rPr>
          <w:rtl/>
        </w:rPr>
        <w:t>الدورة الأولى للاجتماع التحضيري للمؤتمر (</w:t>
      </w:r>
      <w:r w:rsidRPr="00E468B7">
        <w:t>CPM23-1</w:t>
      </w:r>
      <w:r>
        <w:rPr>
          <w:rtl/>
        </w:rPr>
        <w:t>)، أجرت فرقتا العمل</w:t>
      </w:r>
      <w:r>
        <w:rPr>
          <w:lang w:val="fr-FR"/>
        </w:rPr>
        <w:t>5A</w:t>
      </w:r>
      <w:r>
        <w:t xml:space="preserve"> </w:t>
      </w:r>
      <w:r>
        <w:rPr>
          <w:rFonts w:hint="cs"/>
          <w:rtl/>
        </w:rPr>
        <w:t xml:space="preserve"> و</w:t>
      </w:r>
      <w:r>
        <w:t>5C</w:t>
      </w:r>
      <w:r>
        <w:rPr>
          <w:rFonts w:hint="cs"/>
          <w:rtl/>
        </w:rPr>
        <w:t xml:space="preserve"> </w:t>
      </w:r>
      <w:r>
        <w:rPr>
          <w:rtl/>
        </w:rPr>
        <w:t xml:space="preserve">لقطاع الاتصالات الراديوية بشكل مشترك الدراسات المذكورة أعلاه. وكانت فرقة العمل </w:t>
      </w:r>
      <w:r>
        <w:t>5A</w:t>
      </w:r>
      <w:r>
        <w:rPr>
          <w:rtl/>
        </w:rPr>
        <w:t xml:space="preserve"> مسؤولة عن تطبيقات النفاذ اللاسلكي الثابت في الخدمة الثابتة وكانت فرقة العمل 5</w:t>
      </w:r>
      <w:r>
        <w:t>C</w:t>
      </w:r>
      <w:r>
        <w:rPr>
          <w:rtl/>
        </w:rPr>
        <w:t xml:space="preserve"> مسؤولة عن جميع التطبيقات الأخرى للأنظمة اللاسلكية الثابتة، وفقاً </w:t>
      </w:r>
      <w:r>
        <w:rPr>
          <w:rFonts w:hint="cs"/>
          <w:rtl/>
        </w:rPr>
        <w:t>للمهمة التي كلفت بها</w:t>
      </w:r>
      <w:r>
        <w:rPr>
          <w:rtl/>
        </w:rPr>
        <w:t xml:space="preserve"> لجنة الدراسات 5 فرق عملها.</w:t>
      </w:r>
    </w:p>
    <w:p w14:paraId="2E4DB786" w14:textId="320D75A7" w:rsidR="00E468B7" w:rsidRDefault="00E468B7" w:rsidP="0074144E">
      <w:pPr>
        <w:rPr>
          <w:rtl/>
        </w:rPr>
      </w:pPr>
      <w:r>
        <w:rPr>
          <w:rtl/>
        </w:rPr>
        <w:t xml:space="preserve">وفي اجتماعي فرقتي العمل </w:t>
      </w:r>
      <w:r w:rsidR="00623EFB" w:rsidRPr="00623EFB">
        <w:rPr>
          <w:rtl/>
        </w:rPr>
        <w:t>العمل5</w:t>
      </w:r>
      <w:r w:rsidR="00623EFB" w:rsidRPr="00623EFB">
        <w:t>A</w:t>
      </w:r>
      <w:r w:rsidR="0074144E">
        <w:rPr>
          <w:rtl/>
        </w:rPr>
        <w:t xml:space="preserve"> </w:t>
      </w:r>
      <w:r w:rsidR="00623EFB" w:rsidRPr="00623EFB">
        <w:rPr>
          <w:rtl/>
        </w:rPr>
        <w:t>و5</w:t>
      </w:r>
      <w:r w:rsidR="00623EFB" w:rsidRPr="00623EFB">
        <w:t>C</w:t>
      </w:r>
      <w:r w:rsidR="00623EFB" w:rsidRPr="00623EFB">
        <w:rPr>
          <w:rtl/>
        </w:rPr>
        <w:t xml:space="preserve"> </w:t>
      </w:r>
      <w:r>
        <w:rPr>
          <w:rtl/>
        </w:rPr>
        <w:t xml:space="preserve">في مايو/يونيو 2022، </w:t>
      </w:r>
      <w:r w:rsidR="00623EFB">
        <w:rPr>
          <w:rFonts w:hint="cs"/>
          <w:rtl/>
        </w:rPr>
        <w:t>وُضعت اللمسات النهائية</w:t>
      </w:r>
      <w:r>
        <w:rPr>
          <w:rtl/>
        </w:rPr>
        <w:t xml:space="preserve"> </w:t>
      </w:r>
      <w:r w:rsidR="00623EFB">
        <w:rPr>
          <w:rFonts w:hint="cs"/>
          <w:rtl/>
        </w:rPr>
        <w:t>على</w:t>
      </w:r>
      <w:r>
        <w:rPr>
          <w:rtl/>
        </w:rPr>
        <w:t xml:space="preserve"> مشرو</w:t>
      </w:r>
      <w:r w:rsidR="0074144E">
        <w:rPr>
          <w:rtl/>
        </w:rPr>
        <w:t xml:space="preserve">ع نص الاجتماع التحضيري للمؤتمر </w:t>
      </w:r>
      <w:r w:rsidR="0074144E">
        <w:rPr>
          <w:rFonts w:hint="cs"/>
          <w:rtl/>
        </w:rPr>
        <w:t>بخصوص</w:t>
      </w:r>
      <w:r w:rsidR="0074144E" w:rsidRPr="0074144E">
        <w:rPr>
          <w:rtl/>
        </w:rPr>
        <w:t xml:space="preserve"> </w:t>
      </w:r>
      <w:r w:rsidR="0074144E">
        <w:rPr>
          <w:rtl/>
        </w:rPr>
        <w:t xml:space="preserve">الموضوع ج) </w:t>
      </w:r>
      <w:r w:rsidR="0074144E">
        <w:rPr>
          <w:rFonts w:hint="cs"/>
          <w:rtl/>
        </w:rPr>
        <w:t>من ا</w:t>
      </w:r>
      <w:r>
        <w:rPr>
          <w:rtl/>
        </w:rPr>
        <w:t xml:space="preserve">لبند 9.1 من جدول أعمال المؤتمر </w:t>
      </w:r>
      <w:r>
        <w:t>WRC-23</w:t>
      </w:r>
      <w:r>
        <w:rPr>
          <w:rtl/>
        </w:rPr>
        <w:t xml:space="preserve">، على النحو الوارد في </w:t>
      </w:r>
      <w:hyperlink r:id="rId15" w:history="1">
        <w:r w:rsidRPr="0074144E">
          <w:rPr>
            <w:rStyle w:val="Hyperlink"/>
            <w:rFonts w:ascii="Dubai" w:hAnsi="Dubai" w:cs="Dubai"/>
            <w:rtl/>
          </w:rPr>
          <w:t>الملحق 8 بالوثيقة 5</w:t>
        </w:r>
        <w:r w:rsidRPr="0074144E">
          <w:rPr>
            <w:rStyle w:val="Hyperlink"/>
            <w:rFonts w:ascii="Dubai" w:hAnsi="Dubai" w:cs="Dubai"/>
          </w:rPr>
          <w:t>A/597</w:t>
        </w:r>
      </w:hyperlink>
      <w:r>
        <w:rPr>
          <w:rtl/>
        </w:rPr>
        <w:t>.</w:t>
      </w:r>
    </w:p>
    <w:p w14:paraId="7460F973" w14:textId="3467E2A1" w:rsidR="00C45930" w:rsidRPr="00354BBF" w:rsidRDefault="00E468B7" w:rsidP="002E03EC">
      <w:pPr>
        <w:rPr>
          <w:lang w:bidi="ar-EG"/>
        </w:rPr>
      </w:pPr>
      <w:r>
        <w:rPr>
          <w:rtl/>
        </w:rPr>
        <w:lastRenderedPageBreak/>
        <w:t>وفي مارس/أبريل 2023، أعد</w:t>
      </w:r>
      <w:r w:rsidR="002E03EC">
        <w:rPr>
          <w:rFonts w:hint="cs"/>
          <w:rtl/>
        </w:rPr>
        <w:t>ت</w:t>
      </w:r>
      <w:r>
        <w:rPr>
          <w:rtl/>
        </w:rPr>
        <w:t xml:space="preserve"> </w:t>
      </w:r>
      <w:r w:rsidR="002E03EC" w:rsidRPr="002E03EC">
        <w:rPr>
          <w:rtl/>
        </w:rPr>
        <w:t xml:space="preserve">الدورة </w:t>
      </w:r>
      <w:r w:rsidR="002E03EC">
        <w:rPr>
          <w:rFonts w:hint="cs"/>
          <w:rtl/>
        </w:rPr>
        <w:t>الثانية</w:t>
      </w:r>
      <w:r w:rsidR="002E03EC" w:rsidRPr="002E03EC">
        <w:rPr>
          <w:rtl/>
        </w:rPr>
        <w:t xml:space="preserve"> للاجتماع التحضيري للمؤتمر (</w:t>
      </w:r>
      <w:r w:rsidR="002E03EC" w:rsidRPr="002E03EC">
        <w:t>CPM23-</w:t>
      </w:r>
      <w:r w:rsidR="002E03EC">
        <w:t>2</w:t>
      </w:r>
      <w:r w:rsidR="002E03EC" w:rsidRPr="002E03EC">
        <w:rPr>
          <w:rtl/>
        </w:rPr>
        <w:t xml:space="preserve">)، </w:t>
      </w:r>
      <w:hyperlink r:id="rId16" w:history="1">
        <w:r w:rsidR="002E03EC" w:rsidRPr="00CF57F4">
          <w:rPr>
            <w:rStyle w:val="Hyperlink"/>
            <w:rFonts w:ascii="Dubai" w:hAnsi="Dubai" w:cs="Dubai"/>
            <w:rtl/>
          </w:rPr>
          <w:t xml:space="preserve">التقرير النهائي للاجتماع التحضيري للمؤتمر المقدم إلى المؤتمر </w:t>
        </w:r>
        <w:r w:rsidR="002E03EC" w:rsidRPr="00CF57F4">
          <w:rPr>
            <w:rStyle w:val="Hyperlink"/>
            <w:rFonts w:ascii="Dubai" w:hAnsi="Dubai" w:cs="Dubai"/>
          </w:rPr>
          <w:t>WRC-23</w:t>
        </w:r>
      </w:hyperlink>
      <w:r w:rsidR="002E03EC" w:rsidRPr="002E03EC">
        <w:rPr>
          <w:rtl/>
        </w:rPr>
        <w:t>.</w:t>
      </w:r>
    </w:p>
    <w:p w14:paraId="474E95EE" w14:textId="77777777" w:rsidR="004C67F1" w:rsidRPr="00354BBF" w:rsidRDefault="004C67F1" w:rsidP="0007001A">
      <w:pPr>
        <w:tabs>
          <w:tab w:val="clear" w:pos="1134"/>
          <w:tab w:val="clear" w:pos="1871"/>
          <w:tab w:val="clear" w:pos="2268"/>
        </w:tabs>
        <w:spacing w:before="0" w:line="240" w:lineRule="auto"/>
        <w:jc w:val="left"/>
        <w:rPr>
          <w:rtl/>
          <w:lang w:val="en-GB" w:bidi="ar-EG"/>
        </w:rPr>
      </w:pPr>
      <w:r w:rsidRPr="00354BBF">
        <w:rPr>
          <w:rtl/>
          <w:lang w:val="en-GB" w:bidi="ar-EG"/>
        </w:rPr>
        <w:br w:type="page"/>
      </w:r>
    </w:p>
    <w:p w14:paraId="50F03A37" w14:textId="77777777" w:rsidR="00556967" w:rsidRPr="00354BBF" w:rsidRDefault="00556967" w:rsidP="00556967">
      <w:pPr>
        <w:pStyle w:val="Headingb"/>
        <w:rPr>
          <w:rtl/>
        </w:rPr>
      </w:pPr>
      <w:r w:rsidRPr="00354BBF">
        <w:rPr>
          <w:rtl/>
        </w:rPr>
        <w:lastRenderedPageBreak/>
        <w:t>المقترح</w:t>
      </w:r>
    </w:p>
    <w:p w14:paraId="76E60EB8" w14:textId="77777777" w:rsidR="00FF6A99" w:rsidRDefault="00FF6A99" w:rsidP="00FF6A99">
      <w:pPr>
        <w:pStyle w:val="Proposal"/>
      </w:pPr>
      <w:r>
        <w:tab/>
        <w:t>CHN/111A24A3/1</w:t>
      </w:r>
    </w:p>
    <w:p w14:paraId="4990CE10" w14:textId="6593C915" w:rsidR="005C6ECF" w:rsidRPr="00354BBF" w:rsidRDefault="00D61211" w:rsidP="00D61211">
      <w:pPr>
        <w:rPr>
          <w:rtl/>
        </w:rPr>
      </w:pPr>
      <w:r w:rsidRPr="00D61211">
        <w:rPr>
          <w:rtl/>
        </w:rPr>
        <w:t xml:space="preserve">فيما يتعلق بالنهج المختلفة لاستخدام الاتصالات المتنقلة الدولية في النطاق العريض اللاسلكي الثابت </w:t>
      </w:r>
      <w:r>
        <w:rPr>
          <w:rFonts w:hint="cs"/>
          <w:rtl/>
        </w:rPr>
        <w:t>المدرجة في</w:t>
      </w:r>
      <w:r w:rsidRPr="00D61211">
        <w:rPr>
          <w:rtl/>
        </w:rPr>
        <w:t xml:space="preserve"> تقرير الاجتماع التحضيري للمؤتمر </w:t>
      </w:r>
      <w:r w:rsidRPr="00D61211">
        <w:t>WRC-23</w:t>
      </w:r>
      <w:r w:rsidRPr="00D61211">
        <w:rPr>
          <w:rtl/>
        </w:rPr>
        <w:t>، تدعم إدارة جمهورية الصين الشعبية النهج 2 لدراسة قطاع الاتصالات الراديوية:</w:t>
      </w:r>
    </w:p>
    <w:p w14:paraId="143491F2" w14:textId="77777777" w:rsidR="00556967" w:rsidRPr="00354BBF" w:rsidRDefault="00556967" w:rsidP="00556967">
      <w:pPr>
        <w:pStyle w:val="Headingi"/>
        <w:rPr>
          <w:rtl/>
        </w:rPr>
      </w:pPr>
      <w:r w:rsidRPr="00354BBF">
        <w:rPr>
          <w:rtl/>
        </w:rPr>
        <w:t>النهج 2</w:t>
      </w:r>
    </w:p>
    <w:p w14:paraId="434931C5" w14:textId="4753A05E" w:rsidR="00556967" w:rsidRPr="00354BBF" w:rsidRDefault="00556967" w:rsidP="00556967">
      <w:pPr>
        <w:rPr>
          <w:rtl/>
        </w:rPr>
      </w:pPr>
      <w:r w:rsidRPr="00354BBF">
        <w:rPr>
          <w:rtl/>
        </w:rPr>
        <w:t xml:space="preserve">المضي في مراجعة التوصية (التوصيات) والتقرير (التقارير) والكتيب من خلال تقديم مساهمات إلى الاجتماعات اللاحقة لقطاع الاتصالات الراديوية. وينبغي أن تتضمن مساهمة من هذا القبيل حججاً تبين بأن التوصية (التوصيات) الحالية والتقرير الحالي (التقارير الحالية)، والكتيب الحالي، تغطي جزئياً أو بقدر كاف أهداف البند 1.9 من جدول أعمال المؤتمر </w:t>
      </w:r>
      <w:r w:rsidRPr="00354BBF">
        <w:t>WRC-23</w:t>
      </w:r>
      <w:r w:rsidRPr="00354BBF">
        <w:rPr>
          <w:rtl/>
        </w:rPr>
        <w:t xml:space="preserve">، الموضوع ج) المشار إليه في القرار </w:t>
      </w:r>
      <w:r w:rsidRPr="00354BBF">
        <w:rPr>
          <w:b/>
          <w:bCs/>
        </w:rPr>
        <w:t>175 (WRC-19)</w:t>
      </w:r>
      <w:r w:rsidRPr="00354BBF">
        <w:rPr>
          <w:rtl/>
        </w:rPr>
        <w:t xml:space="preserve">. وعند تلقي المساهمات المذكورة أعلاه، ستمضي فرقتا العمل </w:t>
      </w:r>
      <w:r w:rsidRPr="00354BBF">
        <w:t>5A</w:t>
      </w:r>
      <w:r w:rsidRPr="00354BBF">
        <w:rPr>
          <w:rtl/>
        </w:rPr>
        <w:t xml:space="preserve"> و</w:t>
      </w:r>
      <w:r w:rsidRPr="00354BBF">
        <w:t>5C</w:t>
      </w:r>
      <w:r w:rsidRPr="00354BBF">
        <w:rPr>
          <w:rtl/>
        </w:rPr>
        <w:t xml:space="preserve"> قدماً تبعاً لذلك. </w:t>
      </w:r>
      <w:r w:rsidRPr="00354BBF">
        <w:rPr>
          <w:rtl/>
          <w:lang w:bidi="ar-EG"/>
        </w:rPr>
        <w:t>و</w:t>
      </w:r>
      <w:r w:rsidRPr="00354BBF">
        <w:rPr>
          <w:rtl/>
        </w:rPr>
        <w:t xml:space="preserve">في حالة استمرار عدم </w:t>
      </w:r>
      <w:r w:rsidRPr="00354BBF">
        <w:rPr>
          <w:rtl/>
          <w:lang w:bidi="ar-SY"/>
        </w:rPr>
        <w:t>إيفاء</w:t>
      </w:r>
      <w:r w:rsidRPr="00354BBF">
        <w:rPr>
          <w:rtl/>
        </w:rPr>
        <w:t xml:space="preserve"> هذه المراجعة بمتطلبات هذا الموضوع، </w:t>
      </w:r>
      <w:r w:rsidRPr="00354BBF">
        <w:rPr>
          <w:rtl/>
          <w:lang w:bidi="ar-SY"/>
        </w:rPr>
        <w:t>يمكن</w:t>
      </w:r>
      <w:r w:rsidRPr="00354BBF">
        <w:rPr>
          <w:rtl/>
        </w:rPr>
        <w:t xml:space="preserve"> وضع توصية (توصيات) جديدة و/أو تقرير (تقارير) جديدة و/أو كتيب جديد داخل قطاع الاتصالات الراديوية.</w:t>
      </w:r>
    </w:p>
    <w:p w14:paraId="6E3C069E" w14:textId="5DEB9F57" w:rsidR="00556967" w:rsidRPr="00354BBF" w:rsidRDefault="00556967" w:rsidP="00556967">
      <w:pPr>
        <w:pStyle w:val="Reasons"/>
        <w:rPr>
          <w:b w:val="0"/>
          <w:bCs w:val="0"/>
        </w:rPr>
      </w:pPr>
    </w:p>
    <w:p w14:paraId="50DDAC02" w14:textId="631C99A6" w:rsidR="00556967" w:rsidRPr="00354BBF" w:rsidRDefault="00556967" w:rsidP="00556967">
      <w:pPr>
        <w:spacing w:before="600"/>
        <w:jc w:val="center"/>
        <w:rPr>
          <w:rtl/>
        </w:rPr>
      </w:pPr>
      <w:r w:rsidRPr="00354BBF">
        <w:rPr>
          <w:rtl/>
          <w:lang w:bidi="ar-EG"/>
        </w:rPr>
        <w:t>ــــــــــــــــــــــــــــــــــــــــــــــــــــــــــــــــــــــــــــــــــــــــــــــــ</w:t>
      </w:r>
    </w:p>
    <w:sectPr w:rsidR="00556967" w:rsidRPr="00354BBF" w:rsidSect="004C67F1">
      <w:headerReference w:type="even" r:id="rId17"/>
      <w:headerReference w:type="default" r:id="rId18"/>
      <w:footerReference w:type="even" r:id="rId19"/>
      <w:footerReference w:type="default" r:id="rId20"/>
      <w:headerReference w:type="first" r:id="rId21"/>
      <w:footerReference w:type="first" r:id="rId22"/>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9A95" w14:textId="77777777" w:rsidR="00536074" w:rsidRDefault="00536074" w:rsidP="002919E1">
      <w:r>
        <w:separator/>
      </w:r>
    </w:p>
    <w:p w14:paraId="43F4FB8E" w14:textId="77777777" w:rsidR="00536074" w:rsidRDefault="00536074" w:rsidP="002919E1"/>
    <w:p w14:paraId="28633D9F" w14:textId="77777777" w:rsidR="00536074" w:rsidRDefault="00536074" w:rsidP="002919E1"/>
    <w:p w14:paraId="023FC333" w14:textId="77777777" w:rsidR="00536074" w:rsidRDefault="00536074"/>
    <w:p w14:paraId="6330251C" w14:textId="77777777" w:rsidR="00536074" w:rsidRDefault="00536074"/>
  </w:endnote>
  <w:endnote w:type="continuationSeparator" w:id="0">
    <w:p w14:paraId="03CDAF19" w14:textId="77777777" w:rsidR="00536074" w:rsidRDefault="00536074" w:rsidP="002919E1">
      <w:r>
        <w:continuationSeparator/>
      </w:r>
    </w:p>
    <w:p w14:paraId="04C30C28" w14:textId="77777777" w:rsidR="00536074" w:rsidRDefault="00536074" w:rsidP="002919E1"/>
    <w:p w14:paraId="49B6053D" w14:textId="77777777" w:rsidR="00536074" w:rsidRDefault="00536074" w:rsidP="002919E1"/>
    <w:p w14:paraId="66F3E387" w14:textId="77777777" w:rsidR="00536074" w:rsidRDefault="00536074"/>
    <w:p w14:paraId="356CA13D" w14:textId="77777777" w:rsidR="00536074" w:rsidRDefault="00536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3F33" w14:textId="3002603B" w:rsidR="00D63A6F" w:rsidRPr="00D63A6F" w:rsidRDefault="00556967"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E468B7">
      <w:rPr>
        <w:sz w:val="16"/>
        <w:szCs w:val="16"/>
      </w:rPr>
      <w:instrText xml:space="preserve"> FILENAME \p \* MERGEFORMAT </w:instrText>
    </w:r>
    <w:r w:rsidRPr="0026373E">
      <w:rPr>
        <w:sz w:val="16"/>
        <w:szCs w:val="16"/>
        <w:lang w:val="fr-FR"/>
      </w:rPr>
      <w:fldChar w:fldCharType="separate"/>
    </w:r>
    <w:r w:rsidR="0004261A">
      <w:rPr>
        <w:noProof/>
        <w:sz w:val="16"/>
        <w:szCs w:val="16"/>
      </w:rPr>
      <w:t>P:\ARA\ITU-R\CONF-R\CMR23\100\111ADD24ADD03A.docx</w:t>
    </w:r>
    <w:r w:rsidRPr="0026373E">
      <w:rPr>
        <w:sz w:val="16"/>
        <w:szCs w:val="16"/>
      </w:rPr>
      <w:fldChar w:fldCharType="end"/>
    </w:r>
    <w:r w:rsidRPr="0026373E">
      <w:rPr>
        <w:sz w:val="16"/>
        <w:szCs w:val="16"/>
      </w:rPr>
      <w:t xml:space="preserve">  </w:t>
    </w:r>
    <w:r w:rsidRPr="00E468B7">
      <w:rPr>
        <w:sz w:val="16"/>
        <w:szCs w:val="16"/>
      </w:rPr>
      <w:t xml:space="preserve"> (530278)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F827" w14:textId="3D9B84ED" w:rsidR="0004261A" w:rsidRDefault="0004261A" w:rsidP="0004261A">
    <w:pPr>
      <w:pStyle w:val="Footer"/>
      <w:bidi w:val="0"/>
    </w:pPr>
    <w:r w:rsidRPr="0026373E">
      <w:rPr>
        <w:sz w:val="16"/>
        <w:szCs w:val="16"/>
        <w:lang w:val="fr-FR"/>
      </w:rPr>
      <w:fldChar w:fldCharType="begin"/>
    </w:r>
    <w:r w:rsidRPr="00E468B7">
      <w:rPr>
        <w:sz w:val="16"/>
        <w:szCs w:val="16"/>
      </w:rPr>
      <w:instrText xml:space="preserve"> FILENAME \p \* MERGEFORMAT </w:instrText>
    </w:r>
    <w:r w:rsidRPr="0026373E">
      <w:rPr>
        <w:sz w:val="16"/>
        <w:szCs w:val="16"/>
        <w:lang w:val="fr-FR"/>
      </w:rPr>
      <w:fldChar w:fldCharType="separate"/>
    </w:r>
    <w:r>
      <w:rPr>
        <w:noProof/>
        <w:sz w:val="16"/>
        <w:szCs w:val="16"/>
      </w:rPr>
      <w:t>P:\ARA\ITU-R\CONF-R\CMR23\100\111ADD24ADD03A.docx</w:t>
    </w:r>
    <w:r w:rsidRPr="0026373E">
      <w:rPr>
        <w:sz w:val="16"/>
        <w:szCs w:val="16"/>
      </w:rPr>
      <w:fldChar w:fldCharType="end"/>
    </w:r>
    <w:r w:rsidRPr="0026373E">
      <w:rPr>
        <w:sz w:val="16"/>
        <w:szCs w:val="16"/>
      </w:rPr>
      <w:t xml:space="preserve">  </w:t>
    </w:r>
    <w:r w:rsidRPr="00E468B7">
      <w:rPr>
        <w:sz w:val="16"/>
        <w:szCs w:val="16"/>
      </w:rPr>
      <w:t xml:space="preserve"> (530278)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3544" w14:textId="236C776D" w:rsidR="00556967" w:rsidRDefault="00556967" w:rsidP="00556967">
    <w:pPr>
      <w:pStyle w:val="Footer"/>
      <w:bidi w:val="0"/>
    </w:pPr>
    <w:r w:rsidRPr="0026373E">
      <w:rPr>
        <w:sz w:val="16"/>
        <w:szCs w:val="16"/>
        <w:lang w:val="fr-FR"/>
      </w:rPr>
      <w:fldChar w:fldCharType="begin"/>
    </w:r>
    <w:r w:rsidRPr="00E468B7">
      <w:rPr>
        <w:sz w:val="16"/>
        <w:szCs w:val="16"/>
      </w:rPr>
      <w:instrText xml:space="preserve"> FILENAME \p \* MERGEFORMAT </w:instrText>
    </w:r>
    <w:r w:rsidRPr="0026373E">
      <w:rPr>
        <w:sz w:val="16"/>
        <w:szCs w:val="16"/>
        <w:lang w:val="fr-FR"/>
      </w:rPr>
      <w:fldChar w:fldCharType="separate"/>
    </w:r>
    <w:r w:rsidR="0004261A">
      <w:rPr>
        <w:noProof/>
        <w:sz w:val="16"/>
        <w:szCs w:val="16"/>
      </w:rPr>
      <w:t>P:\ARA\ITU-R\CONF-R\CMR23\100\111ADD24ADD03A.docx</w:t>
    </w:r>
    <w:r w:rsidRPr="0026373E">
      <w:rPr>
        <w:sz w:val="16"/>
        <w:szCs w:val="16"/>
      </w:rPr>
      <w:fldChar w:fldCharType="end"/>
    </w:r>
    <w:r w:rsidRPr="0026373E">
      <w:rPr>
        <w:sz w:val="16"/>
        <w:szCs w:val="16"/>
      </w:rPr>
      <w:t xml:space="preserve">  </w:t>
    </w:r>
    <w:r w:rsidRPr="00E468B7">
      <w:rPr>
        <w:sz w:val="16"/>
        <w:szCs w:val="16"/>
      </w:rPr>
      <w:t xml:space="preserve"> (530278)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03BC" w14:textId="77777777" w:rsidR="00536074" w:rsidRDefault="00536074" w:rsidP="00C45930">
      <w:r>
        <w:separator/>
      </w:r>
    </w:p>
  </w:footnote>
  <w:footnote w:type="continuationSeparator" w:id="0">
    <w:p w14:paraId="119F782B" w14:textId="77777777" w:rsidR="00536074" w:rsidRDefault="00536074" w:rsidP="002919E1">
      <w:r>
        <w:continuationSeparator/>
      </w:r>
    </w:p>
    <w:p w14:paraId="2DD1D261" w14:textId="77777777" w:rsidR="00536074" w:rsidRDefault="00536074" w:rsidP="002919E1"/>
    <w:p w14:paraId="65809506" w14:textId="77777777" w:rsidR="00536074" w:rsidRDefault="00536074" w:rsidP="002919E1"/>
    <w:p w14:paraId="10E1F374" w14:textId="77777777" w:rsidR="00536074" w:rsidRDefault="00536074"/>
    <w:p w14:paraId="47456EAD" w14:textId="77777777" w:rsidR="00536074" w:rsidRDefault="00536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62E1" w14:textId="5638A572" w:rsidR="00D63A6F" w:rsidRPr="00556967" w:rsidRDefault="005E5F16" w:rsidP="00556967">
    <w:pPr>
      <w:bidi w:val="0"/>
      <w:spacing w:after="360" w:line="240" w:lineRule="auto"/>
      <w:jc w:val="center"/>
    </w:pPr>
    <w:r w:rsidRPr="00556967">
      <w:rPr>
        <w:rStyle w:val="PageNumber"/>
        <w:rFonts w:ascii="Dubai" w:hAnsi="Dubai" w:cs="Dubai"/>
      </w:rPr>
      <w:fldChar w:fldCharType="begin"/>
    </w:r>
    <w:r w:rsidRPr="00556967">
      <w:rPr>
        <w:rStyle w:val="PageNumber"/>
        <w:rFonts w:ascii="Dubai" w:hAnsi="Dubai" w:cs="Dubai"/>
      </w:rPr>
      <w:instrText xml:space="preserve"> PAGE </w:instrText>
    </w:r>
    <w:r w:rsidRPr="00556967">
      <w:rPr>
        <w:rStyle w:val="PageNumber"/>
        <w:rFonts w:ascii="Dubai" w:hAnsi="Dubai" w:cs="Dubai"/>
      </w:rPr>
      <w:fldChar w:fldCharType="separate"/>
    </w:r>
    <w:r w:rsidR="00D61211">
      <w:rPr>
        <w:rStyle w:val="PageNumber"/>
        <w:rFonts w:ascii="Dubai" w:hAnsi="Dubai" w:cs="Dubai"/>
        <w:noProof/>
      </w:rPr>
      <w:t>2</w:t>
    </w:r>
    <w:r w:rsidRPr="00556967">
      <w:rPr>
        <w:rStyle w:val="PageNumber"/>
        <w:rFonts w:ascii="Dubai" w:hAnsi="Dubai" w:cs="Dubai"/>
      </w:rPr>
      <w:fldChar w:fldCharType="end"/>
    </w:r>
    <w:r w:rsidRPr="00556967">
      <w:rPr>
        <w:rStyle w:val="PageNumber"/>
        <w:rFonts w:ascii="Dubai" w:hAnsi="Dubai" w:cs="Dubai"/>
        <w:rtl/>
      </w:rPr>
      <w:br/>
    </w:r>
    <w:r w:rsidR="004F5F29" w:rsidRPr="00556967">
      <w:rPr>
        <w:rStyle w:val="PageNumber"/>
        <w:rFonts w:ascii="Dubai" w:hAnsi="Dubai" w:cs="Dubai"/>
      </w:rPr>
      <w:t>WRC</w:t>
    </w:r>
    <w:r w:rsidRPr="00556967">
      <w:rPr>
        <w:rStyle w:val="PageNumber"/>
        <w:rFonts w:ascii="Dubai" w:hAnsi="Dubai" w:cs="Dubai"/>
      </w:rPr>
      <w:t>23/111(Add.24)(Add.3)-A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B549" w14:textId="77777777" w:rsidR="0004261A" w:rsidRDefault="00042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3405" w14:textId="77777777" w:rsidR="0004261A" w:rsidRDefault="00042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FCD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0C22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669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5A9D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47498025">
    <w:abstractNumId w:val="9"/>
  </w:num>
  <w:num w:numId="2" w16cid:durableId="1663702568">
    <w:abstractNumId w:val="13"/>
  </w:num>
  <w:num w:numId="3" w16cid:durableId="1147360102">
    <w:abstractNumId w:val="11"/>
  </w:num>
  <w:num w:numId="4" w16cid:durableId="701057549">
    <w:abstractNumId w:val="14"/>
  </w:num>
  <w:num w:numId="5" w16cid:durableId="1871411429">
    <w:abstractNumId w:val="7"/>
  </w:num>
  <w:num w:numId="6" w16cid:durableId="460340344">
    <w:abstractNumId w:val="6"/>
  </w:num>
  <w:num w:numId="7" w16cid:durableId="600718641">
    <w:abstractNumId w:val="5"/>
  </w:num>
  <w:num w:numId="8" w16cid:durableId="88696679">
    <w:abstractNumId w:val="4"/>
  </w:num>
  <w:num w:numId="9" w16cid:durableId="1284768746">
    <w:abstractNumId w:val="8"/>
  </w:num>
  <w:num w:numId="10" w16cid:durableId="1848906329">
    <w:abstractNumId w:val="3"/>
  </w:num>
  <w:num w:numId="11" w16cid:durableId="1258246661">
    <w:abstractNumId w:val="2"/>
  </w:num>
  <w:num w:numId="12" w16cid:durableId="87503083">
    <w:abstractNumId w:val="1"/>
  </w:num>
  <w:num w:numId="13" w16cid:durableId="1788694898">
    <w:abstractNumId w:val="0"/>
  </w:num>
  <w:num w:numId="14" w16cid:durableId="767040015">
    <w:abstractNumId w:val="10"/>
  </w:num>
  <w:num w:numId="15" w16cid:durableId="2103841207">
    <w:abstractNumId w:val="15"/>
  </w:num>
  <w:num w:numId="16" w16cid:durableId="316808738">
    <w:abstractNumId w:val="12"/>
  </w:num>
  <w:num w:numId="17" w16cid:durableId="1030301907">
    <w:abstractNumId w:val="6"/>
  </w:num>
  <w:num w:numId="18" w16cid:durableId="353701032">
    <w:abstractNumId w:val="5"/>
  </w:num>
  <w:num w:numId="19" w16cid:durableId="1295330367">
    <w:abstractNumId w:val="3"/>
  </w:num>
  <w:num w:numId="20" w16cid:durableId="400249384">
    <w:abstractNumId w:val="2"/>
  </w:num>
  <w:num w:numId="21" w16cid:durableId="1330257513">
    <w:abstractNumId w:val="6"/>
  </w:num>
  <w:num w:numId="22" w16cid:durableId="1472135402">
    <w:abstractNumId w:val="5"/>
  </w:num>
  <w:num w:numId="23" w16cid:durableId="1515531712">
    <w:abstractNumId w:val="3"/>
  </w:num>
  <w:num w:numId="24" w16cid:durableId="1602643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261A"/>
    <w:rsid w:val="00044D43"/>
    <w:rsid w:val="00046844"/>
    <w:rsid w:val="00051887"/>
    <w:rsid w:val="00051907"/>
    <w:rsid w:val="0005672F"/>
    <w:rsid w:val="0007001A"/>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3D01"/>
    <w:rsid w:val="00134562"/>
    <w:rsid w:val="00134CAD"/>
    <w:rsid w:val="001356B2"/>
    <w:rsid w:val="00136B82"/>
    <w:rsid w:val="00141821"/>
    <w:rsid w:val="00141DB6"/>
    <w:rsid w:val="001464F2"/>
    <w:rsid w:val="00146A76"/>
    <w:rsid w:val="001541C8"/>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4088"/>
    <w:rsid w:val="00200484"/>
    <w:rsid w:val="00201A0A"/>
    <w:rsid w:val="00203382"/>
    <w:rsid w:val="002047FE"/>
    <w:rsid w:val="002075D4"/>
    <w:rsid w:val="00211B2A"/>
    <w:rsid w:val="002160EC"/>
    <w:rsid w:val="0022104A"/>
    <w:rsid w:val="00223C6C"/>
    <w:rsid w:val="00226273"/>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03EC"/>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4BBF"/>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1690"/>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36074"/>
    <w:rsid w:val="005431B5"/>
    <w:rsid w:val="005447B3"/>
    <w:rsid w:val="005461A1"/>
    <w:rsid w:val="00546A99"/>
    <w:rsid w:val="005470D7"/>
    <w:rsid w:val="00553411"/>
    <w:rsid w:val="00554AE7"/>
    <w:rsid w:val="0055696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C6ECF"/>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3EFB"/>
    <w:rsid w:val="00630905"/>
    <w:rsid w:val="006315B5"/>
    <w:rsid w:val="00634507"/>
    <w:rsid w:val="0063573F"/>
    <w:rsid w:val="00642743"/>
    <w:rsid w:val="006437CF"/>
    <w:rsid w:val="00651F17"/>
    <w:rsid w:val="00654306"/>
    <w:rsid w:val="00654D43"/>
    <w:rsid w:val="0065562F"/>
    <w:rsid w:val="006569F9"/>
    <w:rsid w:val="00660B83"/>
    <w:rsid w:val="00666697"/>
    <w:rsid w:val="00667634"/>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44E"/>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654E3"/>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143"/>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B5874"/>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57F4"/>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1211"/>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1863"/>
    <w:rsid w:val="00E33051"/>
    <w:rsid w:val="00E343A3"/>
    <w:rsid w:val="00E428EF"/>
    <w:rsid w:val="00E468B7"/>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 w:val="00FF6A9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A8CA4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2120056820">
      <w:bodyDiv w:val="1"/>
      <w:marLeft w:val="60"/>
      <w:marRight w:val="60"/>
      <w:marTop w:val="60"/>
      <w:marBottom w:val="60"/>
      <w:divBdr>
        <w:top w:val="none" w:sz="0" w:space="0" w:color="auto"/>
        <w:left w:val="none" w:sz="0" w:space="0" w:color="auto"/>
        <w:bottom w:val="none" w:sz="0" w:space="0" w:color="auto"/>
        <w:right w:val="none" w:sz="0" w:space="0" w:color="auto"/>
      </w:divBdr>
      <w:divsChild>
        <w:div w:id="1333533961">
          <w:marLeft w:val="0"/>
          <w:marRight w:val="0"/>
          <w:marTop w:val="0"/>
          <w:marBottom w:val="0"/>
          <w:divBdr>
            <w:top w:val="none" w:sz="0" w:space="0" w:color="auto"/>
            <w:left w:val="none" w:sz="0" w:space="0" w:color="auto"/>
            <w:bottom w:val="none" w:sz="0" w:space="0" w:color="auto"/>
            <w:right w:val="none" w:sz="0" w:space="0" w:color="auto"/>
          </w:divBdr>
          <w:divsChild>
            <w:div w:id="16276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19-CPM23.2-R-0001/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dms_pub/itu-r/md/19/wp5a/c/R19-WP5A-C-0597!N08!MSW-E.doc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e0f3c71d-4826-44df-95bf-ff191e664ac0">DPM</DPM_x0020_Author>
    <DPM_x0020_File_x0020_name xmlns="e0f3c71d-4826-44df-95bf-ff191e664ac0">R23-WRC23-C-0111!A24-A3!MSW-A</DPM_x0020_File_x0020_name>
    <DPM_x0020_Version xmlns="e0f3c71d-4826-44df-95bf-ff191e664ac0">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f3c71d-4826-44df-95bf-ff191e664ac0" targetNamespace="http://schemas.microsoft.com/office/2006/metadata/properties" ma:root="true" ma:fieldsID="d41af5c836d734370eb92e7ee5f83852" ns2:_="" ns3:_="">
    <xsd:import namespace="996b2e75-67fd-4955-a3b0-5ab9934cb50b"/>
    <xsd:import namespace="e0f3c71d-4826-44df-95bf-ff191e664a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f3c71d-4826-44df-95bf-ff191e664a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0f3c71d-4826-44df-95bf-ff191e664ac0"/>
  </ds:schemaRefs>
</ds:datastoreItem>
</file>

<file path=customXml/itemProps4.xml><?xml version="1.0" encoding="utf-8"?>
<ds:datastoreItem xmlns:ds="http://schemas.openxmlformats.org/officeDocument/2006/customXml" ds:itemID="{D5F981EE-139C-49DC-9A46-29A7F1377588}">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f3c71d-4826-44df-95bf-ff191e664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R23-WRC23-C-0111!A24-A3!MSW-A</vt:lpstr>
    </vt:vector>
  </TitlesOfParts>
  <Manager>General Secretariat - Pool</Manager>
  <Company>International Telecommunication Union (ITU)</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R23-WRC23-C-0111!A24-A3!MSW-A</dc:title>
  <dc:creator>Documents Proposals Manager (DPM)</dc:creator>
  <cp:keywords>DPM_v2023.8.1.1_prod</cp:keywords>
  <cp:lastModifiedBy>Arabic-IR</cp:lastModifiedBy>
  <cp:revision>5</cp:revision>
  <cp:lastPrinted>2020-08-11T14:28:00Z</cp:lastPrinted>
  <dcterms:created xsi:type="dcterms:W3CDTF">2023-11-17T19:12:00Z</dcterms:created>
  <dcterms:modified xsi:type="dcterms:W3CDTF">2023-11-20T06:22:00Z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