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A5018" w14:paraId="6ED8D2F5" w14:textId="77777777" w:rsidTr="004C6D0B">
        <w:trPr>
          <w:cantSplit/>
        </w:trPr>
        <w:tc>
          <w:tcPr>
            <w:tcW w:w="1418" w:type="dxa"/>
            <w:vAlign w:val="center"/>
          </w:tcPr>
          <w:p w14:paraId="6E4DC310" w14:textId="77777777" w:rsidR="004C6D0B" w:rsidRPr="00DA501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A5018">
              <w:rPr>
                <w:noProof/>
              </w:rPr>
              <w:drawing>
                <wp:inline distT="0" distB="0" distL="0" distR="0" wp14:anchorId="5E55B759" wp14:editId="1967ADF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8412C9B" w14:textId="77777777" w:rsidR="004C6D0B" w:rsidRPr="00DA501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A501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A501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7591073" w14:textId="77777777" w:rsidR="004C6D0B" w:rsidRPr="00DA501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A5018">
              <w:rPr>
                <w:noProof/>
              </w:rPr>
              <w:drawing>
                <wp:inline distT="0" distB="0" distL="0" distR="0" wp14:anchorId="3988E3DF" wp14:editId="539ABC6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A5018" w14:paraId="67D0051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F21F047" w14:textId="77777777" w:rsidR="005651C9" w:rsidRPr="00DA501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40B7D3B" w14:textId="77777777" w:rsidR="005651C9" w:rsidRPr="00DA501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A5018" w14:paraId="3C19C59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25F45B4" w14:textId="77777777" w:rsidR="005651C9" w:rsidRPr="00DA501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C01CCC8" w14:textId="77777777" w:rsidR="005651C9" w:rsidRPr="00DA501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A5018" w14:paraId="42EC0D5F" w14:textId="77777777" w:rsidTr="001226EC">
        <w:trPr>
          <w:cantSplit/>
        </w:trPr>
        <w:tc>
          <w:tcPr>
            <w:tcW w:w="6771" w:type="dxa"/>
            <w:gridSpan w:val="2"/>
          </w:tcPr>
          <w:p w14:paraId="43BDD66C" w14:textId="77777777" w:rsidR="005651C9" w:rsidRPr="00DA501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A501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4D7B949" w14:textId="77777777" w:rsidR="005651C9" w:rsidRPr="00DA501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A501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DA501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111(Add.24)</w:t>
            </w:r>
            <w:r w:rsidR="005651C9" w:rsidRPr="00DA501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A501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A5018" w14:paraId="35DBAE51" w14:textId="77777777" w:rsidTr="001226EC">
        <w:trPr>
          <w:cantSplit/>
        </w:trPr>
        <w:tc>
          <w:tcPr>
            <w:tcW w:w="6771" w:type="dxa"/>
            <w:gridSpan w:val="2"/>
          </w:tcPr>
          <w:p w14:paraId="74C9C5E8" w14:textId="77777777" w:rsidR="000F33D8" w:rsidRPr="00DA50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BBA51A9" w14:textId="77777777" w:rsidR="000F33D8" w:rsidRPr="00DA50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5018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DA5018" w14:paraId="45947F01" w14:textId="77777777" w:rsidTr="001226EC">
        <w:trPr>
          <w:cantSplit/>
        </w:trPr>
        <w:tc>
          <w:tcPr>
            <w:tcW w:w="6771" w:type="dxa"/>
            <w:gridSpan w:val="2"/>
          </w:tcPr>
          <w:p w14:paraId="47BB1EE2" w14:textId="77777777" w:rsidR="000F33D8" w:rsidRPr="00DA50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09CAC8D" w14:textId="77777777" w:rsidR="000F33D8" w:rsidRPr="00DA50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5018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DA5018" w14:paraId="616790B7" w14:textId="77777777" w:rsidTr="009546EA">
        <w:trPr>
          <w:cantSplit/>
        </w:trPr>
        <w:tc>
          <w:tcPr>
            <w:tcW w:w="10031" w:type="dxa"/>
            <w:gridSpan w:val="4"/>
          </w:tcPr>
          <w:p w14:paraId="6CD924D9" w14:textId="77777777" w:rsidR="000F33D8" w:rsidRPr="00DA501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A5018" w14:paraId="56567013" w14:textId="77777777">
        <w:trPr>
          <w:cantSplit/>
        </w:trPr>
        <w:tc>
          <w:tcPr>
            <w:tcW w:w="10031" w:type="dxa"/>
            <w:gridSpan w:val="4"/>
          </w:tcPr>
          <w:p w14:paraId="5D27AE4C" w14:textId="77777777" w:rsidR="000F33D8" w:rsidRPr="00DA501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A5018">
              <w:rPr>
                <w:szCs w:val="26"/>
              </w:rPr>
              <w:t>Китайская Народная Республика</w:t>
            </w:r>
          </w:p>
        </w:tc>
      </w:tr>
      <w:tr w:rsidR="000F33D8" w:rsidRPr="00DA5018" w14:paraId="725D7C16" w14:textId="77777777">
        <w:trPr>
          <w:cantSplit/>
        </w:trPr>
        <w:tc>
          <w:tcPr>
            <w:tcW w:w="10031" w:type="dxa"/>
            <w:gridSpan w:val="4"/>
          </w:tcPr>
          <w:p w14:paraId="4D167A45" w14:textId="55964C9F" w:rsidR="000F33D8" w:rsidRPr="00DA5018" w:rsidRDefault="0095260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A501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A5018" w14:paraId="2AF5F90E" w14:textId="77777777">
        <w:trPr>
          <w:cantSplit/>
        </w:trPr>
        <w:tc>
          <w:tcPr>
            <w:tcW w:w="10031" w:type="dxa"/>
            <w:gridSpan w:val="4"/>
          </w:tcPr>
          <w:p w14:paraId="076E3BBA" w14:textId="77777777" w:rsidR="000F33D8" w:rsidRPr="00DA501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A5018" w14:paraId="4271616B" w14:textId="77777777">
        <w:trPr>
          <w:cantSplit/>
        </w:trPr>
        <w:tc>
          <w:tcPr>
            <w:tcW w:w="10031" w:type="dxa"/>
            <w:gridSpan w:val="4"/>
          </w:tcPr>
          <w:p w14:paraId="3960678D" w14:textId="77777777" w:rsidR="000F33D8" w:rsidRPr="00DA501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A5018">
              <w:rPr>
                <w:lang w:val="ru-RU"/>
              </w:rPr>
              <w:t>Пункт 9.1(9.1-b) повестки дня</w:t>
            </w:r>
          </w:p>
        </w:tc>
      </w:tr>
    </w:tbl>
    <w:bookmarkEnd w:id="7"/>
    <w:p w14:paraId="12B30D81" w14:textId="77777777" w:rsidR="0046501A" w:rsidRPr="00DA5018" w:rsidRDefault="00E055CE" w:rsidP="0010047E">
      <w:r w:rsidRPr="00DA5018">
        <w:t>9</w:t>
      </w:r>
      <w:r w:rsidRPr="00DA5018">
        <w:tab/>
        <w:t>рассмотреть и утвердить Отчет Директора Бюро радиосвязи в соответствии со Статьей 7 Конвенции МСЭ;</w:t>
      </w:r>
    </w:p>
    <w:p w14:paraId="7A19DA36" w14:textId="77777777" w:rsidR="0046501A" w:rsidRPr="00DA5018" w:rsidRDefault="00E055CE" w:rsidP="008639B9">
      <w:r w:rsidRPr="00DA5018">
        <w:t>9.1</w:t>
      </w:r>
      <w:r w:rsidRPr="00DA5018">
        <w:tab/>
        <w:t>о деятельности Сектора радиосвязи МСЭ в период после ВКР-19:</w:t>
      </w:r>
    </w:p>
    <w:p w14:paraId="4CD54D57" w14:textId="77777777" w:rsidR="0046501A" w:rsidRPr="00DA5018" w:rsidRDefault="00E055CE" w:rsidP="009A2048">
      <w:pPr>
        <w:rPr>
          <w:bCs/>
          <w:lang w:eastAsia="nl-NL"/>
        </w:rPr>
      </w:pPr>
      <w:r w:rsidRPr="00DA5018">
        <w:t>(9.1-b)</w:t>
      </w:r>
      <w:r w:rsidRPr="00DA5018">
        <w:tab/>
      </w:r>
      <w:r w:rsidRPr="00DA5018">
        <w:rPr>
          <w:lang w:eastAsia="zh-CN"/>
        </w:rPr>
        <w:t>в соответствии с Резолюцией </w:t>
      </w:r>
      <w:r w:rsidRPr="00DA5018">
        <w:rPr>
          <w:b/>
          <w:lang w:eastAsia="nl-NL"/>
        </w:rPr>
        <w:t>774 (ВКР-19)</w:t>
      </w:r>
      <w:r w:rsidRPr="00DA5018">
        <w:rPr>
          <w:lang w:eastAsia="zh-CN"/>
        </w:rPr>
        <w:t>, рассмотреть распределения любительской службе и любительской спутниковой службе в полосе частот 1240−1300 МГц, с тем чтобы определить, требуются ли дополнительные меры для обеспечения защиты радионавигационной спутниковой службы (космос-Земля), работающей в той же полосе частот</w:t>
      </w:r>
      <w:r w:rsidRPr="00DA5018">
        <w:rPr>
          <w:bCs/>
          <w:lang w:eastAsia="nl-NL"/>
        </w:rPr>
        <w:t>;</w:t>
      </w:r>
    </w:p>
    <w:p w14:paraId="2E04E909" w14:textId="77777777" w:rsidR="0046501A" w:rsidRPr="00DA5018" w:rsidRDefault="00E055CE" w:rsidP="00111906">
      <w:r w:rsidRPr="00DA5018">
        <w:t xml:space="preserve">Резолюция </w:t>
      </w:r>
      <w:r w:rsidRPr="00DA5018">
        <w:rPr>
          <w:b/>
        </w:rPr>
        <w:t>774 (ВКР-19)</w:t>
      </w:r>
      <w:r w:rsidRPr="00DA5018">
        <w:t xml:space="preserve"> </w:t>
      </w:r>
      <w:r w:rsidR="00952601" w:rsidRPr="00DA5018">
        <w:t>−</w:t>
      </w:r>
      <w:r w:rsidRPr="00DA5018">
        <w:t xml:space="preserve"> Исследования, касающиеся технических и эксплуатационных мер, которые должны применяться в полосе частот 1240−1300 МГц для обеспечения защиты радионавигационной спутниковой службы (космос-Земля)</w:t>
      </w:r>
    </w:p>
    <w:p w14:paraId="0D6CBD5D" w14:textId="77777777" w:rsidR="00111A4C" w:rsidRPr="00DA5018" w:rsidRDefault="00111A4C" w:rsidP="00952601">
      <w:pPr>
        <w:pStyle w:val="Headingb"/>
        <w:rPr>
          <w:lang w:val="ru-RU"/>
        </w:rPr>
      </w:pPr>
      <w:bookmarkStart w:id="8" w:name="OLE_LINK4"/>
      <w:r w:rsidRPr="00DA5018">
        <w:rPr>
          <w:lang w:val="ru-RU"/>
        </w:rPr>
        <w:t>Введение</w:t>
      </w:r>
    </w:p>
    <w:bookmarkEnd w:id="8"/>
    <w:p w14:paraId="1FA94A04" w14:textId="432EE499" w:rsidR="00111A4C" w:rsidRPr="00DA5018" w:rsidRDefault="008F2834" w:rsidP="00111A4C">
      <w:r w:rsidRPr="00DA5018">
        <w:t>В ходе цикла ВКР-23 Рабочая группа (РГ) 5А в сотрудничестве с РГ 4С провела исследование характеристик любительской и любительской спутниковой служб и совместимости между радионавигационной спутниковой службой (РНСС) и любительской службой (ЛС) и любительской спутниковой службой (ЛСС) в полосе частот 1240–1300</w:t>
      </w:r>
      <w:r w:rsidR="001E1BA6" w:rsidRPr="00DA5018">
        <w:t> </w:t>
      </w:r>
      <w:r w:rsidRPr="00DA5018">
        <w:t xml:space="preserve">МГц, и в рамках РГ 5А была разработана новая Рекомендация МСЭ-R M.[AS.GUIDANCE]. </w:t>
      </w:r>
      <w:r w:rsidR="002D32B7" w:rsidRPr="00DA5018">
        <w:t>Однако из-за разногласий между заинтересованными сторонами работа над новой Рекомендацией не была завершена до начала ВКР</w:t>
      </w:r>
      <w:r w:rsidR="003119F2" w:rsidRPr="00DA5018">
        <w:noBreakHyphen/>
      </w:r>
      <w:r w:rsidR="002D32B7" w:rsidRPr="00DA5018">
        <w:t>23</w:t>
      </w:r>
      <w:r w:rsidR="003119F2" w:rsidRPr="00DA5018">
        <w:t>, и она</w:t>
      </w:r>
      <w:r w:rsidR="002D32B7" w:rsidRPr="00DA5018">
        <w:t xml:space="preserve"> остается в виде предварительного проекта новой Рекомендации в рамках РГ 5A.</w:t>
      </w:r>
    </w:p>
    <w:p w14:paraId="3C893BE4" w14:textId="77777777" w:rsidR="00111A4C" w:rsidRPr="00DA5018" w:rsidRDefault="00111A4C" w:rsidP="00952601">
      <w:pPr>
        <w:pStyle w:val="Headingb"/>
        <w:rPr>
          <w:lang w:val="ru-RU"/>
        </w:rPr>
      </w:pPr>
      <w:r w:rsidRPr="00DA5018">
        <w:rPr>
          <w:lang w:val="ru-RU"/>
        </w:rPr>
        <w:t>Предложение</w:t>
      </w:r>
    </w:p>
    <w:p w14:paraId="77CB7BC2" w14:textId="7904A250" w:rsidR="00111A4C" w:rsidRPr="00DA5018" w:rsidRDefault="002D32B7" w:rsidP="00111A4C">
      <w:r w:rsidRPr="00DA5018">
        <w:t>Относительно пункта 9.1</w:t>
      </w:r>
      <w:r w:rsidR="00B72C27" w:rsidRPr="00DA5018">
        <w:t>-</w:t>
      </w:r>
      <w:r w:rsidRPr="00DA5018">
        <w:t xml:space="preserve">b повестки дня ВКР-23 настоящий проект новой Резолюции предложен администрацией Китая с учетом обсуждений, проведенных в рамках РГ 5A и РГ 4C в ходе данного исследовательского цикла. </w:t>
      </w:r>
      <w:r w:rsidR="00E30A4C" w:rsidRPr="00DA5018">
        <w:t xml:space="preserve">Следует надеяться, что эта новая Резолюция сможет обеспечить защиту РНСС </w:t>
      </w:r>
      <w:r w:rsidR="003119F2" w:rsidRPr="00DA5018">
        <w:t>при сохранении использования</w:t>
      </w:r>
      <w:r w:rsidR="00E30A4C" w:rsidRPr="00DA5018">
        <w:t xml:space="preserve"> ЛС и ЛСС в полосе частот 1240−1300 МГц.</w:t>
      </w:r>
    </w:p>
    <w:p w14:paraId="5457AAD3" w14:textId="361BF32B" w:rsidR="0046501A" w:rsidRPr="00DA5018" w:rsidRDefault="00E30A4C" w:rsidP="00111A4C">
      <w:r w:rsidRPr="00DA5018">
        <w:t>Китай предлагает следующие изменения к Регламенту радиосвязи</w:t>
      </w:r>
      <w:r w:rsidR="00111A4C" w:rsidRPr="00DA5018">
        <w:t>.</w:t>
      </w:r>
    </w:p>
    <w:p w14:paraId="4241497A" w14:textId="77777777" w:rsidR="0003535B" w:rsidRPr="00DA5018" w:rsidRDefault="0003535B" w:rsidP="00BD0D2F"/>
    <w:p w14:paraId="5DACAB94" w14:textId="77777777" w:rsidR="009B5CC2" w:rsidRPr="00DA501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A5018">
        <w:br w:type="page"/>
      </w:r>
    </w:p>
    <w:p w14:paraId="443F39F0" w14:textId="77777777" w:rsidR="00DB5832" w:rsidRPr="00211670" w:rsidRDefault="00E055CE">
      <w:pPr>
        <w:pStyle w:val="Proposal"/>
        <w:rPr>
          <w:lang w:val="en-GB"/>
        </w:rPr>
      </w:pPr>
      <w:r w:rsidRPr="00211670">
        <w:rPr>
          <w:lang w:val="en-GB"/>
        </w:rPr>
        <w:lastRenderedPageBreak/>
        <w:t>ADD</w:t>
      </w:r>
      <w:r w:rsidRPr="00211670">
        <w:rPr>
          <w:lang w:val="en-GB"/>
        </w:rPr>
        <w:tab/>
        <w:t>CHN/</w:t>
      </w:r>
      <w:proofErr w:type="spellStart"/>
      <w:r w:rsidRPr="00211670">
        <w:rPr>
          <w:lang w:val="en-GB"/>
        </w:rPr>
        <w:t>111A24A2</w:t>
      </w:r>
      <w:proofErr w:type="spellEnd"/>
      <w:r w:rsidRPr="00211670">
        <w:rPr>
          <w:lang w:val="en-GB"/>
        </w:rPr>
        <w:t>/</w:t>
      </w:r>
      <w:proofErr w:type="gramStart"/>
      <w:r w:rsidRPr="00211670">
        <w:rPr>
          <w:lang w:val="en-GB"/>
        </w:rPr>
        <w:t>1</w:t>
      </w:r>
      <w:proofErr w:type="gramEnd"/>
    </w:p>
    <w:p w14:paraId="489E789D" w14:textId="410C5B15" w:rsidR="00DB5832" w:rsidRPr="00211670" w:rsidRDefault="00E055CE">
      <w:pPr>
        <w:pStyle w:val="ResNo"/>
        <w:rPr>
          <w:lang w:val="en-GB"/>
        </w:rPr>
      </w:pPr>
      <w:r w:rsidRPr="00DA5018">
        <w:t>Проект</w:t>
      </w:r>
      <w:r w:rsidRPr="00211670">
        <w:rPr>
          <w:lang w:val="en-GB"/>
        </w:rPr>
        <w:t xml:space="preserve"> </w:t>
      </w:r>
      <w:r w:rsidRPr="00DA5018">
        <w:t>новой</w:t>
      </w:r>
      <w:r w:rsidRPr="00211670">
        <w:rPr>
          <w:lang w:val="en-GB"/>
        </w:rPr>
        <w:t xml:space="preserve"> </w:t>
      </w:r>
      <w:r w:rsidRPr="00DA5018">
        <w:t>Резолюции</w:t>
      </w:r>
      <w:r w:rsidR="00E30A4C" w:rsidRPr="00211670">
        <w:rPr>
          <w:lang w:val="en-GB"/>
        </w:rPr>
        <w:t xml:space="preserve"> </w:t>
      </w:r>
      <w:r w:rsidRPr="00211670">
        <w:rPr>
          <w:lang w:val="en-GB"/>
        </w:rPr>
        <w:t>[CHN/</w:t>
      </w:r>
      <w:proofErr w:type="spellStart"/>
      <w:r w:rsidR="002B1996" w:rsidRPr="00211670">
        <w:rPr>
          <w:lang w:val="en-GB"/>
        </w:rPr>
        <w:t>A91</w:t>
      </w:r>
      <w:proofErr w:type="spellEnd"/>
      <w:r w:rsidR="002B1996" w:rsidRPr="00211670">
        <w:rPr>
          <w:lang w:val="en-GB"/>
        </w:rPr>
        <w:t>-b/AS MEASURES</w:t>
      </w:r>
      <w:r w:rsidRPr="00211670">
        <w:rPr>
          <w:lang w:val="en-GB"/>
        </w:rPr>
        <w:t>]</w:t>
      </w:r>
      <w:r w:rsidR="002B1996" w:rsidRPr="00211670">
        <w:rPr>
          <w:lang w:val="en-GB"/>
        </w:rPr>
        <w:t xml:space="preserve"> (</w:t>
      </w:r>
      <w:r w:rsidR="002B1996" w:rsidRPr="00DA5018">
        <w:t>ВКР</w:t>
      </w:r>
      <w:r w:rsidR="002B1996" w:rsidRPr="00211670">
        <w:rPr>
          <w:lang w:val="en-GB"/>
        </w:rPr>
        <w:t>-23)</w:t>
      </w:r>
    </w:p>
    <w:p w14:paraId="0286035E" w14:textId="28DD852C" w:rsidR="00DB5832" w:rsidRPr="00DA5018" w:rsidRDefault="00443D4B" w:rsidP="00952601">
      <w:pPr>
        <w:pStyle w:val="Restitle"/>
      </w:pPr>
      <w:r w:rsidRPr="00DA5018">
        <w:t>Технические и эксплуатационные меры по использованию полосы частот 1240</w:t>
      </w:r>
      <w:r w:rsidR="003119F2" w:rsidRPr="00DA5018">
        <w:rPr>
          <w:rFonts w:cs="Times New Roman Bold"/>
        </w:rPr>
        <w:t>−</w:t>
      </w:r>
      <w:r w:rsidRPr="00DA5018">
        <w:t>1300 МГц любительской и любительской спутниковой службой, предназначенны</w:t>
      </w:r>
      <w:r w:rsidR="00C5396E" w:rsidRPr="00DA5018">
        <w:t>е</w:t>
      </w:r>
      <w:r w:rsidRPr="00DA5018">
        <w:t xml:space="preserve"> для защиты радионавигационной</w:t>
      </w:r>
      <w:r w:rsidR="00264979" w:rsidRPr="00DA5018">
        <w:br/>
      </w:r>
      <w:r w:rsidRPr="00DA5018">
        <w:t>спутниковой службы (космос-Земля)</w:t>
      </w:r>
    </w:p>
    <w:p w14:paraId="6A3BE8F0" w14:textId="77777777" w:rsidR="00DB5832" w:rsidRPr="00DA5018" w:rsidRDefault="002B1996">
      <w:pPr>
        <w:pStyle w:val="Normalaftertitle"/>
      </w:pPr>
      <w:r w:rsidRPr="00DA5018">
        <w:t>Всемирная конференция радиосвязи (Дубай, 2023 г.),</w:t>
      </w:r>
    </w:p>
    <w:p w14:paraId="17643D72" w14:textId="77777777" w:rsidR="002B1996" w:rsidRPr="00DA5018" w:rsidRDefault="002B1996" w:rsidP="002B1996">
      <w:pPr>
        <w:pStyle w:val="Call"/>
      </w:pPr>
      <w:r w:rsidRPr="00DA5018">
        <w:t>учитывая</w:t>
      </w:r>
      <w:r w:rsidRPr="00DA5018">
        <w:rPr>
          <w:i w:val="0"/>
        </w:rPr>
        <w:t>,</w:t>
      </w:r>
    </w:p>
    <w:p w14:paraId="7B960B5D" w14:textId="77777777" w:rsidR="002B1996" w:rsidRPr="00DA5018" w:rsidRDefault="002B1996" w:rsidP="002B1996">
      <w:pPr>
        <w:textAlignment w:val="auto"/>
      </w:pPr>
      <w:r w:rsidRPr="00DA5018">
        <w:rPr>
          <w:bCs/>
          <w:i/>
        </w:rPr>
        <w:t>a)</w:t>
      </w:r>
      <w:r w:rsidRPr="00DA5018">
        <w:rPr>
          <w:b/>
          <w:bCs/>
        </w:rPr>
        <w:tab/>
      </w:r>
      <w:r w:rsidRPr="00DA5018">
        <w:t>что МСР разрабатывает, ведет и публикует подробные планы частот для работы и развития любительской и любительской спутниковой служб во всех трех Районах;</w:t>
      </w:r>
    </w:p>
    <w:p w14:paraId="463EDD87" w14:textId="38CB31C2" w:rsidR="002B1996" w:rsidRPr="00DA5018" w:rsidRDefault="002B1996" w:rsidP="002B1996">
      <w:pPr>
        <w:textAlignment w:val="auto"/>
      </w:pPr>
      <w:r w:rsidRPr="00DA5018">
        <w:rPr>
          <w:i/>
        </w:rPr>
        <w:t>b)</w:t>
      </w:r>
      <w:r w:rsidRPr="00DA5018">
        <w:rPr>
          <w:i/>
        </w:rPr>
        <w:tab/>
      </w:r>
      <w:r w:rsidRPr="00DA5018">
        <w:rPr>
          <w:iCs/>
        </w:rPr>
        <w:t>что в Отчете</w:t>
      </w:r>
      <w:r w:rsidRPr="00DA5018">
        <w:rPr>
          <w:i/>
        </w:rPr>
        <w:t xml:space="preserve"> </w:t>
      </w:r>
      <w:r w:rsidRPr="00DA5018">
        <w:t xml:space="preserve">МСЭ-R M.[AMATEUR.CHARACTERISTICS] представлена информация о применениях и эксплуатационных характеристиках любительской и любительской спутниковой служб в контексте использования полосы </w:t>
      </w:r>
      <w:r w:rsidRPr="00DA5018">
        <w:rPr>
          <w:bCs/>
        </w:rPr>
        <w:t>1240−1300 МГц;</w:t>
      </w:r>
    </w:p>
    <w:p w14:paraId="74C56FDD" w14:textId="6640AC20" w:rsidR="002B1996" w:rsidRPr="00DA5018" w:rsidRDefault="002B1996" w:rsidP="002B1996">
      <w:pPr>
        <w:textAlignment w:val="auto"/>
      </w:pPr>
      <w:r w:rsidRPr="00DA5018">
        <w:rPr>
          <w:bCs/>
          <w:i/>
        </w:rPr>
        <w:t>c)</w:t>
      </w:r>
      <w:r w:rsidRPr="00DA5018">
        <w:rPr>
          <w:bCs/>
        </w:rPr>
        <w:tab/>
        <w:t xml:space="preserve">что в Отчете </w:t>
      </w:r>
      <w:hyperlink r:id="rId13" w:history="1">
        <w:r w:rsidRPr="00DA5018">
          <w:rPr>
            <w:color w:val="0000FF" w:themeColor="hyperlink"/>
            <w:u w:val="single"/>
          </w:rPr>
          <w:t>МСЭ-R M.2513-0</w:t>
        </w:r>
      </w:hyperlink>
      <w:r w:rsidRPr="00DA5018">
        <w:t xml:space="preserve"> описаны исследования и измерения, проведенные в отношении передач любительской и любительской спутниковой служб и их потенциала к созданию вредных помех РНСС (космос-Земля), которые при определенных обстоятельствах могут превышать критерии защиты, установленные в Рекомендации</w:t>
      </w:r>
      <w:r w:rsidRPr="00DA5018">
        <w:rPr>
          <w:lang w:eastAsia="ja-JP"/>
        </w:rPr>
        <w:t xml:space="preserve"> </w:t>
      </w:r>
      <w:hyperlink r:id="rId14" w:history="1">
        <w:r w:rsidRPr="00DA5018">
          <w:rPr>
            <w:color w:val="0000FF" w:themeColor="hyperlink"/>
            <w:u w:val="single"/>
          </w:rPr>
          <w:t>МСЭ-R M.1902-2</w:t>
        </w:r>
      </w:hyperlink>
      <w:r w:rsidRPr="00DA5018">
        <w:t>;</w:t>
      </w:r>
    </w:p>
    <w:p w14:paraId="556159BC" w14:textId="5A1840DC" w:rsidR="002B1996" w:rsidRPr="00DA5018" w:rsidRDefault="002B1996" w:rsidP="002B1996">
      <w:pPr>
        <w:textAlignment w:val="auto"/>
        <w:rPr>
          <w:bCs/>
        </w:rPr>
      </w:pPr>
      <w:r w:rsidRPr="00DA5018">
        <w:rPr>
          <w:i/>
        </w:rPr>
        <w:t>d)</w:t>
      </w:r>
      <w:r w:rsidRPr="00DA5018">
        <w:rPr>
          <w:b/>
          <w:bCs/>
        </w:rPr>
        <w:tab/>
      </w:r>
      <w:r w:rsidRPr="00DA5018">
        <w:t xml:space="preserve">что в Рекомендации </w:t>
      </w:r>
      <w:hyperlink r:id="rId15" w:history="1">
        <w:r w:rsidRPr="00DA5018">
          <w:rPr>
            <w:color w:val="0000FF" w:themeColor="hyperlink"/>
            <w:u w:val="single"/>
          </w:rPr>
          <w:t>МСЭ-R M.1902-2</w:t>
        </w:r>
      </w:hyperlink>
      <w:r w:rsidRPr="00DA5018">
        <w:rPr>
          <w:bCs/>
        </w:rPr>
        <w:t xml:space="preserve"> </w:t>
      </w:r>
      <w:r w:rsidRPr="00DA5018">
        <w:t xml:space="preserve">представлены характеристики и критерии защиты для приемников радионавигационной спутниковой службы (космос-Земля), работающих в полосе </w:t>
      </w:r>
      <w:r w:rsidRPr="00DA5018">
        <w:rPr>
          <w:bCs/>
        </w:rPr>
        <w:t>1215−1300 МГц;</w:t>
      </w:r>
    </w:p>
    <w:p w14:paraId="12BC633B" w14:textId="77777777" w:rsidR="002B1996" w:rsidRPr="00DA5018" w:rsidRDefault="002B1996" w:rsidP="002B1996">
      <w:pPr>
        <w:textAlignment w:val="auto"/>
        <w:rPr>
          <w:bCs/>
        </w:rPr>
      </w:pPr>
      <w:r w:rsidRPr="00DA5018">
        <w:rPr>
          <w:i/>
        </w:rPr>
        <w:t>e)</w:t>
      </w:r>
      <w:r w:rsidRPr="00DA5018">
        <w:rPr>
          <w:b/>
          <w:bCs/>
        </w:rPr>
        <w:tab/>
      </w:r>
      <w:r w:rsidRPr="00DA5018">
        <w:rPr>
          <w:bCs/>
        </w:rPr>
        <w:t>что системы РНСС, использующие полосу частот 1240−1300 МГц, находятся в эксплуатации или вводятся в эксплуатацию в различных частях мира для поддержки широкого круга новых применений для</w:t>
      </w:r>
      <w:r w:rsidR="00193512" w:rsidRPr="00DA5018">
        <w:rPr>
          <w:bCs/>
        </w:rPr>
        <w:t xml:space="preserve"> спутникового позиционирования,</w:t>
      </w:r>
    </w:p>
    <w:p w14:paraId="6037916B" w14:textId="77777777" w:rsidR="00193512" w:rsidRPr="00DA5018" w:rsidRDefault="00193512" w:rsidP="00193512">
      <w:pPr>
        <w:pStyle w:val="Call"/>
      </w:pPr>
      <w:r w:rsidRPr="00DA5018">
        <w:t>признавая</w:t>
      </w:r>
      <w:r w:rsidRPr="00DA5018">
        <w:rPr>
          <w:i w:val="0"/>
        </w:rPr>
        <w:t>,</w:t>
      </w:r>
    </w:p>
    <w:p w14:paraId="4ED29E8C" w14:textId="6F7D0DB6" w:rsidR="00193512" w:rsidRPr="00DA5018" w:rsidRDefault="00193512" w:rsidP="00193512">
      <w:pPr>
        <w:textAlignment w:val="auto"/>
        <w:rPr>
          <w:i/>
        </w:rPr>
      </w:pPr>
      <w:r w:rsidRPr="00DA5018">
        <w:rPr>
          <w:i/>
        </w:rPr>
        <w:t>a)</w:t>
      </w:r>
      <w:r w:rsidRPr="00DA5018">
        <w:rPr>
          <w:i/>
        </w:rPr>
        <w:tab/>
      </w:r>
      <w:r w:rsidRPr="00DA5018">
        <w:rPr>
          <w:iCs/>
        </w:rPr>
        <w:t>что полоса частот</w:t>
      </w:r>
      <w:r w:rsidRPr="00DA5018">
        <w:rPr>
          <w:i/>
        </w:rPr>
        <w:t xml:space="preserve"> </w:t>
      </w:r>
      <w:r w:rsidRPr="00DA5018">
        <w:t>1240−1300 МГц распределена радионавигационной спутниковой службе (космос-Земля и космос-космос) на первичной основе;</w:t>
      </w:r>
    </w:p>
    <w:p w14:paraId="01193130" w14:textId="2B83FE7F" w:rsidR="00193512" w:rsidRPr="00DA5018" w:rsidRDefault="00193512" w:rsidP="00193512">
      <w:pPr>
        <w:textAlignment w:val="auto"/>
      </w:pPr>
      <w:r w:rsidRPr="00DA5018">
        <w:rPr>
          <w:i/>
        </w:rPr>
        <w:t>b)</w:t>
      </w:r>
      <w:r w:rsidRPr="00DA5018">
        <w:rPr>
          <w:i/>
        </w:rPr>
        <w:tab/>
      </w:r>
      <w:r w:rsidRPr="00DA5018">
        <w:rPr>
          <w:iCs/>
        </w:rPr>
        <w:t>что полоса частот</w:t>
      </w:r>
      <w:r w:rsidRPr="00DA5018">
        <w:rPr>
          <w:i/>
        </w:rPr>
        <w:t xml:space="preserve"> </w:t>
      </w:r>
      <w:r w:rsidRPr="00DA5018">
        <w:t>1240−1300 МГц также распределена любительской службе на вторичной основе;</w:t>
      </w:r>
    </w:p>
    <w:p w14:paraId="3E80A720" w14:textId="4F1F0175" w:rsidR="00193512" w:rsidRPr="00DA5018" w:rsidRDefault="00193512" w:rsidP="00193512">
      <w:pPr>
        <w:textAlignment w:val="auto"/>
      </w:pPr>
      <w:r w:rsidRPr="00DA5018">
        <w:rPr>
          <w:i/>
          <w:iCs/>
        </w:rPr>
        <w:t>c)</w:t>
      </w:r>
      <w:r w:rsidRPr="00DA5018">
        <w:tab/>
        <w:t xml:space="preserve">что в соответствии с </w:t>
      </w:r>
      <w:r w:rsidR="003A4A7E" w:rsidRPr="00DA5018">
        <w:t xml:space="preserve">положениями </w:t>
      </w:r>
      <w:r w:rsidRPr="00DA5018">
        <w:t>п. </w:t>
      </w:r>
      <w:r w:rsidRPr="00DA5018">
        <w:rPr>
          <w:b/>
          <w:bCs/>
        </w:rPr>
        <w:t>5.282</w:t>
      </w:r>
      <w:r w:rsidRPr="00DA5018">
        <w:t xml:space="preserve"> любительская спутниковая служба (Земля</w:t>
      </w:r>
      <w:r w:rsidR="005D0BA0" w:rsidRPr="00DA5018">
        <w:noBreakHyphen/>
      </w:r>
      <w:r w:rsidRPr="00DA5018">
        <w:t xml:space="preserve">космос) может работать в полосе частот </w:t>
      </w:r>
      <w:r w:rsidRPr="00DA5018">
        <w:rPr>
          <w:rFonts w:eastAsia="SimSun"/>
          <w:lang w:eastAsia="zh-CN"/>
        </w:rPr>
        <w:t>1260−1270 МГц</w:t>
      </w:r>
      <w:r w:rsidRPr="00DA5018">
        <w:t>;</w:t>
      </w:r>
    </w:p>
    <w:p w14:paraId="6898424D" w14:textId="3D289496" w:rsidR="00193512" w:rsidRPr="00DA5018" w:rsidRDefault="00193512" w:rsidP="00193512">
      <w:pPr>
        <w:textAlignment w:val="auto"/>
      </w:pPr>
      <w:r w:rsidRPr="00DA5018">
        <w:rPr>
          <w:i/>
          <w:iCs/>
        </w:rPr>
        <w:t>d)</w:t>
      </w:r>
      <w:r w:rsidRPr="00DA5018">
        <w:tab/>
      </w:r>
      <w:r w:rsidRPr="00DA5018">
        <w:rPr>
          <w:iCs/>
        </w:rPr>
        <w:t>что полоса частот</w:t>
      </w:r>
      <w:r w:rsidRPr="00DA5018">
        <w:rPr>
          <w:i/>
        </w:rPr>
        <w:t xml:space="preserve"> </w:t>
      </w:r>
      <w:r w:rsidRPr="00DA5018">
        <w:t xml:space="preserve">1240−1300 МГц также распределена во всем мире спутниковой службе исследования Земли (активной), радиолокационной службе (применяется п. </w:t>
      </w:r>
      <w:r w:rsidRPr="00DA5018">
        <w:rPr>
          <w:b/>
          <w:bCs/>
        </w:rPr>
        <w:t>5.329</w:t>
      </w:r>
      <w:r w:rsidRPr="00DA5018">
        <w:t>) и службе космических исследований (активной) на первичной основе;</w:t>
      </w:r>
    </w:p>
    <w:p w14:paraId="34347ACF" w14:textId="390F448C" w:rsidR="00193512" w:rsidRPr="00DA5018" w:rsidRDefault="00193512" w:rsidP="00193512">
      <w:pPr>
        <w:textAlignment w:val="auto"/>
        <w:rPr>
          <w:i/>
          <w:iCs/>
        </w:rPr>
      </w:pPr>
      <w:r w:rsidRPr="00DA5018">
        <w:rPr>
          <w:i/>
          <w:iCs/>
        </w:rPr>
        <w:t>e)</w:t>
      </w:r>
      <w:r w:rsidRPr="00DA5018">
        <w:rPr>
          <w:i/>
          <w:iCs/>
        </w:rPr>
        <w:tab/>
      </w:r>
      <w:r w:rsidRPr="00DA5018">
        <w:t xml:space="preserve">что </w:t>
      </w:r>
      <w:r w:rsidRPr="00DA5018">
        <w:rPr>
          <w:spacing w:val="-4"/>
        </w:rPr>
        <w:t>в некоторых странах</w:t>
      </w:r>
      <w:r w:rsidRPr="00DA5018">
        <w:t xml:space="preserve"> полоса частот </w:t>
      </w:r>
      <w:r w:rsidRPr="00DA5018">
        <w:rPr>
          <w:spacing w:val="-4"/>
        </w:rPr>
        <w:t xml:space="preserve">1215−1300 МГц также распределена дополнительным службам в соответствии с п. </w:t>
      </w:r>
      <w:r w:rsidRPr="00DA5018">
        <w:rPr>
          <w:b/>
          <w:bCs/>
        </w:rPr>
        <w:t>5.330</w:t>
      </w:r>
      <w:r w:rsidRPr="00DA5018">
        <w:t xml:space="preserve"> (фиксированной и подвижной службам) и п.</w:t>
      </w:r>
      <w:r w:rsidRPr="00DA5018">
        <w:rPr>
          <w:b/>
          <w:bCs/>
          <w:spacing w:val="-4"/>
        </w:rPr>
        <w:t> 5.331</w:t>
      </w:r>
      <w:r w:rsidRPr="00DA5018">
        <w:rPr>
          <w:spacing w:val="-4"/>
        </w:rPr>
        <w:t xml:space="preserve"> (радионавигационной службе);</w:t>
      </w:r>
    </w:p>
    <w:p w14:paraId="5C58342F" w14:textId="19C57C6A" w:rsidR="00193512" w:rsidRPr="00DA5018" w:rsidRDefault="00193512" w:rsidP="00193512">
      <w:pPr>
        <w:textAlignment w:val="auto"/>
      </w:pPr>
      <w:r w:rsidRPr="00DA5018">
        <w:rPr>
          <w:i/>
          <w:iCs/>
        </w:rPr>
        <w:t>f)</w:t>
      </w:r>
      <w:r w:rsidRPr="00DA5018">
        <w:tab/>
        <w:t xml:space="preserve">что в соответствии с пп. </w:t>
      </w:r>
      <w:r w:rsidRPr="00DA5018">
        <w:rPr>
          <w:b/>
          <w:bCs/>
        </w:rPr>
        <w:t>1.56</w:t>
      </w:r>
      <w:r w:rsidRPr="00DA5018">
        <w:t xml:space="preserve"> и </w:t>
      </w:r>
      <w:r w:rsidRPr="00DA5018">
        <w:rPr>
          <w:b/>
          <w:bCs/>
        </w:rPr>
        <w:t>1.57</w:t>
      </w:r>
      <w:r w:rsidRPr="00DA5018">
        <w:t xml:space="preserve"> любительская и любительская спутниковая службы постоянно расширяют использование полосы частот 1240−1300 МГц;</w:t>
      </w:r>
    </w:p>
    <w:p w14:paraId="3ED6D8E0" w14:textId="5AC8D9B3" w:rsidR="00193512" w:rsidRPr="00DA5018" w:rsidRDefault="00193512" w:rsidP="00193512">
      <w:pPr>
        <w:textAlignment w:val="auto"/>
        <w:rPr>
          <w:b/>
          <w:bCs/>
        </w:rPr>
      </w:pPr>
      <w:r w:rsidRPr="00DA5018">
        <w:rPr>
          <w:i/>
          <w:iCs/>
        </w:rPr>
        <w:t>g)</w:t>
      </w:r>
      <w:r w:rsidRPr="00DA5018">
        <w:tab/>
        <w:t>что в соответствии с п. </w:t>
      </w:r>
      <w:r w:rsidRPr="00DA5018">
        <w:rPr>
          <w:b/>
          <w:bCs/>
        </w:rPr>
        <w:t>25.7</w:t>
      </w:r>
      <w:r w:rsidRPr="00DA5018">
        <w:t xml:space="preserve"> максимальная мощность любительских станций устанавливается заинтересованными администрациями;</w:t>
      </w:r>
    </w:p>
    <w:p w14:paraId="534ACF22" w14:textId="77777777" w:rsidR="00193512" w:rsidRPr="00DA5018" w:rsidRDefault="00193512" w:rsidP="00193512">
      <w:pPr>
        <w:textAlignment w:val="auto"/>
      </w:pPr>
      <w:r w:rsidRPr="00DA5018">
        <w:rPr>
          <w:i/>
          <w:iCs/>
        </w:rPr>
        <w:t>h)</w:t>
      </w:r>
      <w:r w:rsidRPr="00DA5018">
        <w:tab/>
        <w:t xml:space="preserve">что администрации, выдающие лицензии станциям любительской и любительской спутниковой служб и присваивающие соответствующие частоты, несут ответственность за </w:t>
      </w:r>
      <w:r w:rsidRPr="00DA5018">
        <w:lastRenderedPageBreak/>
        <w:t>соблюдение этими станциями применимых положений РР, особенно в части защиты первичных служб других заинтересованных администраций;</w:t>
      </w:r>
    </w:p>
    <w:p w14:paraId="77F9294F" w14:textId="71CD403F" w:rsidR="00193512" w:rsidRPr="00DA5018" w:rsidRDefault="00193512" w:rsidP="00193512">
      <w:pPr>
        <w:textAlignment w:val="auto"/>
        <w:rPr>
          <w:i/>
          <w:iCs/>
        </w:rPr>
      </w:pPr>
      <w:r w:rsidRPr="00DA5018">
        <w:rPr>
          <w:i/>
          <w:iCs/>
        </w:rPr>
        <w:t>i)</w:t>
      </w:r>
      <w:r w:rsidRPr="00DA5018">
        <w:rPr>
          <w:i/>
          <w:iCs/>
        </w:rPr>
        <w:tab/>
      </w:r>
      <w:r w:rsidRPr="00DA5018">
        <w:t>что на случай создания вредных помех приемникам РНСС передатчиками любительской и любительской спутниковой служб в положениях Статьи </w:t>
      </w:r>
      <w:r w:rsidRPr="00DA5018">
        <w:rPr>
          <w:b/>
          <w:bCs/>
        </w:rPr>
        <w:t>15</w:t>
      </w:r>
      <w:r w:rsidRPr="00DA5018">
        <w:t xml:space="preserve"> предусмотрены обязательства администраций и соответствующие процедуры по урегулированию таких случаев вредных помех,</w:t>
      </w:r>
    </w:p>
    <w:p w14:paraId="2CB2B35C" w14:textId="77777777" w:rsidR="00193512" w:rsidRPr="00DA5018" w:rsidRDefault="00193512" w:rsidP="00952601">
      <w:pPr>
        <w:pStyle w:val="Call"/>
      </w:pPr>
      <w:r w:rsidRPr="00DA5018">
        <w:t>отмечая</w:t>
      </w:r>
      <w:r w:rsidR="00952601" w:rsidRPr="00DA5018">
        <w:rPr>
          <w:i w:val="0"/>
        </w:rPr>
        <w:t>,</w:t>
      </w:r>
    </w:p>
    <w:p w14:paraId="5E97AD68" w14:textId="632C6348" w:rsidR="00193512" w:rsidRPr="00DA5018" w:rsidRDefault="00193512" w:rsidP="00193512">
      <w:pPr>
        <w:contextualSpacing/>
        <w:textAlignment w:val="auto"/>
      </w:pPr>
      <w:r w:rsidRPr="00DA5018">
        <w:t xml:space="preserve">что с учетом пунктов </w:t>
      </w:r>
      <w:r w:rsidRPr="00DA5018">
        <w:rPr>
          <w:i/>
          <w:iCs/>
        </w:rPr>
        <w:t>a)</w:t>
      </w:r>
      <w:r w:rsidRPr="00DA5018">
        <w:t xml:space="preserve">, </w:t>
      </w:r>
      <w:r w:rsidRPr="00DA5018">
        <w:rPr>
          <w:i/>
          <w:iCs/>
        </w:rPr>
        <w:t>b)</w:t>
      </w:r>
      <w:r w:rsidRPr="00DA5018">
        <w:t xml:space="preserve">, </w:t>
      </w:r>
      <w:r w:rsidRPr="00DA5018">
        <w:rPr>
          <w:i/>
          <w:iCs/>
        </w:rPr>
        <w:t>c)</w:t>
      </w:r>
      <w:r w:rsidRPr="00DA5018">
        <w:t xml:space="preserve">, </w:t>
      </w:r>
      <w:r w:rsidRPr="00DA5018">
        <w:rPr>
          <w:i/>
          <w:iCs/>
        </w:rPr>
        <w:t>h)</w:t>
      </w:r>
      <w:r w:rsidRPr="00DA5018">
        <w:t xml:space="preserve"> и </w:t>
      </w:r>
      <w:r w:rsidRPr="00DA5018">
        <w:rPr>
          <w:i/>
          <w:iCs/>
        </w:rPr>
        <w:t xml:space="preserve">i) </w:t>
      </w:r>
      <w:r w:rsidRPr="00DA5018">
        <w:t xml:space="preserve">раздела </w:t>
      </w:r>
      <w:r w:rsidRPr="00DA5018">
        <w:rPr>
          <w:i/>
          <w:iCs/>
        </w:rPr>
        <w:t>признавая</w:t>
      </w:r>
      <w:r w:rsidRPr="00DA5018">
        <w:t xml:space="preserve">, выше, некоторые администрации считают, что для обеспечения защиты РНСС могут </w:t>
      </w:r>
      <w:r w:rsidR="00101EAE" w:rsidRPr="00DA5018">
        <w:t xml:space="preserve">потребоваться </w:t>
      </w:r>
      <w:r w:rsidRPr="00DA5018">
        <w:t xml:space="preserve">дополнительные меры помимо тех, которые описаны в </w:t>
      </w:r>
      <w:r w:rsidR="003119F2" w:rsidRPr="00DA5018">
        <w:t>Дополнении</w:t>
      </w:r>
      <w:r w:rsidRPr="00DA5018">
        <w:t xml:space="preserve"> к настоящей </w:t>
      </w:r>
      <w:r w:rsidR="00117304" w:rsidRPr="00DA5018">
        <w:t>Резолюции</w:t>
      </w:r>
      <w:r w:rsidRPr="00DA5018">
        <w:t>,</w:t>
      </w:r>
    </w:p>
    <w:p w14:paraId="7BE45894" w14:textId="77777777" w:rsidR="00193512" w:rsidRPr="00DA5018" w:rsidRDefault="00193512" w:rsidP="00193512">
      <w:pPr>
        <w:pStyle w:val="Call"/>
      </w:pPr>
      <w:r w:rsidRPr="00DA5018">
        <w:t>решает</w:t>
      </w:r>
    </w:p>
    <w:p w14:paraId="022711E4" w14:textId="1A29AE1C" w:rsidR="00193512" w:rsidRPr="00DA5018" w:rsidRDefault="00193512" w:rsidP="00193512">
      <w:pPr>
        <w:textAlignment w:val="auto"/>
      </w:pPr>
      <w:r w:rsidRPr="00DA5018">
        <w:t>1</w:t>
      </w:r>
      <w:r w:rsidRPr="00DA5018">
        <w:tab/>
        <w:t xml:space="preserve">администрациям, желающим разрешить или продолжить эксплуатацию на своей территории любительской и любительской спутниковой служб во всей полосе частот 1240−1300 МГц или ее части, использовать описанные в </w:t>
      </w:r>
      <w:r w:rsidR="003A4A7E" w:rsidRPr="00DA5018">
        <w:t>Приложении</w:t>
      </w:r>
      <w:r w:rsidR="00C5396E" w:rsidRPr="00DA5018">
        <w:t xml:space="preserve"> к настоящей Резолюции </w:t>
      </w:r>
      <w:r w:rsidRPr="00DA5018">
        <w:t>технические и эксплуатационные меры в целях обеспечения защиты РНСС (космос-Земля).</w:t>
      </w:r>
    </w:p>
    <w:p w14:paraId="2FE60F80" w14:textId="58D92452" w:rsidR="002B1996" w:rsidRPr="00DA5018" w:rsidRDefault="003A4A7E" w:rsidP="00193512">
      <w:pPr>
        <w:pStyle w:val="AnnexNo"/>
      </w:pPr>
      <w:r w:rsidRPr="00DA5018">
        <w:t>ПРИЛОЖЕНИЕ</w:t>
      </w:r>
      <w:r w:rsidR="00C5396E" w:rsidRPr="00DA5018">
        <w:t xml:space="preserve"> К ПРОЕКТУ НОВОЙ РЕЗОЛЮЦИИ </w:t>
      </w:r>
      <w:r w:rsidR="005D0BA0" w:rsidRPr="00DA5018">
        <w:br/>
      </w:r>
      <w:r w:rsidR="00C5396E" w:rsidRPr="00DA5018">
        <w:t>[CHN/A91-b/AS MEASURES] (ВКР-23)</w:t>
      </w:r>
    </w:p>
    <w:p w14:paraId="27ED79C5" w14:textId="472E3DB4" w:rsidR="00193512" w:rsidRPr="00DA5018" w:rsidRDefault="00193512" w:rsidP="00193512">
      <w:pPr>
        <w:pStyle w:val="Annextitle"/>
      </w:pPr>
      <w:r w:rsidRPr="00DA5018">
        <w:t>Технические и эксплуатационные меры по использованию полосы частот 1240</w:t>
      </w:r>
      <w:r w:rsidR="00C5396E" w:rsidRPr="00DA5018">
        <w:rPr>
          <w:rFonts w:cs="Times New Roman Bold"/>
        </w:rPr>
        <w:t>−</w:t>
      </w:r>
      <w:r w:rsidRPr="00DA5018">
        <w:t>1300 МГц любительской и любительской спутниковой служ</w:t>
      </w:r>
      <w:r w:rsidR="00C5396E" w:rsidRPr="00DA5018">
        <w:t>бой</w:t>
      </w:r>
      <w:r w:rsidRPr="00DA5018">
        <w:t xml:space="preserve">, предназначенные для защиты </w:t>
      </w:r>
      <w:r w:rsidR="00C5396E" w:rsidRPr="00DA5018">
        <w:rPr>
          <w:bCs/>
        </w:rPr>
        <w:t>радионавигационной</w:t>
      </w:r>
      <w:r w:rsidR="005D0BA0" w:rsidRPr="00DA5018">
        <w:rPr>
          <w:bCs/>
        </w:rPr>
        <w:t xml:space="preserve"> </w:t>
      </w:r>
      <w:r w:rsidR="005D0BA0" w:rsidRPr="00DA5018">
        <w:rPr>
          <w:bCs/>
        </w:rPr>
        <w:br/>
      </w:r>
      <w:r w:rsidR="00C5396E" w:rsidRPr="00DA5018">
        <w:rPr>
          <w:bCs/>
        </w:rPr>
        <w:t>спутниковой службы (космос-Земля)</w:t>
      </w:r>
    </w:p>
    <w:p w14:paraId="5C6543FF" w14:textId="75BA4967" w:rsidR="00193512" w:rsidRPr="00DA5018" w:rsidRDefault="00193512" w:rsidP="00246A9E">
      <w:r w:rsidRPr="00DA5018">
        <w:t xml:space="preserve">В настоящем </w:t>
      </w:r>
      <w:r w:rsidR="003119F2" w:rsidRPr="00DA5018">
        <w:t>Дополнении</w:t>
      </w:r>
      <w:r w:rsidRPr="00DA5018">
        <w:t xml:space="preserve"> представлены технические и эксплуатационные меры, предназначенные для использования администрациями, желающими разрешить или продолжить эксплуатацию на своей территории любительской и любительской спутниковой служб во всей полосе частот 1240−1300 МГц, в целях защиты РНСС.</w:t>
      </w:r>
    </w:p>
    <w:p w14:paraId="33EE67C7" w14:textId="6803114F" w:rsidR="00193512" w:rsidRPr="00DA5018" w:rsidRDefault="00193512" w:rsidP="00EC538C">
      <w:pPr>
        <w:pStyle w:val="enumlev1"/>
        <w:rPr>
          <w:rFonts w:eastAsia="Batang"/>
          <w:lang w:bidi="ru-RU"/>
        </w:rPr>
      </w:pPr>
      <w:r w:rsidRPr="00DA5018">
        <w:t>1)</w:t>
      </w:r>
      <w:r w:rsidRPr="00DA5018">
        <w:tab/>
        <w:t>Для узкополосных (ширина полосы ≤</w:t>
      </w:r>
      <w:r w:rsidR="00EC538C" w:rsidRPr="00DA5018">
        <w:t xml:space="preserve"> </w:t>
      </w:r>
      <w:r w:rsidRPr="00DA5018">
        <w:t>150 кГц) применений любительской службы</w:t>
      </w:r>
      <w:r w:rsidR="006A7AC2" w:rsidRPr="00DA5018">
        <w:t xml:space="preserve"> </w:t>
      </w:r>
      <w:r w:rsidR="00C5396E" w:rsidRPr="00DA5018">
        <w:t xml:space="preserve">в полосе частот </w:t>
      </w:r>
      <w:r w:rsidRPr="00DA5018">
        <w:rPr>
          <w:rFonts w:eastAsia="Batang"/>
          <w:lang w:bidi="ru-RU"/>
        </w:rPr>
        <w:t>1296</w:t>
      </w:r>
      <w:r w:rsidR="006A7AC2" w:rsidRPr="00DA5018">
        <w:rPr>
          <w:rFonts w:eastAsia="Batang"/>
          <w:lang w:bidi="ru-RU"/>
        </w:rPr>
        <w:t>−1300</w:t>
      </w:r>
      <w:r w:rsidRPr="00DA5018">
        <w:rPr>
          <w:rFonts w:eastAsia="Batang"/>
          <w:lang w:bidi="ru-RU"/>
        </w:rPr>
        <w:t xml:space="preserve"> МГц:</w:t>
      </w:r>
    </w:p>
    <w:p w14:paraId="5C100479" w14:textId="2A4FC04D" w:rsidR="00193512" w:rsidRPr="00DA5018" w:rsidRDefault="00EC538C" w:rsidP="00EC538C">
      <w:pPr>
        <w:pStyle w:val="enumlev1"/>
        <w:rPr>
          <w:rFonts w:eastAsia="Batang"/>
          <w:lang w:bidi="ru-RU"/>
        </w:rPr>
      </w:pPr>
      <w:r w:rsidRPr="00DA5018">
        <w:rPr>
          <w:rFonts w:eastAsia="Batang"/>
          <w:lang w:bidi="ru-RU"/>
        </w:rPr>
        <w:tab/>
      </w:r>
      <w:r w:rsidR="00193512" w:rsidRPr="00DA5018">
        <w:rPr>
          <w:rFonts w:eastAsia="Batang"/>
          <w:lang w:bidi="ru-RU"/>
        </w:rPr>
        <w:t>1296−1298 МГц</w:t>
      </w:r>
      <w:r w:rsidR="00246A9E" w:rsidRPr="00DA5018">
        <w:rPr>
          <w:rFonts w:eastAsia="Batang"/>
          <w:lang w:bidi="ru-RU"/>
        </w:rPr>
        <w:t>;</w:t>
      </w:r>
      <w:r w:rsidR="00193512" w:rsidRPr="00DA5018">
        <w:rPr>
          <w:rFonts w:eastAsia="Batang"/>
          <w:lang w:bidi="ru-RU"/>
        </w:rPr>
        <w:t xml:space="preserve"> </w:t>
      </w:r>
      <w:r w:rsidR="00193512" w:rsidRPr="00DA5018">
        <w:t>максимальная мощность передатчика</w:t>
      </w:r>
      <w:r w:rsidR="00193512" w:rsidRPr="00DA5018">
        <w:rPr>
          <w:rFonts w:eastAsia="Batang"/>
          <w:lang w:bidi="ru-RU"/>
        </w:rPr>
        <w:t xml:space="preserve"> = 17 дБВт</w:t>
      </w:r>
      <w:r w:rsidR="003119F2" w:rsidRPr="00DA5018">
        <w:rPr>
          <w:rFonts w:eastAsia="Batang"/>
          <w:lang w:bidi="ru-RU"/>
        </w:rPr>
        <w:t>;</w:t>
      </w:r>
    </w:p>
    <w:p w14:paraId="6D888539" w14:textId="50911F9D" w:rsidR="00193512" w:rsidRPr="00DA5018" w:rsidRDefault="00EC538C" w:rsidP="00EC538C">
      <w:pPr>
        <w:pStyle w:val="enumlev1"/>
        <w:rPr>
          <w:rFonts w:eastAsia="Batang"/>
          <w:lang w:bidi="ru-RU"/>
        </w:rPr>
      </w:pPr>
      <w:r w:rsidRPr="00DA5018">
        <w:rPr>
          <w:rFonts w:eastAsia="Batang"/>
          <w:lang w:bidi="ru-RU"/>
        </w:rPr>
        <w:tab/>
      </w:r>
      <w:r w:rsidR="00246A9E" w:rsidRPr="00DA5018">
        <w:rPr>
          <w:rFonts w:eastAsia="Batang"/>
          <w:lang w:bidi="ru-RU"/>
        </w:rPr>
        <w:t>1298−1300 МГц;</w:t>
      </w:r>
      <w:r w:rsidR="00193512" w:rsidRPr="00DA5018">
        <w:rPr>
          <w:rFonts w:eastAsia="Batang"/>
          <w:lang w:bidi="ru-RU"/>
        </w:rPr>
        <w:t xml:space="preserve"> </w:t>
      </w:r>
      <w:r w:rsidR="00193512" w:rsidRPr="00DA5018">
        <w:t>максимальная мощность передатчика</w:t>
      </w:r>
      <w:r w:rsidR="00193512" w:rsidRPr="00DA5018">
        <w:rPr>
          <w:rFonts w:eastAsia="Batang"/>
          <w:lang w:bidi="ru-RU"/>
        </w:rPr>
        <w:t xml:space="preserve"> = 22 дБВт</w:t>
      </w:r>
      <w:r w:rsidR="003119F2" w:rsidRPr="00DA5018">
        <w:rPr>
          <w:rFonts w:eastAsia="Batang"/>
          <w:lang w:bidi="ru-RU"/>
        </w:rPr>
        <w:t>,</w:t>
      </w:r>
    </w:p>
    <w:p w14:paraId="296BD1CC" w14:textId="5222B7FD" w:rsidR="006A7AC2" w:rsidRPr="00DA5018" w:rsidRDefault="001E61FF" w:rsidP="00EC538C">
      <w:pPr>
        <w:pStyle w:val="enumlev1"/>
      </w:pPr>
      <w:r w:rsidRPr="00DA5018">
        <w:tab/>
      </w:r>
      <w:r w:rsidR="00C5396E" w:rsidRPr="00DA5018">
        <w:t xml:space="preserve">где под максимальной мощностью понимается пиковая мощность огибающей либо мощность несущей (в зависимости от случая), подводимая от передатчика к антенне </w:t>
      </w:r>
      <w:r w:rsidR="003A4A7E" w:rsidRPr="00DA5018">
        <w:t>станции любительской службы</w:t>
      </w:r>
      <w:r w:rsidR="006A7AC2" w:rsidRPr="00DA5018">
        <w:t>.</w:t>
      </w:r>
    </w:p>
    <w:p w14:paraId="285C3CC7" w14:textId="77777777" w:rsidR="00193512" w:rsidRPr="00DA5018" w:rsidRDefault="00193512" w:rsidP="00EC538C">
      <w:pPr>
        <w:pStyle w:val="enumlev1"/>
      </w:pPr>
      <w:r w:rsidRPr="00DA5018">
        <w:t>2)</w:t>
      </w:r>
      <w:r w:rsidRPr="00DA5018">
        <w:tab/>
        <w:t>Для узкополосных применений любительской службы, использующих отражение радиоволн от Луны и симметричную высокоэффективную антенну (например, с усилением в опорном направлении не менее 30 дБи), угол наведения которой составляет не менее 15 градусов над горизонтом:</w:t>
      </w:r>
    </w:p>
    <w:p w14:paraId="75946493" w14:textId="6A76BB79" w:rsidR="00193512" w:rsidRPr="00DA5018" w:rsidRDefault="00EC538C" w:rsidP="00EC538C">
      <w:pPr>
        <w:pStyle w:val="enumlev1"/>
      </w:pPr>
      <w:r w:rsidRPr="00DA5018">
        <w:tab/>
      </w:r>
      <w:r w:rsidR="00193512" w:rsidRPr="00DA5018">
        <w:t>1298</w:t>
      </w:r>
      <w:r w:rsidR="00193512" w:rsidRPr="00DA5018">
        <w:rPr>
          <w:rFonts w:eastAsia="Batang"/>
          <w:lang w:bidi="ru-RU"/>
        </w:rPr>
        <w:t>−</w:t>
      </w:r>
      <w:r w:rsidR="00193512" w:rsidRPr="00DA5018">
        <w:t>1300 МГц</w:t>
      </w:r>
      <w:r w:rsidR="00246A9E" w:rsidRPr="00DA5018">
        <w:t>;</w:t>
      </w:r>
      <w:r w:rsidR="00193512" w:rsidRPr="00DA5018">
        <w:t xml:space="preserve"> максимальная мощность передатчика = 27 дБВт</w:t>
      </w:r>
      <w:r w:rsidR="003119F2" w:rsidRPr="00DA5018">
        <w:t>,</w:t>
      </w:r>
    </w:p>
    <w:p w14:paraId="58E343C7" w14:textId="37C0FC3D" w:rsidR="001E61FF" w:rsidRPr="00DA5018" w:rsidRDefault="001E61FF" w:rsidP="00EC538C">
      <w:pPr>
        <w:pStyle w:val="enumlev1"/>
      </w:pPr>
      <w:r w:rsidRPr="00DA5018">
        <w:tab/>
      </w:r>
      <w:r w:rsidR="008B7413" w:rsidRPr="00DA5018">
        <w:t xml:space="preserve">где под максимальной мощностью понимается пиковая мощность огибающей либо мощность несущей (в зависимости от случая), подводимая от передатчика к антенне </w:t>
      </w:r>
      <w:r w:rsidR="003A4A7E" w:rsidRPr="00DA5018">
        <w:t>станции любительской службы</w:t>
      </w:r>
      <w:r w:rsidR="008B7413" w:rsidRPr="00DA5018">
        <w:t>.</w:t>
      </w:r>
    </w:p>
    <w:p w14:paraId="21AC042F" w14:textId="1133B40C" w:rsidR="00193512" w:rsidRPr="00DA5018" w:rsidRDefault="00B558A7" w:rsidP="00EC538C">
      <w:pPr>
        <w:pStyle w:val="enumlev1"/>
      </w:pPr>
      <w:r w:rsidRPr="00DA5018">
        <w:t>3</w:t>
      </w:r>
      <w:r w:rsidR="001E61FF" w:rsidRPr="00DA5018">
        <w:t>)</w:t>
      </w:r>
      <w:r w:rsidR="001E61FF" w:rsidRPr="00DA5018">
        <w:tab/>
      </w:r>
      <w:r w:rsidR="008B7413" w:rsidRPr="00DA5018">
        <w:t>Для узкополосных (ширина полосы ≤ 150 кГц) и широкополосных (ширина полосы &gt; 150 кГц) применений любительской службы в полосе частот 1257–1259 МГц</w:t>
      </w:r>
      <w:r w:rsidR="00CF5E98" w:rsidRPr="00DA5018">
        <w:t xml:space="preserve">; </w:t>
      </w:r>
      <w:r w:rsidR="003119F2" w:rsidRPr="00DA5018">
        <w:t>м</w:t>
      </w:r>
      <w:r w:rsidR="008B7413" w:rsidRPr="00DA5018">
        <w:t>аксимальные значения э.и.и.м. =</w:t>
      </w:r>
      <w:r w:rsidR="00CF5E98" w:rsidRPr="00DA5018">
        <w:t xml:space="preserve"> </w:t>
      </w:r>
    </w:p>
    <w:p w14:paraId="5F293F36" w14:textId="121ECC02" w:rsidR="00CF5E98" w:rsidRPr="00DA5018" w:rsidRDefault="00CF5E98" w:rsidP="00EC538C">
      <w:pPr>
        <w:pStyle w:val="enumlev1"/>
        <w:tabs>
          <w:tab w:val="clear" w:pos="1134"/>
          <w:tab w:val="clear" w:pos="1871"/>
          <w:tab w:val="left" w:pos="1701"/>
          <w:tab w:val="left" w:pos="3969"/>
          <w:tab w:val="left" w:pos="5670"/>
          <w:tab w:val="right" w:pos="6946"/>
          <w:tab w:val="left" w:pos="7088"/>
        </w:tabs>
        <w:ind w:left="1701" w:hanging="1701"/>
      </w:pPr>
      <w:r w:rsidRPr="00DA5018">
        <w:tab/>
        <w:t>−19</w:t>
      </w:r>
      <w:r w:rsidR="00246A9E" w:rsidRPr="00DA5018">
        <w:t>,</w:t>
      </w:r>
      <w:r w:rsidRPr="00DA5018">
        <w:t>5</w:t>
      </w:r>
      <w:r w:rsidRPr="00DA5018">
        <w:tab/>
      </w:r>
      <w:r w:rsidRPr="00DA5018">
        <w:tab/>
      </w:r>
      <w:r w:rsidRPr="00DA5018">
        <w:tab/>
        <w:t>дБВт/150 кГц</w:t>
      </w:r>
      <w:r w:rsidRPr="00DA5018">
        <w:tab/>
      </w:r>
      <w:r w:rsidR="003A4A7E" w:rsidRPr="00DA5018">
        <w:t>при</w:t>
      </w:r>
      <w:r w:rsidRPr="00DA5018">
        <w:tab/>
        <w:t>−90</w:t>
      </w:r>
      <w:r w:rsidRPr="00DA5018">
        <w:sym w:font="Symbol" w:char="F0B0"/>
      </w:r>
      <w:r w:rsidRPr="00DA5018">
        <w:tab/>
      </w:r>
      <w:r w:rsidRPr="00DA5018">
        <w:sym w:font="Symbol" w:char="F0A3"/>
      </w:r>
      <w:r w:rsidRPr="00DA5018">
        <w:t xml:space="preserve"> </w:t>
      </w:r>
      <w:r w:rsidRPr="00DA5018">
        <w:sym w:font="Symbol" w:char="F071"/>
      </w:r>
      <w:r w:rsidRPr="00DA5018">
        <w:t xml:space="preserve"> &lt; 0°</w:t>
      </w:r>
      <w:r w:rsidRPr="00DA5018">
        <w:br/>
        <w:t>−19</w:t>
      </w:r>
      <w:r w:rsidR="00246A9E" w:rsidRPr="00DA5018">
        <w:t>,</w:t>
      </w:r>
      <w:r w:rsidRPr="00DA5018">
        <w:t>5</w:t>
      </w:r>
      <w:r w:rsidRPr="00DA5018">
        <w:tab/>
      </w:r>
      <w:r w:rsidRPr="00DA5018">
        <w:tab/>
      </w:r>
      <w:r w:rsidRPr="00DA5018">
        <w:tab/>
        <w:t>дБВт/150 кГц</w:t>
      </w:r>
      <w:r w:rsidRPr="00DA5018">
        <w:tab/>
      </w:r>
      <w:r w:rsidR="003A4A7E" w:rsidRPr="00DA5018">
        <w:t>при</w:t>
      </w:r>
      <w:r w:rsidRPr="00DA5018">
        <w:tab/>
        <w:t>0</w:t>
      </w:r>
      <w:r w:rsidRPr="00DA5018">
        <w:sym w:font="Symbol" w:char="F0B0"/>
      </w:r>
      <w:r w:rsidRPr="00DA5018">
        <w:tab/>
      </w:r>
      <w:r w:rsidRPr="00DA5018">
        <w:sym w:font="Symbol" w:char="F0A3"/>
      </w:r>
      <w:r w:rsidRPr="00DA5018">
        <w:t xml:space="preserve"> </w:t>
      </w:r>
      <w:r w:rsidRPr="00DA5018">
        <w:sym w:font="Symbol" w:char="F071"/>
      </w:r>
      <w:r w:rsidR="00246A9E" w:rsidRPr="00DA5018">
        <w:t xml:space="preserve"> &lt; 5°</w:t>
      </w:r>
      <w:r w:rsidR="00246A9E" w:rsidRPr="00DA5018">
        <w:br/>
      </w:r>
      <w:r w:rsidR="00246A9E" w:rsidRPr="00DA5018">
        <w:lastRenderedPageBreak/>
        <w:t>−19,</w:t>
      </w:r>
      <w:r w:rsidRPr="00DA5018">
        <w:t>5 – 1</w:t>
      </w:r>
      <w:r w:rsidR="00246A9E" w:rsidRPr="00DA5018">
        <w:t>,</w:t>
      </w:r>
      <w:r w:rsidRPr="00DA5018">
        <w:t>025 (</w:t>
      </w:r>
      <w:r w:rsidRPr="00DA5018">
        <w:sym w:font="Symbol" w:char="F071"/>
      </w:r>
      <w:r w:rsidRPr="00DA5018">
        <w:t> – 5)</w:t>
      </w:r>
      <w:r w:rsidRPr="00DA5018">
        <w:tab/>
        <w:t>дБВт/150</w:t>
      </w:r>
      <w:r w:rsidR="009177D1" w:rsidRPr="00DA5018">
        <w:t> кГц</w:t>
      </w:r>
      <w:r w:rsidRPr="00DA5018">
        <w:tab/>
      </w:r>
      <w:r w:rsidR="003A4A7E" w:rsidRPr="00DA5018">
        <w:t>при</w:t>
      </w:r>
      <w:r w:rsidRPr="00DA5018">
        <w:tab/>
        <w:t>5</w:t>
      </w:r>
      <w:r w:rsidRPr="00DA5018">
        <w:sym w:font="Symbol" w:char="F0B0"/>
      </w:r>
      <w:r w:rsidRPr="00DA5018">
        <w:tab/>
      </w:r>
      <w:r w:rsidRPr="00DA5018">
        <w:sym w:font="Symbol" w:char="F0A3"/>
      </w:r>
      <w:r w:rsidRPr="00DA5018">
        <w:t xml:space="preserve"> </w:t>
      </w:r>
      <w:r w:rsidRPr="00DA5018">
        <w:sym w:font="Symbol" w:char="F071"/>
      </w:r>
      <w:r w:rsidRPr="00DA5018">
        <w:t xml:space="preserve"> &lt; 25°</w:t>
      </w:r>
      <w:r w:rsidRPr="00DA5018">
        <w:br/>
        <w:t>–40</w:t>
      </w:r>
      <w:r w:rsidRPr="00DA5018">
        <w:tab/>
      </w:r>
      <w:r w:rsidRPr="00DA5018">
        <w:tab/>
      </w:r>
      <w:r w:rsidRPr="00DA5018">
        <w:tab/>
      </w:r>
      <w:r w:rsidR="009177D1" w:rsidRPr="00DA5018">
        <w:t>дБВт</w:t>
      </w:r>
      <w:r w:rsidRPr="00DA5018">
        <w:t>/150 </w:t>
      </w:r>
      <w:r w:rsidR="009177D1" w:rsidRPr="00DA5018">
        <w:t>кГц</w:t>
      </w:r>
      <w:r w:rsidRPr="00DA5018">
        <w:tab/>
      </w:r>
      <w:r w:rsidR="003A4A7E" w:rsidRPr="00DA5018">
        <w:t>при</w:t>
      </w:r>
      <w:r w:rsidRPr="00DA5018">
        <w:tab/>
        <w:t>25°</w:t>
      </w:r>
      <w:r w:rsidRPr="00DA5018">
        <w:tab/>
      </w:r>
      <w:r w:rsidRPr="00DA5018">
        <w:sym w:font="Symbol" w:char="F0A3"/>
      </w:r>
      <w:r w:rsidRPr="00DA5018">
        <w:t xml:space="preserve"> </w:t>
      </w:r>
      <w:r w:rsidRPr="00DA5018">
        <w:sym w:font="Symbol" w:char="F071"/>
      </w:r>
      <w:r w:rsidRPr="00DA5018">
        <w:t xml:space="preserve"> &lt; 90°,</w:t>
      </w:r>
    </w:p>
    <w:p w14:paraId="4C6AE70A" w14:textId="2C5A2948" w:rsidR="00CF5E98" w:rsidRPr="00DA5018" w:rsidRDefault="00CF5E98" w:rsidP="00EC538C">
      <w:pPr>
        <w:pStyle w:val="enumlev1"/>
      </w:pPr>
      <w:r w:rsidRPr="00DA5018">
        <w:tab/>
      </w:r>
      <w:r w:rsidR="008B7413" w:rsidRPr="00DA5018">
        <w:t xml:space="preserve">где θ </w:t>
      </w:r>
      <w:r w:rsidR="00EC538C" w:rsidRPr="00DA5018">
        <w:sym w:font="Symbol" w:char="F02D"/>
      </w:r>
      <w:r w:rsidR="008B7413" w:rsidRPr="00DA5018">
        <w:t xml:space="preserve"> это угол места антенны </w:t>
      </w:r>
      <w:r w:rsidR="003A4A7E" w:rsidRPr="00DA5018">
        <w:t>станции любительской службы</w:t>
      </w:r>
      <w:r w:rsidR="008B7413" w:rsidRPr="00DA5018">
        <w:t xml:space="preserve"> (в градусах), а э.и.и.м. </w:t>
      </w:r>
      <w:r w:rsidR="00EC538C" w:rsidRPr="00DA5018">
        <w:sym w:font="Symbol" w:char="F02D"/>
      </w:r>
      <w:r w:rsidR="008B7413" w:rsidRPr="00DA5018">
        <w:t xml:space="preserve"> излучаемая мощность </w:t>
      </w:r>
      <w:r w:rsidR="003A4A7E" w:rsidRPr="00DA5018">
        <w:t>станции любительской службы</w:t>
      </w:r>
      <w:r w:rsidR="008B7413" w:rsidRPr="00DA5018">
        <w:t>.</w:t>
      </w:r>
    </w:p>
    <w:p w14:paraId="3C2E3E1A" w14:textId="77777777" w:rsidR="00AC6578" w:rsidRPr="00DA5018" w:rsidRDefault="00AC6578" w:rsidP="00246A9E">
      <w:pPr>
        <w:pStyle w:val="enumlev1"/>
      </w:pPr>
      <w:r w:rsidRPr="00DA5018">
        <w:t>4)</w:t>
      </w:r>
      <w:r w:rsidRPr="00DA5018">
        <w:tab/>
        <w:t>Для узкополосных применений любительской спутниковой службы (Земля-космос) (ширина полосы ≤ 150 кГц) с углом наведения не менее 15 градусов над горизонтом:</w:t>
      </w:r>
    </w:p>
    <w:p w14:paraId="5511529F" w14:textId="73E0408B" w:rsidR="00AC6578" w:rsidRPr="00DA5018" w:rsidRDefault="00AC6578" w:rsidP="00EC538C">
      <w:pPr>
        <w:pStyle w:val="enumlev1"/>
      </w:pPr>
      <w:r w:rsidRPr="00DA5018">
        <w:tab/>
        <w:t>1260</w:t>
      </w:r>
      <w:r w:rsidRPr="00DA5018">
        <w:rPr>
          <w:lang w:bidi="ru-RU"/>
        </w:rPr>
        <w:t>−</w:t>
      </w:r>
      <w:r w:rsidRPr="00DA5018">
        <w:t xml:space="preserve">1262 МГц: </w:t>
      </w:r>
      <w:r w:rsidRPr="00DA5018">
        <w:rPr>
          <w:lang w:bidi="ru-RU"/>
        </w:rPr>
        <w:t>максимальное значение э.и.и.м</w:t>
      </w:r>
      <w:r w:rsidRPr="00DA5018">
        <w:t xml:space="preserve">. = </w:t>
      </w:r>
      <w:r w:rsidR="00A264A2" w:rsidRPr="00DA5018">
        <w:t>27 дБВт/150</w:t>
      </w:r>
      <w:r w:rsidR="00DA5018">
        <w:t> </w:t>
      </w:r>
      <w:r w:rsidR="00A264A2" w:rsidRPr="00DA5018">
        <w:t>кГц.</w:t>
      </w:r>
    </w:p>
    <w:p w14:paraId="149B7C2D" w14:textId="6F1BAF88" w:rsidR="00A264A2" w:rsidRPr="00DA5018" w:rsidRDefault="00A264A2" w:rsidP="00A264A2">
      <w:pPr>
        <w:pStyle w:val="enumlev1"/>
      </w:pPr>
      <w:r w:rsidRPr="00DA5018">
        <w:t>5)</w:t>
      </w:r>
      <w:r w:rsidRPr="00DA5018">
        <w:tab/>
      </w:r>
      <w:r w:rsidR="00FB4ED3" w:rsidRPr="00DA5018">
        <w:t>За пределами полос частот, указанных в пунктах 1)</w:t>
      </w:r>
      <w:r w:rsidR="00EC538C" w:rsidRPr="00DA5018">
        <w:sym w:font="Symbol" w:char="F02D"/>
      </w:r>
      <w:r w:rsidR="00FB4ED3" w:rsidRPr="00DA5018">
        <w:t>4)</w:t>
      </w:r>
      <w:r w:rsidR="00FB5FCA" w:rsidRPr="00DA5018">
        <w:t>,</w:t>
      </w:r>
      <w:r w:rsidR="00FB4ED3" w:rsidRPr="00DA5018">
        <w:t xml:space="preserve"> выше, с учетом пунктов </w:t>
      </w:r>
      <w:r w:rsidR="00FB4ED3" w:rsidRPr="00DA5018">
        <w:rPr>
          <w:i/>
          <w:iCs/>
        </w:rPr>
        <w:t>b)</w:t>
      </w:r>
      <w:r w:rsidR="00FB4ED3" w:rsidRPr="00DA5018">
        <w:t xml:space="preserve"> и </w:t>
      </w:r>
      <w:r w:rsidR="00FB4ED3" w:rsidRPr="00DA5018">
        <w:rPr>
          <w:i/>
          <w:iCs/>
        </w:rPr>
        <w:t>c)</w:t>
      </w:r>
      <w:r w:rsidR="00FB4ED3" w:rsidRPr="00DA5018">
        <w:t xml:space="preserve"> раздела </w:t>
      </w:r>
      <w:r w:rsidR="00FB4ED3" w:rsidRPr="00DA5018">
        <w:rPr>
          <w:i/>
          <w:iCs/>
        </w:rPr>
        <w:t>признавая</w:t>
      </w:r>
      <w:r w:rsidR="00FB4ED3" w:rsidRPr="00DA5018">
        <w:t>, работа любительской и любительской спутниковой служб в полосе 1240–1300 МГц не рекомендуется в связи с опасениями относительно совместимости между РНСС и любительской и любительской спутниковой службами</w:t>
      </w:r>
      <w:r w:rsidRPr="00DA5018">
        <w:t xml:space="preserve">; </w:t>
      </w:r>
      <w:r w:rsidRPr="00DA5018">
        <w:rPr>
          <w:lang w:bidi="ru-RU"/>
        </w:rPr>
        <w:t>максимальное значение э.и.и.м.</w:t>
      </w:r>
      <w:r w:rsidR="00FB5FCA" w:rsidRPr="00DA5018">
        <w:rPr>
          <w:lang w:bidi="ru-RU"/>
        </w:rPr>
        <w:t xml:space="preserve"> </w:t>
      </w:r>
      <w:r w:rsidRPr="00DA5018">
        <w:t>=</w:t>
      </w:r>
    </w:p>
    <w:p w14:paraId="2BF778BB" w14:textId="05A2C361" w:rsidR="00A264A2" w:rsidRPr="00DA5018" w:rsidRDefault="00E055CE" w:rsidP="00EC538C">
      <w:pPr>
        <w:pStyle w:val="enumlev1"/>
        <w:tabs>
          <w:tab w:val="clear" w:pos="1134"/>
          <w:tab w:val="clear" w:pos="1871"/>
          <w:tab w:val="left" w:pos="1701"/>
          <w:tab w:val="left" w:pos="3969"/>
          <w:tab w:val="left" w:pos="5670"/>
          <w:tab w:val="right" w:pos="6946"/>
          <w:tab w:val="left" w:pos="7088"/>
        </w:tabs>
        <w:ind w:left="1701" w:hanging="1701"/>
      </w:pPr>
      <w:r w:rsidRPr="00DA5018">
        <w:tab/>
        <w:t>−39,</w:t>
      </w:r>
      <w:r w:rsidR="00A264A2" w:rsidRPr="00DA5018">
        <w:t>0</w:t>
      </w:r>
      <w:r w:rsidR="00A264A2" w:rsidRPr="00DA5018">
        <w:tab/>
      </w:r>
      <w:r w:rsidR="00A264A2" w:rsidRPr="00DA5018">
        <w:tab/>
      </w:r>
      <w:r w:rsidR="00A264A2" w:rsidRPr="00DA5018">
        <w:tab/>
      </w:r>
      <w:r w:rsidR="005431C2" w:rsidRPr="00DA5018">
        <w:t>дБВт</w:t>
      </w:r>
      <w:r w:rsidR="00A264A2" w:rsidRPr="00DA5018">
        <w:t>/150 </w:t>
      </w:r>
      <w:r w:rsidR="005431C2" w:rsidRPr="00DA5018">
        <w:t>кГц</w:t>
      </w:r>
      <w:r w:rsidR="00A264A2" w:rsidRPr="00DA5018">
        <w:tab/>
      </w:r>
      <w:r w:rsidR="003A4A7E" w:rsidRPr="00DA5018">
        <w:t>при</w:t>
      </w:r>
      <w:r w:rsidR="00A264A2" w:rsidRPr="00DA5018">
        <w:tab/>
        <w:t>−90</w:t>
      </w:r>
      <w:r w:rsidR="00A264A2" w:rsidRPr="00DA5018">
        <w:sym w:font="Symbol" w:char="F0B0"/>
      </w:r>
      <w:r w:rsidR="00A264A2" w:rsidRPr="00DA5018">
        <w:t xml:space="preserve"> </w:t>
      </w:r>
      <w:r w:rsidR="00A264A2" w:rsidRPr="00DA5018">
        <w:tab/>
      </w:r>
      <w:r w:rsidR="00A264A2" w:rsidRPr="00DA5018">
        <w:sym w:font="Symbol" w:char="F0A3"/>
      </w:r>
      <w:r w:rsidR="00A264A2" w:rsidRPr="00DA5018">
        <w:t xml:space="preserve"> </w:t>
      </w:r>
      <w:r w:rsidR="00A264A2" w:rsidRPr="00DA5018">
        <w:sym w:font="Symbol" w:char="F071"/>
      </w:r>
      <w:r w:rsidRPr="00DA5018">
        <w:t xml:space="preserve"> &lt; 0°</w:t>
      </w:r>
      <w:r w:rsidRPr="00DA5018">
        <w:br/>
        <w:t>−39,</w:t>
      </w:r>
      <w:r w:rsidR="00A264A2" w:rsidRPr="00DA5018">
        <w:t>0</w:t>
      </w:r>
      <w:r w:rsidR="00A264A2" w:rsidRPr="00DA5018">
        <w:tab/>
      </w:r>
      <w:r w:rsidR="00A264A2" w:rsidRPr="00DA5018">
        <w:tab/>
      </w:r>
      <w:r w:rsidR="00A264A2" w:rsidRPr="00DA5018">
        <w:tab/>
      </w:r>
      <w:r w:rsidR="005431C2" w:rsidRPr="00DA5018">
        <w:t>дБВт</w:t>
      </w:r>
      <w:r w:rsidR="00A264A2" w:rsidRPr="00DA5018">
        <w:t>/150</w:t>
      </w:r>
      <w:r w:rsidR="005431C2" w:rsidRPr="00DA5018">
        <w:t> кГц</w:t>
      </w:r>
      <w:r w:rsidR="00A264A2" w:rsidRPr="00DA5018">
        <w:tab/>
      </w:r>
      <w:r w:rsidR="003A4A7E" w:rsidRPr="00DA5018">
        <w:t>при</w:t>
      </w:r>
      <w:r w:rsidR="00A264A2" w:rsidRPr="00DA5018">
        <w:tab/>
        <w:t>0</w:t>
      </w:r>
      <w:r w:rsidR="00A264A2" w:rsidRPr="00DA5018">
        <w:sym w:font="Symbol" w:char="F0B0"/>
      </w:r>
      <w:r w:rsidR="00A264A2" w:rsidRPr="00DA5018">
        <w:t xml:space="preserve"> </w:t>
      </w:r>
      <w:r w:rsidR="00A264A2" w:rsidRPr="00DA5018">
        <w:tab/>
      </w:r>
      <w:r w:rsidR="00A264A2" w:rsidRPr="00DA5018">
        <w:sym w:font="Symbol" w:char="F0A3"/>
      </w:r>
      <w:r w:rsidR="00A264A2" w:rsidRPr="00DA5018">
        <w:t xml:space="preserve"> </w:t>
      </w:r>
      <w:r w:rsidR="00A264A2" w:rsidRPr="00DA5018">
        <w:sym w:font="Symbol" w:char="F071"/>
      </w:r>
      <w:r w:rsidRPr="00DA5018">
        <w:t xml:space="preserve"> &lt; 5°</w:t>
      </w:r>
      <w:r w:rsidRPr="00DA5018">
        <w:br/>
        <w:t>−39,9 – 1,</w:t>
      </w:r>
      <w:r w:rsidR="00A264A2" w:rsidRPr="00DA5018">
        <w:t>05 (</w:t>
      </w:r>
      <w:r w:rsidR="00A264A2" w:rsidRPr="00DA5018">
        <w:sym w:font="Symbol" w:char="F071"/>
      </w:r>
      <w:r w:rsidR="00A264A2" w:rsidRPr="00DA5018">
        <w:t> – 5)</w:t>
      </w:r>
      <w:r w:rsidR="00A264A2" w:rsidRPr="00DA5018">
        <w:tab/>
      </w:r>
      <w:r w:rsidR="005431C2" w:rsidRPr="00DA5018">
        <w:t>дБВт</w:t>
      </w:r>
      <w:r w:rsidR="00A264A2" w:rsidRPr="00DA5018">
        <w:t>/150</w:t>
      </w:r>
      <w:r w:rsidR="005431C2" w:rsidRPr="00DA5018">
        <w:t> кГц</w:t>
      </w:r>
      <w:r w:rsidR="00A264A2" w:rsidRPr="00DA5018">
        <w:tab/>
      </w:r>
      <w:r w:rsidR="003A4A7E" w:rsidRPr="00DA5018">
        <w:t>при</w:t>
      </w:r>
      <w:r w:rsidR="00A264A2" w:rsidRPr="00DA5018">
        <w:tab/>
        <w:t>5</w:t>
      </w:r>
      <w:r w:rsidR="00A264A2" w:rsidRPr="00DA5018">
        <w:sym w:font="Symbol" w:char="F0B0"/>
      </w:r>
      <w:r w:rsidR="00A264A2" w:rsidRPr="00DA5018">
        <w:tab/>
        <w:t xml:space="preserve"> </w:t>
      </w:r>
      <w:r w:rsidR="00A264A2" w:rsidRPr="00DA5018">
        <w:sym w:font="Symbol" w:char="F0A3"/>
      </w:r>
      <w:r w:rsidR="00A264A2" w:rsidRPr="00DA5018">
        <w:sym w:font="Symbol" w:char="F071"/>
      </w:r>
      <w:r w:rsidR="00A264A2" w:rsidRPr="00DA5018">
        <w:t xml:space="preserve"> &lt; 25°</w:t>
      </w:r>
      <w:r w:rsidR="00A264A2" w:rsidRPr="00DA5018">
        <w:br/>
        <w:t>–60</w:t>
      </w:r>
      <w:r w:rsidR="00A264A2" w:rsidRPr="00DA5018">
        <w:tab/>
      </w:r>
      <w:r w:rsidR="00A264A2" w:rsidRPr="00DA5018">
        <w:tab/>
      </w:r>
      <w:r w:rsidR="00A264A2" w:rsidRPr="00DA5018">
        <w:tab/>
      </w:r>
      <w:r w:rsidR="005431C2" w:rsidRPr="00DA5018">
        <w:t>дБВт</w:t>
      </w:r>
      <w:r w:rsidR="00A264A2" w:rsidRPr="00DA5018">
        <w:t>/150</w:t>
      </w:r>
      <w:r w:rsidR="005431C2" w:rsidRPr="00DA5018">
        <w:t> кГц</w:t>
      </w:r>
      <w:r w:rsidR="00A264A2" w:rsidRPr="00DA5018">
        <w:tab/>
      </w:r>
      <w:r w:rsidR="003A4A7E" w:rsidRPr="00DA5018">
        <w:t>при</w:t>
      </w:r>
      <w:r w:rsidR="00A264A2" w:rsidRPr="00DA5018">
        <w:tab/>
        <w:t>25°</w:t>
      </w:r>
      <w:r w:rsidR="00A264A2" w:rsidRPr="00DA5018">
        <w:tab/>
      </w:r>
      <w:r w:rsidR="00A264A2" w:rsidRPr="00DA5018">
        <w:sym w:font="Symbol" w:char="F0A3"/>
      </w:r>
      <w:r w:rsidR="00A264A2" w:rsidRPr="00DA5018">
        <w:t xml:space="preserve"> </w:t>
      </w:r>
      <w:r w:rsidR="00A264A2" w:rsidRPr="00DA5018">
        <w:sym w:font="Symbol" w:char="F071"/>
      </w:r>
      <w:r w:rsidR="00A264A2" w:rsidRPr="00DA5018">
        <w:t xml:space="preserve"> &lt; 90°,</w:t>
      </w:r>
    </w:p>
    <w:p w14:paraId="4FDF621E" w14:textId="5DB77A3E" w:rsidR="00A264A2" w:rsidRPr="00DA5018" w:rsidRDefault="00A264A2" w:rsidP="00E055CE">
      <w:pPr>
        <w:pStyle w:val="enumlev1"/>
      </w:pPr>
      <w:r w:rsidRPr="00DA5018">
        <w:tab/>
      </w:r>
      <w:r w:rsidR="00FB4ED3" w:rsidRPr="00DA5018">
        <w:t xml:space="preserve">где θ — это угол места антенны </w:t>
      </w:r>
      <w:r w:rsidR="003A4A7E" w:rsidRPr="00DA5018">
        <w:t xml:space="preserve">станции </w:t>
      </w:r>
      <w:r w:rsidR="00FB4ED3" w:rsidRPr="00DA5018">
        <w:t xml:space="preserve">любительской </w:t>
      </w:r>
      <w:r w:rsidR="003A4A7E" w:rsidRPr="00DA5018">
        <w:t xml:space="preserve">службы </w:t>
      </w:r>
      <w:r w:rsidR="00FB4ED3" w:rsidRPr="00DA5018">
        <w:t>(в градусах), а э.и.и.м.</w:t>
      </w:r>
      <w:r w:rsidR="00EC538C" w:rsidRPr="00DA5018">
        <w:t xml:space="preserve"> </w:t>
      </w:r>
      <w:r w:rsidR="00FB4ED3" w:rsidRPr="00DA5018">
        <w:t xml:space="preserve"> </w:t>
      </w:r>
      <w:r w:rsidR="00EC538C" w:rsidRPr="00DA5018">
        <w:sym w:font="Symbol" w:char="F02D"/>
      </w:r>
      <w:r w:rsidR="00FB4ED3" w:rsidRPr="00DA5018">
        <w:t xml:space="preserve"> излучаемая мощность </w:t>
      </w:r>
      <w:r w:rsidR="003A4A7E" w:rsidRPr="00DA5018">
        <w:t>станции любительской службы</w:t>
      </w:r>
      <w:r w:rsidRPr="00DA5018">
        <w:t>.</w:t>
      </w:r>
    </w:p>
    <w:p w14:paraId="47C3FDFA" w14:textId="4F30B655" w:rsidR="00A264A2" w:rsidRPr="00DA5018" w:rsidRDefault="00A264A2" w:rsidP="00A264A2">
      <w:pPr>
        <w:pStyle w:val="enumlev1"/>
      </w:pPr>
      <w:r w:rsidRPr="00DA5018">
        <w:t>6)</w:t>
      </w:r>
      <w:r w:rsidRPr="00DA5018">
        <w:tab/>
        <w:t>В случаях, когда антенны станций любительской и любительской спутниковой служб установлены на больших высотах по сравнению с типовыми значениями, приведенными в Отчете МСЭ-R M.2513-0, администрациям может быть необходимо рассмотреть возможность введения дополнительных условий или ограничений помимо тех, которые указаны в пунктах 1)</w:t>
      </w:r>
      <w:r w:rsidR="00EC538C" w:rsidRPr="00DA5018">
        <w:rPr>
          <w:lang w:bidi="ru-RU"/>
        </w:rPr>
        <w:sym w:font="Symbol" w:char="F02D"/>
      </w:r>
      <w:r w:rsidRPr="00DA5018">
        <w:rPr>
          <w:lang w:bidi="ru-RU"/>
        </w:rPr>
        <w:t>5</w:t>
      </w:r>
      <w:r w:rsidRPr="00DA5018">
        <w:t>), выше, в особенности в случае станций</w:t>
      </w:r>
      <w:r w:rsidR="003A4A7E" w:rsidRPr="00DA5018">
        <w:t xml:space="preserve"> любительской службы</w:t>
      </w:r>
      <w:r w:rsidRPr="00DA5018">
        <w:t xml:space="preserve">, относящихся к категории "стационарные установки", таких как ретрансляторы и маяки для контроля условий распространения. </w:t>
      </w:r>
    </w:p>
    <w:p w14:paraId="44F33AEF" w14:textId="2C57D3E6" w:rsidR="00A264A2" w:rsidRPr="00DA5018" w:rsidRDefault="00B2437A" w:rsidP="00B2437A">
      <w:pPr>
        <w:pStyle w:val="enumlev1"/>
      </w:pPr>
      <w:r w:rsidRPr="00DA5018">
        <w:t>7)</w:t>
      </w:r>
      <w:r w:rsidRPr="00DA5018">
        <w:tab/>
      </w:r>
      <w:r w:rsidR="003F1649" w:rsidRPr="00DA5018">
        <w:t xml:space="preserve">Продолжительность передач каждой земной станции любительской спутниковой службы должна быть ограничена 60 минутами в сутки. </w:t>
      </w:r>
      <w:r w:rsidRPr="00DA5018">
        <w:t>В случае значительного увеличения числа спутников любительских служб в полосе частот 1260</w:t>
      </w:r>
      <w:r w:rsidR="00EC538C" w:rsidRPr="00DA5018">
        <w:rPr>
          <w:bCs/>
        </w:rPr>
        <w:t>‒</w:t>
      </w:r>
      <w:r w:rsidRPr="00DA5018">
        <w:t xml:space="preserve">1270 МГц могут потребоваться дополнительные меры, касающиеся </w:t>
      </w:r>
      <w:r w:rsidR="003F1649" w:rsidRPr="00DA5018">
        <w:t>продолжительности передач каждой земной станции любительской спутниковой службы</w:t>
      </w:r>
      <w:r w:rsidRPr="00DA5018">
        <w:t>.</w:t>
      </w:r>
    </w:p>
    <w:p w14:paraId="61887BB9" w14:textId="5854BB59" w:rsidR="00FB5FCA" w:rsidRPr="00DA5018" w:rsidRDefault="00E055CE" w:rsidP="00FB5FCA">
      <w:pPr>
        <w:pStyle w:val="Reasons"/>
      </w:pPr>
      <w:r w:rsidRPr="00DA5018">
        <w:rPr>
          <w:b/>
        </w:rPr>
        <w:t>Основания</w:t>
      </w:r>
      <w:r w:rsidRPr="00DA5018">
        <w:t>:</w:t>
      </w:r>
      <w:r w:rsidRPr="00DA5018">
        <w:tab/>
      </w:r>
      <w:r w:rsidR="00785757" w:rsidRPr="00DA5018">
        <w:t xml:space="preserve">Проект предлагаемой Резолюции составлен на основе предварительного проекта новой Рекомендации МСЭ-R M.[AS. РУКОВОДСТВО] РГ 5A и </w:t>
      </w:r>
      <w:r w:rsidR="00FB5FCA" w:rsidRPr="00DA5018">
        <w:t>частично</w:t>
      </w:r>
      <w:r w:rsidR="00785757" w:rsidRPr="00DA5018">
        <w:t xml:space="preserve"> отражает консенсус, достигнутый по пункту 9.1-b повестки дня ВКР-23. Настоящая Резолюция может позволить рассмотреть пункт 9.1-b повестки дня для обеспечения защиты РНСС в полосе частот 1240−1300</w:t>
      </w:r>
      <w:r w:rsidR="00FB5FCA" w:rsidRPr="00DA5018">
        <w:t> </w:t>
      </w:r>
      <w:r w:rsidR="00785757" w:rsidRPr="00DA5018">
        <w:t xml:space="preserve">МГц </w:t>
      </w:r>
      <w:r w:rsidR="003119F2" w:rsidRPr="00DA5018">
        <w:t xml:space="preserve">при сохранении использования </w:t>
      </w:r>
      <w:r w:rsidR="00785757" w:rsidRPr="00DA5018">
        <w:t>любительской службы и любительской спутниковой службы.</w:t>
      </w:r>
    </w:p>
    <w:p w14:paraId="448E93B3" w14:textId="77777777" w:rsidR="00211670" w:rsidRDefault="00211670" w:rsidP="00211670">
      <w:pPr>
        <w:spacing w:before="720"/>
        <w:jc w:val="center"/>
      </w:pPr>
      <w:r>
        <w:t>______________</w:t>
      </w:r>
    </w:p>
    <w:sectPr w:rsidR="00211670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815C" w14:textId="77777777" w:rsidR="00B958BD" w:rsidRDefault="00B958BD">
      <w:r>
        <w:separator/>
      </w:r>
    </w:p>
  </w:endnote>
  <w:endnote w:type="continuationSeparator" w:id="0">
    <w:p w14:paraId="76C7C18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A23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125393" w14:textId="4E47555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1670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DBAD" w14:textId="71250D9F" w:rsidR="00567276" w:rsidRDefault="00264979" w:rsidP="00F33B22">
    <w:pPr>
      <w:pStyle w:val="Footer"/>
    </w:pPr>
    <w:r>
      <w:fldChar w:fldCharType="begin"/>
    </w:r>
    <w:r w:rsidRPr="008F2834">
      <w:instrText xml:space="preserve"> FILENAME \p  \* MERGEFORMAT </w:instrText>
    </w:r>
    <w:r>
      <w:fldChar w:fldCharType="separate"/>
    </w:r>
    <w:r>
      <w:t>P:\RUS\ITU-R\CONF-R\CMR23\100\111ADD24ADD02R.docx</w:t>
    </w:r>
    <w:r>
      <w:fldChar w:fldCharType="end"/>
    </w:r>
    <w:r>
      <w:t xml:space="preserve"> (530277)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E632" w14:textId="4C4DFF67" w:rsidR="00567276" w:rsidRPr="008F2834" w:rsidRDefault="00567276" w:rsidP="00FB67E5">
    <w:pPr>
      <w:pStyle w:val="Footer"/>
    </w:pPr>
    <w:r>
      <w:fldChar w:fldCharType="begin"/>
    </w:r>
    <w:r w:rsidRPr="008F2834">
      <w:instrText xml:space="preserve"> FILENAME \p  \* MERGEFORMAT </w:instrText>
    </w:r>
    <w:r>
      <w:fldChar w:fldCharType="separate"/>
    </w:r>
    <w:r w:rsidR="00264979">
      <w:t>P:\RUS\ITU-R\CONF-R\CMR23\100\111ADD24ADD02R.docx</w:t>
    </w:r>
    <w:r>
      <w:fldChar w:fldCharType="end"/>
    </w:r>
    <w:r w:rsidR="00B4501F">
      <w:t xml:space="preserve"> (530277)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E246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9E24542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3A2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055CE">
      <w:rPr>
        <w:noProof/>
      </w:rPr>
      <w:t>4</w:t>
    </w:r>
    <w:r>
      <w:fldChar w:fldCharType="end"/>
    </w:r>
  </w:p>
  <w:p w14:paraId="5EDAE14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111(Add.24)(Add.2)-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82103029">
    <w:abstractNumId w:val="0"/>
  </w:num>
  <w:num w:numId="2" w16cid:durableId="7155912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2DCB"/>
    <w:rsid w:val="000F33D8"/>
    <w:rsid w:val="000F39B4"/>
    <w:rsid w:val="00101EAE"/>
    <w:rsid w:val="00111A4C"/>
    <w:rsid w:val="00113D0B"/>
    <w:rsid w:val="00117304"/>
    <w:rsid w:val="001226EC"/>
    <w:rsid w:val="00123B68"/>
    <w:rsid w:val="00124C09"/>
    <w:rsid w:val="00126F2E"/>
    <w:rsid w:val="00146961"/>
    <w:rsid w:val="001521AE"/>
    <w:rsid w:val="00193512"/>
    <w:rsid w:val="001A5585"/>
    <w:rsid w:val="001D46DF"/>
    <w:rsid w:val="001E1BA6"/>
    <w:rsid w:val="001E5FB4"/>
    <w:rsid w:val="001E61FF"/>
    <w:rsid w:val="00202CA0"/>
    <w:rsid w:val="00211670"/>
    <w:rsid w:val="00230582"/>
    <w:rsid w:val="002449AA"/>
    <w:rsid w:val="00245A1F"/>
    <w:rsid w:val="00246A9E"/>
    <w:rsid w:val="00264979"/>
    <w:rsid w:val="00290C74"/>
    <w:rsid w:val="002A2D3F"/>
    <w:rsid w:val="002B1996"/>
    <w:rsid w:val="002C0AAB"/>
    <w:rsid w:val="002D32B7"/>
    <w:rsid w:val="00300F84"/>
    <w:rsid w:val="003119F2"/>
    <w:rsid w:val="003258F2"/>
    <w:rsid w:val="00344EB8"/>
    <w:rsid w:val="00346BEC"/>
    <w:rsid w:val="00371E4B"/>
    <w:rsid w:val="00373759"/>
    <w:rsid w:val="00377DFE"/>
    <w:rsid w:val="003A4A7E"/>
    <w:rsid w:val="003C583C"/>
    <w:rsid w:val="003F0078"/>
    <w:rsid w:val="003F1649"/>
    <w:rsid w:val="00434A7C"/>
    <w:rsid w:val="00443D4B"/>
    <w:rsid w:val="0045143A"/>
    <w:rsid w:val="0046501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31235"/>
    <w:rsid w:val="00540D1E"/>
    <w:rsid w:val="005431C2"/>
    <w:rsid w:val="005651C9"/>
    <w:rsid w:val="00567276"/>
    <w:rsid w:val="005755E2"/>
    <w:rsid w:val="00597005"/>
    <w:rsid w:val="005A295E"/>
    <w:rsid w:val="005D0BA0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A7AC2"/>
    <w:rsid w:val="00763F4F"/>
    <w:rsid w:val="00775720"/>
    <w:rsid w:val="0077680E"/>
    <w:rsid w:val="00785757"/>
    <w:rsid w:val="007917AE"/>
    <w:rsid w:val="007A08B5"/>
    <w:rsid w:val="00811633"/>
    <w:rsid w:val="00812452"/>
    <w:rsid w:val="00815749"/>
    <w:rsid w:val="00872FC8"/>
    <w:rsid w:val="0087309E"/>
    <w:rsid w:val="008B43F2"/>
    <w:rsid w:val="008B7413"/>
    <w:rsid w:val="008C3257"/>
    <w:rsid w:val="008C401C"/>
    <w:rsid w:val="008F2834"/>
    <w:rsid w:val="009119CC"/>
    <w:rsid w:val="009177D1"/>
    <w:rsid w:val="00917C0A"/>
    <w:rsid w:val="00941A02"/>
    <w:rsid w:val="00952601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64A2"/>
    <w:rsid w:val="00A4600A"/>
    <w:rsid w:val="00A57C04"/>
    <w:rsid w:val="00A61057"/>
    <w:rsid w:val="00A7084F"/>
    <w:rsid w:val="00A710E7"/>
    <w:rsid w:val="00A81026"/>
    <w:rsid w:val="00A97EC0"/>
    <w:rsid w:val="00AC6578"/>
    <w:rsid w:val="00AC66E6"/>
    <w:rsid w:val="00B2437A"/>
    <w:rsid w:val="00B24E60"/>
    <w:rsid w:val="00B4501F"/>
    <w:rsid w:val="00B468A6"/>
    <w:rsid w:val="00B558A7"/>
    <w:rsid w:val="00B72C27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396E"/>
    <w:rsid w:val="00C56E7A"/>
    <w:rsid w:val="00C779CE"/>
    <w:rsid w:val="00C916AF"/>
    <w:rsid w:val="00CC47C6"/>
    <w:rsid w:val="00CC4DE6"/>
    <w:rsid w:val="00CE5E47"/>
    <w:rsid w:val="00CF020F"/>
    <w:rsid w:val="00CF5E98"/>
    <w:rsid w:val="00D53715"/>
    <w:rsid w:val="00D7331A"/>
    <w:rsid w:val="00DA5018"/>
    <w:rsid w:val="00DB5832"/>
    <w:rsid w:val="00DE2EBA"/>
    <w:rsid w:val="00E055CE"/>
    <w:rsid w:val="00E2253F"/>
    <w:rsid w:val="00E30A4C"/>
    <w:rsid w:val="00E43E99"/>
    <w:rsid w:val="00E5155F"/>
    <w:rsid w:val="00E65919"/>
    <w:rsid w:val="00E976C1"/>
    <w:rsid w:val="00EA0C0C"/>
    <w:rsid w:val="00EB66F7"/>
    <w:rsid w:val="00EC538C"/>
    <w:rsid w:val="00EF43E7"/>
    <w:rsid w:val="00F1578A"/>
    <w:rsid w:val="00F21A03"/>
    <w:rsid w:val="00F33B22"/>
    <w:rsid w:val="00F65316"/>
    <w:rsid w:val="00F65C19"/>
    <w:rsid w:val="00F761D2"/>
    <w:rsid w:val="00F97203"/>
    <w:rsid w:val="00FB4ED3"/>
    <w:rsid w:val="00FB5FCA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B482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R-REP-M/publications.aspx?lang=en&amp;parent=R-REP-M.251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rec/R-REC-M.1902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R-REC-M.190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EB03BB-FEE2-4571-A39C-08EC9DAB0E3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1727C-7736-43C1-AC2E-A19236156A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1298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R23-WRC23-C-0111!A24-A2!MSW-R</vt:lpstr>
    </vt:vector>
  </TitlesOfParts>
  <Manager>General Secretariat - Pool</Manager>
  <Company>International Telecommunication Union (ITU)</Company>
  <LinksUpToDate>false</LinksUpToDate>
  <CharactersWithSpaces>10101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R23-WRC23-C-0111!A24-A2!MSW-R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24</cp:revision>
  <cp:lastPrinted>2003-06-17T08:22:00Z</cp:lastPrinted>
  <dcterms:created xsi:type="dcterms:W3CDTF">2023-11-08T16:49:00Z</dcterms:created>
  <dcterms:modified xsi:type="dcterms:W3CDTF">2023-11-15T13:52:00Z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