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DD4642" w14:paraId="59EA2591" w14:textId="77777777" w:rsidTr="00C1305F">
        <w:trPr>
          <w:cantSplit/>
        </w:trPr>
        <w:tc>
          <w:tcPr>
            <w:tcW w:w="1418" w:type="dxa"/>
            <w:vAlign w:val="center"/>
          </w:tcPr>
          <w:p w14:paraId="6A1D06DC" w14:textId="77777777" w:rsidR="00C1305F" w:rsidRPr="00DD4642" w:rsidRDefault="00C1305F" w:rsidP="00C1305F">
            <w:pPr>
              <w:spacing w:before="0" w:line="240" w:lineRule="atLeast"/>
              <w:rPr>
                <w:rFonts w:ascii="Verdana" w:hAnsi="Verdana"/>
                <w:b/>
                <w:bCs/>
                <w:sz w:val="20"/>
              </w:rPr>
            </w:pPr>
            <w:r w:rsidRPr="00DD4642">
              <w:rPr>
                <w:lang w:eastAsia="fr-CH"/>
              </w:rPr>
              <w:drawing>
                <wp:inline distT="0" distB="0" distL="0" distR="0" wp14:anchorId="752F4BF6" wp14:editId="32822257">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769D0441" w14:textId="606553B4" w:rsidR="00C1305F" w:rsidRPr="00DD4642" w:rsidRDefault="00C1305F" w:rsidP="00F10064">
            <w:pPr>
              <w:spacing w:before="400" w:after="48" w:line="240" w:lineRule="atLeast"/>
              <w:rPr>
                <w:rFonts w:ascii="Verdana" w:hAnsi="Verdana"/>
                <w:b/>
                <w:bCs/>
                <w:sz w:val="20"/>
              </w:rPr>
            </w:pPr>
            <w:r w:rsidRPr="00DD4642">
              <w:rPr>
                <w:rFonts w:ascii="Verdana" w:hAnsi="Verdana"/>
                <w:b/>
                <w:bCs/>
                <w:sz w:val="20"/>
              </w:rPr>
              <w:t>Conférence mondiale des radiocommunications (CMR-23)</w:t>
            </w:r>
            <w:r w:rsidRPr="00DD4642">
              <w:rPr>
                <w:rFonts w:ascii="Verdana" w:hAnsi="Verdana"/>
                <w:b/>
                <w:bCs/>
                <w:sz w:val="20"/>
              </w:rPr>
              <w:br/>
            </w:r>
            <w:r w:rsidRPr="00DD4642">
              <w:rPr>
                <w:rFonts w:ascii="Verdana" w:hAnsi="Verdana"/>
                <w:b/>
                <w:bCs/>
                <w:sz w:val="18"/>
                <w:szCs w:val="18"/>
              </w:rPr>
              <w:t xml:space="preserve">Dubaï, 20 novembre </w:t>
            </w:r>
            <w:r w:rsidR="008D57C9" w:rsidRPr="00DD4642">
              <w:rPr>
                <w:rFonts w:ascii="Verdana" w:hAnsi="Verdana"/>
                <w:b/>
                <w:bCs/>
                <w:sz w:val="18"/>
                <w:szCs w:val="18"/>
              </w:rPr>
              <w:t>–</w:t>
            </w:r>
            <w:r w:rsidRPr="00DD4642">
              <w:rPr>
                <w:rFonts w:ascii="Verdana" w:hAnsi="Verdana"/>
                <w:b/>
                <w:bCs/>
                <w:sz w:val="18"/>
                <w:szCs w:val="18"/>
              </w:rPr>
              <w:t xml:space="preserve"> 15 décembre 2023</w:t>
            </w:r>
          </w:p>
        </w:tc>
        <w:tc>
          <w:tcPr>
            <w:tcW w:w="1809" w:type="dxa"/>
            <w:vAlign w:val="center"/>
          </w:tcPr>
          <w:p w14:paraId="00B925C2" w14:textId="77777777" w:rsidR="00C1305F" w:rsidRPr="00DD4642" w:rsidRDefault="00C1305F" w:rsidP="00C1305F">
            <w:pPr>
              <w:spacing w:before="0" w:line="240" w:lineRule="atLeast"/>
            </w:pPr>
            <w:bookmarkStart w:id="0" w:name="ditulogo"/>
            <w:bookmarkEnd w:id="0"/>
            <w:r w:rsidRPr="00DD4642">
              <w:rPr>
                <w:lang w:eastAsia="fr-CH"/>
              </w:rPr>
              <w:drawing>
                <wp:inline distT="0" distB="0" distL="0" distR="0" wp14:anchorId="456C34C1" wp14:editId="63309F16">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DD4642" w14:paraId="525A0B89" w14:textId="77777777" w:rsidTr="0050008E">
        <w:trPr>
          <w:cantSplit/>
        </w:trPr>
        <w:tc>
          <w:tcPr>
            <w:tcW w:w="6911" w:type="dxa"/>
            <w:gridSpan w:val="2"/>
            <w:tcBorders>
              <w:bottom w:val="single" w:sz="12" w:space="0" w:color="auto"/>
            </w:tcBorders>
          </w:tcPr>
          <w:p w14:paraId="06B01E52" w14:textId="77777777" w:rsidR="00BB1D82" w:rsidRPr="00DD4642" w:rsidRDefault="00BB1D82" w:rsidP="00BB1D82">
            <w:pPr>
              <w:spacing w:before="0" w:after="48" w:line="240" w:lineRule="atLeast"/>
              <w:rPr>
                <w:b/>
                <w:smallCaps/>
                <w:szCs w:val="24"/>
              </w:rPr>
            </w:pPr>
            <w:bookmarkStart w:id="1" w:name="dhead"/>
          </w:p>
        </w:tc>
        <w:tc>
          <w:tcPr>
            <w:tcW w:w="3120" w:type="dxa"/>
            <w:gridSpan w:val="2"/>
            <w:tcBorders>
              <w:bottom w:val="single" w:sz="12" w:space="0" w:color="auto"/>
            </w:tcBorders>
          </w:tcPr>
          <w:p w14:paraId="2D87EB49" w14:textId="77777777" w:rsidR="00BB1D82" w:rsidRPr="00DD4642" w:rsidRDefault="00BB1D82" w:rsidP="00BB1D82">
            <w:pPr>
              <w:spacing w:before="0" w:line="240" w:lineRule="atLeast"/>
              <w:rPr>
                <w:rFonts w:ascii="Verdana" w:hAnsi="Verdana"/>
                <w:szCs w:val="24"/>
              </w:rPr>
            </w:pPr>
          </w:p>
        </w:tc>
      </w:tr>
      <w:tr w:rsidR="00BB1D82" w:rsidRPr="00DD4642" w14:paraId="286F39B3" w14:textId="77777777" w:rsidTr="00BB1D82">
        <w:trPr>
          <w:cantSplit/>
        </w:trPr>
        <w:tc>
          <w:tcPr>
            <w:tcW w:w="6911" w:type="dxa"/>
            <w:gridSpan w:val="2"/>
            <w:tcBorders>
              <w:top w:val="single" w:sz="12" w:space="0" w:color="auto"/>
            </w:tcBorders>
          </w:tcPr>
          <w:p w14:paraId="63797390" w14:textId="77777777" w:rsidR="00BB1D82" w:rsidRPr="00DD4642" w:rsidRDefault="00BB1D82" w:rsidP="00BB1D82">
            <w:pPr>
              <w:spacing w:before="0" w:after="48" w:line="240" w:lineRule="atLeast"/>
              <w:rPr>
                <w:rFonts w:ascii="Verdana" w:hAnsi="Verdana"/>
                <w:b/>
                <w:smallCaps/>
                <w:sz w:val="20"/>
              </w:rPr>
            </w:pPr>
          </w:p>
        </w:tc>
        <w:tc>
          <w:tcPr>
            <w:tcW w:w="3120" w:type="dxa"/>
            <w:gridSpan w:val="2"/>
            <w:tcBorders>
              <w:top w:val="single" w:sz="12" w:space="0" w:color="auto"/>
            </w:tcBorders>
          </w:tcPr>
          <w:p w14:paraId="455351A0" w14:textId="77777777" w:rsidR="00BB1D82" w:rsidRPr="00DD4642" w:rsidRDefault="00BB1D82" w:rsidP="00BB1D82">
            <w:pPr>
              <w:spacing w:before="0" w:line="240" w:lineRule="atLeast"/>
              <w:rPr>
                <w:rFonts w:ascii="Verdana" w:hAnsi="Verdana"/>
                <w:sz w:val="20"/>
              </w:rPr>
            </w:pPr>
          </w:p>
        </w:tc>
      </w:tr>
      <w:tr w:rsidR="00BB1D82" w:rsidRPr="00DD4642" w14:paraId="6AC514C1" w14:textId="77777777" w:rsidTr="00BB1D82">
        <w:trPr>
          <w:cantSplit/>
        </w:trPr>
        <w:tc>
          <w:tcPr>
            <w:tcW w:w="6911" w:type="dxa"/>
            <w:gridSpan w:val="2"/>
          </w:tcPr>
          <w:p w14:paraId="4E0541F2" w14:textId="77777777" w:rsidR="00BB1D82" w:rsidRPr="00DD4642" w:rsidRDefault="006D4724" w:rsidP="00FE57FB">
            <w:pPr>
              <w:spacing w:before="0"/>
              <w:rPr>
                <w:rFonts w:ascii="Verdana" w:hAnsi="Verdana"/>
                <w:b/>
                <w:sz w:val="20"/>
              </w:rPr>
            </w:pPr>
            <w:r w:rsidRPr="00DD4642">
              <w:rPr>
                <w:rFonts w:ascii="Verdana" w:hAnsi="Verdana"/>
                <w:b/>
                <w:sz w:val="20"/>
              </w:rPr>
              <w:t>SÉANCE PLÉNIÈRE</w:t>
            </w:r>
          </w:p>
        </w:tc>
        <w:tc>
          <w:tcPr>
            <w:tcW w:w="3120" w:type="dxa"/>
            <w:gridSpan w:val="2"/>
          </w:tcPr>
          <w:p w14:paraId="3ABFCA6A" w14:textId="77777777" w:rsidR="00BB1D82" w:rsidRPr="00DD4642" w:rsidRDefault="006D4724" w:rsidP="00FE57FB">
            <w:pPr>
              <w:spacing w:before="0"/>
              <w:rPr>
                <w:rFonts w:ascii="Verdana" w:hAnsi="Verdana"/>
                <w:sz w:val="20"/>
              </w:rPr>
            </w:pPr>
            <w:r w:rsidRPr="00DD4642">
              <w:rPr>
                <w:rFonts w:ascii="Verdana" w:hAnsi="Verdana"/>
                <w:b/>
                <w:sz w:val="20"/>
              </w:rPr>
              <w:t>Addendum 2 au</w:t>
            </w:r>
            <w:r w:rsidRPr="00DD4642">
              <w:rPr>
                <w:rFonts w:ascii="Verdana" w:hAnsi="Verdana"/>
                <w:b/>
                <w:sz w:val="20"/>
              </w:rPr>
              <w:br/>
              <w:t>Document 111(Add.24)</w:t>
            </w:r>
            <w:r w:rsidR="00BB1D82" w:rsidRPr="00DD4642">
              <w:rPr>
                <w:rFonts w:ascii="Verdana" w:hAnsi="Verdana"/>
                <w:b/>
                <w:sz w:val="20"/>
              </w:rPr>
              <w:t>-</w:t>
            </w:r>
            <w:r w:rsidRPr="00DD4642">
              <w:rPr>
                <w:rFonts w:ascii="Verdana" w:hAnsi="Verdana"/>
                <w:b/>
                <w:sz w:val="20"/>
              </w:rPr>
              <w:t>F</w:t>
            </w:r>
          </w:p>
        </w:tc>
      </w:tr>
      <w:bookmarkEnd w:id="1"/>
      <w:tr w:rsidR="00690C7B" w:rsidRPr="00DD4642" w14:paraId="74F5011F" w14:textId="77777777" w:rsidTr="00BB1D82">
        <w:trPr>
          <w:cantSplit/>
        </w:trPr>
        <w:tc>
          <w:tcPr>
            <w:tcW w:w="6911" w:type="dxa"/>
            <w:gridSpan w:val="2"/>
          </w:tcPr>
          <w:p w14:paraId="25BA1E8F" w14:textId="77777777" w:rsidR="00690C7B" w:rsidRPr="00DD4642" w:rsidRDefault="00690C7B" w:rsidP="00FE57FB">
            <w:pPr>
              <w:spacing w:before="0"/>
              <w:rPr>
                <w:rFonts w:ascii="Verdana" w:hAnsi="Verdana"/>
                <w:b/>
                <w:sz w:val="20"/>
              </w:rPr>
            </w:pPr>
          </w:p>
        </w:tc>
        <w:tc>
          <w:tcPr>
            <w:tcW w:w="3120" w:type="dxa"/>
            <w:gridSpan w:val="2"/>
          </w:tcPr>
          <w:p w14:paraId="703323E5" w14:textId="77777777" w:rsidR="00690C7B" w:rsidRPr="00DD4642" w:rsidRDefault="00690C7B" w:rsidP="00FE57FB">
            <w:pPr>
              <w:spacing w:before="0"/>
              <w:rPr>
                <w:rFonts w:ascii="Verdana" w:hAnsi="Verdana"/>
                <w:b/>
                <w:sz w:val="20"/>
              </w:rPr>
            </w:pPr>
            <w:r w:rsidRPr="00DD4642">
              <w:rPr>
                <w:rFonts w:ascii="Verdana" w:hAnsi="Verdana"/>
                <w:b/>
                <w:sz w:val="20"/>
              </w:rPr>
              <w:t>29 octobre 2023</w:t>
            </w:r>
          </w:p>
        </w:tc>
      </w:tr>
      <w:tr w:rsidR="00690C7B" w:rsidRPr="00DD4642" w14:paraId="51699DA1" w14:textId="77777777" w:rsidTr="00BB1D82">
        <w:trPr>
          <w:cantSplit/>
        </w:trPr>
        <w:tc>
          <w:tcPr>
            <w:tcW w:w="6911" w:type="dxa"/>
            <w:gridSpan w:val="2"/>
          </w:tcPr>
          <w:p w14:paraId="7639090E" w14:textId="77777777" w:rsidR="00690C7B" w:rsidRPr="00DD4642" w:rsidRDefault="00690C7B" w:rsidP="00FE57FB">
            <w:pPr>
              <w:spacing w:before="0" w:after="48"/>
              <w:rPr>
                <w:rFonts w:ascii="Verdana" w:hAnsi="Verdana"/>
                <w:b/>
                <w:smallCaps/>
                <w:sz w:val="20"/>
              </w:rPr>
            </w:pPr>
          </w:p>
        </w:tc>
        <w:tc>
          <w:tcPr>
            <w:tcW w:w="3120" w:type="dxa"/>
            <w:gridSpan w:val="2"/>
          </w:tcPr>
          <w:p w14:paraId="051D559A" w14:textId="77777777" w:rsidR="00690C7B" w:rsidRPr="00DD4642" w:rsidRDefault="00690C7B" w:rsidP="00FE57FB">
            <w:pPr>
              <w:spacing w:before="0"/>
              <w:rPr>
                <w:rFonts w:ascii="Verdana" w:hAnsi="Verdana"/>
                <w:b/>
                <w:sz w:val="20"/>
              </w:rPr>
            </w:pPr>
            <w:r w:rsidRPr="00DD4642">
              <w:rPr>
                <w:rFonts w:ascii="Verdana" w:hAnsi="Verdana"/>
                <w:b/>
                <w:sz w:val="20"/>
              </w:rPr>
              <w:t>Original: chinois</w:t>
            </w:r>
          </w:p>
        </w:tc>
      </w:tr>
      <w:tr w:rsidR="00690C7B" w:rsidRPr="00DD4642" w14:paraId="0019F56B" w14:textId="77777777" w:rsidTr="00C11970">
        <w:trPr>
          <w:cantSplit/>
        </w:trPr>
        <w:tc>
          <w:tcPr>
            <w:tcW w:w="10031" w:type="dxa"/>
            <w:gridSpan w:val="4"/>
          </w:tcPr>
          <w:p w14:paraId="5BD11B87" w14:textId="77777777" w:rsidR="00690C7B" w:rsidRPr="00DD4642" w:rsidRDefault="00690C7B" w:rsidP="00FE57FB">
            <w:pPr>
              <w:spacing w:before="0"/>
              <w:rPr>
                <w:rFonts w:ascii="Verdana" w:hAnsi="Verdana"/>
                <w:b/>
                <w:sz w:val="20"/>
              </w:rPr>
            </w:pPr>
          </w:p>
        </w:tc>
      </w:tr>
      <w:tr w:rsidR="00690C7B" w:rsidRPr="00DD4642" w14:paraId="43611DBC" w14:textId="77777777" w:rsidTr="0050008E">
        <w:trPr>
          <w:cantSplit/>
        </w:trPr>
        <w:tc>
          <w:tcPr>
            <w:tcW w:w="10031" w:type="dxa"/>
            <w:gridSpan w:val="4"/>
          </w:tcPr>
          <w:p w14:paraId="7EE8C882" w14:textId="77777777" w:rsidR="00690C7B" w:rsidRPr="00DD4642" w:rsidRDefault="00690C7B" w:rsidP="00FE57FB">
            <w:pPr>
              <w:pStyle w:val="Source"/>
            </w:pPr>
            <w:bookmarkStart w:id="2" w:name="dsource" w:colFirst="0" w:colLast="0"/>
            <w:r w:rsidRPr="00DD4642">
              <w:t>Chine (République populaire de)</w:t>
            </w:r>
          </w:p>
        </w:tc>
      </w:tr>
      <w:tr w:rsidR="00690C7B" w:rsidRPr="00DD4642" w14:paraId="1070E291" w14:textId="77777777" w:rsidTr="0050008E">
        <w:trPr>
          <w:cantSplit/>
        </w:trPr>
        <w:tc>
          <w:tcPr>
            <w:tcW w:w="10031" w:type="dxa"/>
            <w:gridSpan w:val="4"/>
          </w:tcPr>
          <w:p w14:paraId="4018BF54" w14:textId="18684056" w:rsidR="00690C7B" w:rsidRPr="00DD4642" w:rsidRDefault="00AA0C6E" w:rsidP="00FE57FB">
            <w:pPr>
              <w:pStyle w:val="Title2"/>
            </w:pPr>
            <w:bookmarkStart w:id="3" w:name="dtitle2" w:colFirst="0" w:colLast="0"/>
            <w:bookmarkEnd w:id="2"/>
            <w:r w:rsidRPr="00DD4642">
              <w:t>Propositions pour les travaux de la conférence</w:t>
            </w:r>
          </w:p>
        </w:tc>
      </w:tr>
      <w:tr w:rsidR="00690C7B" w:rsidRPr="00DD4642" w14:paraId="742FA620" w14:textId="77777777" w:rsidTr="0050008E">
        <w:trPr>
          <w:cantSplit/>
        </w:trPr>
        <w:tc>
          <w:tcPr>
            <w:tcW w:w="10031" w:type="dxa"/>
            <w:gridSpan w:val="4"/>
          </w:tcPr>
          <w:p w14:paraId="55B0A17A" w14:textId="77777777" w:rsidR="00690C7B" w:rsidRPr="00DD4642" w:rsidRDefault="00690C7B" w:rsidP="00FE57FB">
            <w:pPr>
              <w:pStyle w:val="Agendaitem"/>
              <w:rPr>
                <w:lang w:val="fr-FR"/>
              </w:rPr>
            </w:pPr>
            <w:bookmarkStart w:id="4" w:name="dtitle3" w:colFirst="0" w:colLast="0"/>
            <w:bookmarkEnd w:id="3"/>
            <w:r w:rsidRPr="00DD4642">
              <w:rPr>
                <w:lang w:val="fr-FR"/>
              </w:rPr>
              <w:t>Point 9.1(9.1-b) de l'ordre du jour</w:t>
            </w:r>
          </w:p>
        </w:tc>
      </w:tr>
    </w:tbl>
    <w:bookmarkEnd w:id="4"/>
    <w:p w14:paraId="63050D8A" w14:textId="399B4C75" w:rsidR="0082532B" w:rsidRPr="00DD4642" w:rsidRDefault="00C346E9" w:rsidP="00FE57FB">
      <w:r w:rsidRPr="00DD4642">
        <w:t>9</w:t>
      </w:r>
      <w:r w:rsidRPr="00DD4642">
        <w:tab/>
        <w:t>examiner et approuver le rapport du Directeur du Bureau des radiocommunications, conformément à l'article 7 de la Convention de l'UIT</w:t>
      </w:r>
      <w:r w:rsidR="00FE57FB" w:rsidRPr="00DD4642">
        <w:t>;</w:t>
      </w:r>
    </w:p>
    <w:p w14:paraId="53E540F9" w14:textId="77777777" w:rsidR="0082532B" w:rsidRPr="00DD4642" w:rsidRDefault="00C346E9" w:rsidP="00FE57FB">
      <w:r w:rsidRPr="00DD4642">
        <w:t>9.1</w:t>
      </w:r>
      <w:r w:rsidRPr="00DD4642">
        <w:tab/>
        <w:t>sur les activités du Secteur des radiocommunications de l'UIT depuis la CMR</w:t>
      </w:r>
      <w:r w:rsidRPr="00DD4642">
        <w:noBreakHyphen/>
        <w:t>19;</w:t>
      </w:r>
    </w:p>
    <w:p w14:paraId="1CFA6222" w14:textId="77777777" w:rsidR="0082532B" w:rsidRPr="00DD4642" w:rsidRDefault="00C346E9" w:rsidP="00FE57FB">
      <w:r w:rsidRPr="00DD4642">
        <w:t>(9.1-b)</w:t>
      </w:r>
      <w:r w:rsidRPr="00DD4642">
        <w:tab/>
        <w:t xml:space="preserve">Examiner les attributions au service d'amateur et au service d'amateur par satellite dans la bande de fréquences 1 240-1 300 MHz, afin de déterminer si des mesures additionnelles doivent être prises pour garantir la protection du service de radionavigation par satellite (espace vers Terre) fonctionnant dans la même bande de fréquences, conformément à la Résolution </w:t>
      </w:r>
      <w:r w:rsidRPr="00DD4642">
        <w:rPr>
          <w:b/>
          <w:bCs/>
        </w:rPr>
        <w:t>774 (CMR-19)</w:t>
      </w:r>
      <w:r w:rsidRPr="00DD4642">
        <w:t>;</w:t>
      </w:r>
    </w:p>
    <w:p w14:paraId="4C936561" w14:textId="52C310D6" w:rsidR="0082532B" w:rsidRPr="00DD4642" w:rsidRDefault="00C346E9" w:rsidP="00ED7382">
      <w:r w:rsidRPr="00DD4642">
        <w:t xml:space="preserve">Résolution </w:t>
      </w:r>
      <w:r w:rsidRPr="00DD4642">
        <w:rPr>
          <w:b/>
          <w:bCs/>
        </w:rPr>
        <w:t>774 (CMR-19)</w:t>
      </w:r>
      <w:r w:rsidRPr="00DD4642">
        <w:t xml:space="preserve"> </w:t>
      </w:r>
      <w:r w:rsidR="009E028E" w:rsidRPr="00DD4642">
        <w:t>–</w:t>
      </w:r>
      <w:r w:rsidRPr="00DD4642">
        <w:t xml:space="preserve"> Études relatives aux mesures techniques et opérationnelles à appliquer dans la bande de fréquences 1 240-1 300 MHz pour garantir la protection du service de radionavigation par satellite (espace vers Terre)</w:t>
      </w:r>
    </w:p>
    <w:p w14:paraId="4DA50877" w14:textId="6499E7F2" w:rsidR="003A583E" w:rsidRPr="00DD4642" w:rsidRDefault="00AA0C6E" w:rsidP="00AA0C6E">
      <w:pPr>
        <w:pStyle w:val="Headingb"/>
      </w:pPr>
      <w:r w:rsidRPr="00DD4642">
        <w:t>Introduction</w:t>
      </w:r>
    </w:p>
    <w:p w14:paraId="7F640E12" w14:textId="7C472AA6" w:rsidR="00AA0C6E" w:rsidRPr="00DD4642" w:rsidRDefault="005E1040" w:rsidP="00AA0C6E">
      <w:r w:rsidRPr="00DD4642">
        <w:t>Pendant le cycle d'études de la CMR-23, le Groupe de travail (GT) 5A a collaboré avec le GT 4C dans le cadre de l'étude des caractéristiques des services d'amateur et d'amateur par satellite et de la compatibilité entre le service de radionavigation par satellite (SRN</w:t>
      </w:r>
      <w:r w:rsidR="00FB4BAB" w:rsidRPr="00DD4642">
        <w:t>S</w:t>
      </w:r>
      <w:r w:rsidRPr="00DD4642">
        <w:t>) et le</w:t>
      </w:r>
      <w:r w:rsidR="005603F8" w:rsidRPr="00DD4642">
        <w:t>s</w:t>
      </w:r>
      <w:r w:rsidRPr="00DD4642">
        <w:t xml:space="preserve"> service</w:t>
      </w:r>
      <w:r w:rsidR="005603F8" w:rsidRPr="00DD4642">
        <w:t>s</w:t>
      </w:r>
      <w:r w:rsidRPr="00DD4642">
        <w:t xml:space="preserve"> d'amateur (SA) et d'amateur par satellite (SAS) dans la bande de fréquences 1 240-1 300 MHz, et les travaux du</w:t>
      </w:r>
      <w:r w:rsidR="00FE57FB" w:rsidRPr="00DD4642">
        <w:t> </w:t>
      </w:r>
      <w:r w:rsidRPr="00DD4642">
        <w:t>GT</w:t>
      </w:r>
      <w:r w:rsidR="005603F8" w:rsidRPr="00DD4642">
        <w:t> </w:t>
      </w:r>
      <w:r w:rsidRPr="00DD4642">
        <w:t xml:space="preserve">5A ont abouti à une nouvelle Recommandation UIT-R M.[AS.GUIDANCE]. Toutefois, en raison de différends entre les parties intéressées, la nouvelle Recommandation n'a pas été établie </w:t>
      </w:r>
      <w:r w:rsidR="00300092" w:rsidRPr="00DD4642">
        <w:t xml:space="preserve">sous sa forme </w:t>
      </w:r>
      <w:r w:rsidRPr="00DD4642">
        <w:t xml:space="preserve">définitive avant la CMR-23 et reste </w:t>
      </w:r>
      <w:r w:rsidR="00300092" w:rsidRPr="00DD4642">
        <w:t xml:space="preserve">devant le </w:t>
      </w:r>
      <w:r w:rsidRPr="00DD4642">
        <w:t xml:space="preserve">GT 5A </w:t>
      </w:r>
      <w:r w:rsidR="00300092" w:rsidRPr="00DD4642">
        <w:t>à l</w:t>
      </w:r>
      <w:r w:rsidR="009E028E" w:rsidRPr="00DD4642">
        <w:t>'</w:t>
      </w:r>
      <w:r w:rsidR="00300092" w:rsidRPr="00DD4642">
        <w:t>état d</w:t>
      </w:r>
      <w:r w:rsidR="009E028E" w:rsidRPr="00DD4642">
        <w:t>'</w:t>
      </w:r>
      <w:r w:rsidRPr="00DD4642">
        <w:t>avant-projet de nouvelle Recommandation.</w:t>
      </w:r>
    </w:p>
    <w:p w14:paraId="27384DA3" w14:textId="51341C40" w:rsidR="00AA0C6E" w:rsidRPr="00DD4642" w:rsidRDefault="00AA0C6E" w:rsidP="00AA0C6E">
      <w:pPr>
        <w:pStyle w:val="Headingb"/>
      </w:pPr>
      <w:r w:rsidRPr="00DD4642">
        <w:t>Propositions</w:t>
      </w:r>
    </w:p>
    <w:p w14:paraId="0303FBC7" w14:textId="7FCC0A05" w:rsidR="005E1040" w:rsidRPr="00DD4642" w:rsidRDefault="005E1040" w:rsidP="005E1040">
      <w:r w:rsidRPr="00DD4642">
        <w:t xml:space="preserve">En ce qui concerne le point </w:t>
      </w:r>
      <w:r w:rsidR="005603F8" w:rsidRPr="00DD4642">
        <w:t>9.1(</w:t>
      </w:r>
      <w:r w:rsidRPr="00DD4642">
        <w:t>9.1</w:t>
      </w:r>
      <w:r w:rsidR="005603F8" w:rsidRPr="00DD4642">
        <w:t>-</w:t>
      </w:r>
      <w:r w:rsidRPr="00DD4642">
        <w:t>b</w:t>
      </w:r>
      <w:r w:rsidR="005603F8" w:rsidRPr="00DD4642">
        <w:t>)</w:t>
      </w:r>
      <w:r w:rsidRPr="00DD4642">
        <w:t xml:space="preserve"> de l'ordre du jour de la CMR-23, </w:t>
      </w:r>
      <w:r w:rsidR="005603F8" w:rsidRPr="00DD4642">
        <w:t>c</w:t>
      </w:r>
      <w:r w:rsidRPr="00DD4642">
        <w:t xml:space="preserve">e projet de nouvelle Résolution est proposé par l'Administration de la Chine, compte tenu des discussions menées au sein des GT 5A et 4C au cours du présent cycle d'études. </w:t>
      </w:r>
      <w:r w:rsidR="00D61DE5" w:rsidRPr="00DD4642">
        <w:t>Il est à espérer que cette nouvelle Résolution permettra d'assurer la protection du SNRS</w:t>
      </w:r>
      <w:r w:rsidR="005603F8" w:rsidRPr="00DD4642">
        <w:t xml:space="preserve"> </w:t>
      </w:r>
      <w:r w:rsidR="00300092" w:rsidRPr="00DD4642">
        <w:t xml:space="preserve">tout en </w:t>
      </w:r>
      <w:r w:rsidR="002F37E6" w:rsidRPr="00DD4642">
        <w:t>maintenant</w:t>
      </w:r>
      <w:r w:rsidR="005603F8" w:rsidRPr="00DD4642">
        <w:t xml:space="preserve"> </w:t>
      </w:r>
      <w:r w:rsidR="00D61DE5" w:rsidRPr="00DD4642">
        <w:t>l'utilisation du SA et du</w:t>
      </w:r>
      <w:r w:rsidR="00FE57FB" w:rsidRPr="00DD4642">
        <w:t> </w:t>
      </w:r>
      <w:r w:rsidR="00D61DE5" w:rsidRPr="00DD4642">
        <w:t>SRA dans la bande de fréquences 1</w:t>
      </w:r>
      <w:r w:rsidR="005603F8" w:rsidRPr="00DD4642">
        <w:t> </w:t>
      </w:r>
      <w:r w:rsidR="00D61DE5" w:rsidRPr="00DD4642">
        <w:t>240</w:t>
      </w:r>
      <w:r w:rsidR="005603F8" w:rsidRPr="00DD4642">
        <w:t>-</w:t>
      </w:r>
      <w:r w:rsidR="00D61DE5" w:rsidRPr="00DD4642">
        <w:t>1 300 MHz.</w:t>
      </w:r>
    </w:p>
    <w:p w14:paraId="4D7D2995" w14:textId="7FB44027" w:rsidR="00AA0C6E" w:rsidRPr="00DD4642" w:rsidRDefault="00D61DE5" w:rsidP="00AA0C6E">
      <w:r w:rsidRPr="00DD4642">
        <w:t>La Chine propose d'apporter les modifications ci-après au Règlement des radiocommunications.</w:t>
      </w:r>
    </w:p>
    <w:p w14:paraId="4F4288FB" w14:textId="77777777" w:rsidR="0015203F" w:rsidRPr="00DD4642" w:rsidRDefault="0015203F">
      <w:pPr>
        <w:tabs>
          <w:tab w:val="clear" w:pos="1134"/>
          <w:tab w:val="clear" w:pos="1871"/>
          <w:tab w:val="clear" w:pos="2268"/>
        </w:tabs>
        <w:overflowPunct/>
        <w:autoSpaceDE/>
        <w:autoSpaceDN/>
        <w:adjustRightInd/>
        <w:spacing w:before="0"/>
        <w:textAlignment w:val="auto"/>
      </w:pPr>
      <w:r w:rsidRPr="00DD4642">
        <w:br w:type="page"/>
      </w:r>
    </w:p>
    <w:p w14:paraId="468DF786" w14:textId="77777777" w:rsidR="002A4236" w:rsidRPr="00DD4642" w:rsidRDefault="00C346E9">
      <w:pPr>
        <w:pStyle w:val="Proposal"/>
      </w:pPr>
      <w:r w:rsidRPr="00DD4642">
        <w:lastRenderedPageBreak/>
        <w:t>ADD</w:t>
      </w:r>
      <w:r w:rsidRPr="00DD4642">
        <w:tab/>
        <w:t>CHN/111A24A2/1</w:t>
      </w:r>
    </w:p>
    <w:p w14:paraId="4F5DB090" w14:textId="67F76499" w:rsidR="002A4236" w:rsidRPr="00DD4642" w:rsidRDefault="00C346E9">
      <w:pPr>
        <w:pStyle w:val="ResNo"/>
      </w:pPr>
      <w:r w:rsidRPr="00DD4642">
        <w:t>Projet de nouvelle Résolution [CHN</w:t>
      </w:r>
      <w:r w:rsidR="00AA0C6E" w:rsidRPr="00DD4642">
        <w:t>/a91-b/as measures</w:t>
      </w:r>
      <w:r w:rsidRPr="00DD4642">
        <w:t>]</w:t>
      </w:r>
      <w:r w:rsidR="00AA0C6E" w:rsidRPr="00DD4642">
        <w:t xml:space="preserve"> (CMR</w:t>
      </w:r>
      <w:r w:rsidR="00FE57FB" w:rsidRPr="00DD4642">
        <w:noBreakHyphen/>
      </w:r>
      <w:r w:rsidR="00AA0C6E" w:rsidRPr="00DD4642">
        <w:t>23)</w:t>
      </w:r>
    </w:p>
    <w:p w14:paraId="584B58D5" w14:textId="65AE99D9" w:rsidR="002A4236" w:rsidRPr="00DD4642" w:rsidRDefault="00D61DE5">
      <w:pPr>
        <w:pStyle w:val="Restitle"/>
      </w:pPr>
      <w:r w:rsidRPr="00DD4642">
        <w:t>Mesures techniques et opérationnelles destinées à l'utilisation de la bande de</w:t>
      </w:r>
      <w:r w:rsidR="008D57C9" w:rsidRPr="00DD4642">
        <w:br/>
      </w:r>
      <w:r w:rsidRPr="00DD4642">
        <w:t>fréquences 1 240-1 300 MHz par les services d'amateur et d'amateur</w:t>
      </w:r>
      <w:r w:rsidR="008D57C9" w:rsidRPr="00DD4642">
        <w:br/>
      </w:r>
      <w:r w:rsidRPr="00DD4642">
        <w:t>par satellite pour protéger le service de radionavigation</w:t>
      </w:r>
      <w:r w:rsidR="008D57C9" w:rsidRPr="00DD4642">
        <w:br/>
      </w:r>
      <w:r w:rsidRPr="00DD4642">
        <w:t>par satellite (espace vers Terre)</w:t>
      </w:r>
    </w:p>
    <w:p w14:paraId="4AE01606" w14:textId="11B9B57B" w:rsidR="00FC44F7" w:rsidRPr="00DD4642" w:rsidRDefault="00FC44F7" w:rsidP="00FC44F7">
      <w:pPr>
        <w:pStyle w:val="Normalaftertitle"/>
      </w:pPr>
      <w:r w:rsidRPr="00DD4642">
        <w:t>La Conférence mondiale des radiocommunications (Dubaï, 2023),</w:t>
      </w:r>
    </w:p>
    <w:p w14:paraId="636F94BA" w14:textId="6F708660" w:rsidR="00AA0C6E" w:rsidRPr="00DD4642" w:rsidRDefault="00AA0C6E" w:rsidP="00AA0C6E">
      <w:pPr>
        <w:pStyle w:val="Call"/>
      </w:pPr>
      <w:r w:rsidRPr="00DD4642">
        <w:t>considérant</w:t>
      </w:r>
    </w:p>
    <w:p w14:paraId="4AA99396" w14:textId="03D274C5" w:rsidR="00AA0C6E" w:rsidRPr="00DD4642" w:rsidRDefault="00AA0C6E" w:rsidP="00AA0C6E">
      <w:r w:rsidRPr="00DD4642">
        <w:rPr>
          <w:i/>
          <w:iCs/>
        </w:rPr>
        <w:t>a)</w:t>
      </w:r>
      <w:r w:rsidRPr="00DD4642">
        <w:tab/>
        <w:t>que l'IARU élabore, tient à jour et publie des plans de bandes de fréquences détaillés pour l'exploitation et le développement des services d'amateur et d'amateur par satellite dans les trois Régions;</w:t>
      </w:r>
    </w:p>
    <w:p w14:paraId="668FD089" w14:textId="77777777" w:rsidR="00AA0C6E" w:rsidRPr="00DD4642" w:rsidRDefault="00AA0C6E" w:rsidP="00D61DE5">
      <w:r w:rsidRPr="00DD4642">
        <w:rPr>
          <w:i/>
          <w:iCs/>
        </w:rPr>
        <w:t>b)</w:t>
      </w:r>
      <w:r w:rsidRPr="00DD4642">
        <w:tab/>
        <w:t>que le Rapport UIT-R M.[AMATEUR.CHARACTERISTICS] fournit des informations sur les applications et les caractéristiques d'exploitation de la bande de fréquences 1 240</w:t>
      </w:r>
      <w:r w:rsidRPr="00DD4642">
        <w:noBreakHyphen/>
        <w:t>1 300 MHz utilisée par les services d'amateur et d'amateur par satellite;</w:t>
      </w:r>
    </w:p>
    <w:p w14:paraId="363FF8F4" w14:textId="77777777" w:rsidR="00AA0C6E" w:rsidRPr="00DD4642" w:rsidRDefault="00AA0C6E" w:rsidP="00AA0C6E">
      <w:r w:rsidRPr="00DD4642">
        <w:rPr>
          <w:i/>
          <w:iCs/>
        </w:rPr>
        <w:t>c)</w:t>
      </w:r>
      <w:r w:rsidRPr="00DD4642">
        <w:tab/>
        <w:t xml:space="preserve">que le Rapport </w:t>
      </w:r>
      <w:hyperlink r:id="rId13" w:history="1">
        <w:r w:rsidRPr="00DD4642">
          <w:rPr>
            <w:rStyle w:val="Hyperlink"/>
          </w:rPr>
          <w:t>UIT</w:t>
        </w:r>
        <w:r w:rsidRPr="00DD4642">
          <w:rPr>
            <w:rStyle w:val="Hyperlink"/>
          </w:rPr>
          <w:noBreakHyphen/>
          <w:t>R M</w:t>
        </w:r>
        <w:r w:rsidRPr="00DD4642">
          <w:rPr>
            <w:rStyle w:val="Hyperlink"/>
          </w:rPr>
          <w:t>.</w:t>
        </w:r>
        <w:r w:rsidRPr="00DD4642">
          <w:rPr>
            <w:rStyle w:val="Hyperlink"/>
          </w:rPr>
          <w:t>2513-0</w:t>
        </w:r>
      </w:hyperlink>
      <w:r w:rsidRPr="00DD4642">
        <w:t xml:space="preserve"> contient des études et des mesures concernant les transmissions des services d'amateur et d'amateur par satellite et les brouillages préjudiciables que ces transmissions peuvent causer au SRNS (espace vers Terre), lesquels peuvent, dans certaines conditions, dépasser les critères de protection définis dans la Recommandation </w:t>
      </w:r>
      <w:hyperlink r:id="rId14" w:history="1">
        <w:r w:rsidRPr="00DD4642">
          <w:rPr>
            <w:rStyle w:val="Hyperlink"/>
          </w:rPr>
          <w:t>UIT-R M.</w:t>
        </w:r>
        <w:r w:rsidRPr="00DD4642">
          <w:rPr>
            <w:rStyle w:val="Hyperlink"/>
          </w:rPr>
          <w:t>1</w:t>
        </w:r>
        <w:r w:rsidRPr="00DD4642">
          <w:rPr>
            <w:rStyle w:val="Hyperlink"/>
          </w:rPr>
          <w:t>902</w:t>
        </w:r>
        <w:r w:rsidRPr="00DD4642">
          <w:rPr>
            <w:rStyle w:val="Hyperlink"/>
          </w:rPr>
          <w:noBreakHyphen/>
          <w:t>2</w:t>
        </w:r>
      </w:hyperlink>
      <w:r w:rsidRPr="00DD4642">
        <w:t>;</w:t>
      </w:r>
    </w:p>
    <w:p w14:paraId="4F3E72AB" w14:textId="77777777" w:rsidR="00AA0C6E" w:rsidRPr="00DD4642" w:rsidRDefault="00AA0C6E" w:rsidP="00AA0C6E">
      <w:r w:rsidRPr="00DD4642">
        <w:rPr>
          <w:i/>
          <w:iCs/>
        </w:rPr>
        <w:t>d)</w:t>
      </w:r>
      <w:r w:rsidRPr="00DD4642">
        <w:tab/>
        <w:t xml:space="preserve">que la </w:t>
      </w:r>
      <w:r w:rsidRPr="00DD4642">
        <w:rPr>
          <w:bCs/>
        </w:rPr>
        <w:t xml:space="preserve">Recommandation </w:t>
      </w:r>
      <w:hyperlink r:id="rId15" w:history="1">
        <w:r w:rsidRPr="00DD4642">
          <w:rPr>
            <w:rStyle w:val="Hyperlink"/>
          </w:rPr>
          <w:t>UIT-R M.1902-2</w:t>
        </w:r>
      </w:hyperlink>
      <w:r w:rsidRPr="00DD4642">
        <w:rPr>
          <w:bCs/>
        </w:rPr>
        <w:t xml:space="preserve"> définit les caractéristiques et les critères de protection des récepteurs du service de radionavigation par satellite (espace vers Terre) fonctionnant dans la bande de fréquences </w:t>
      </w:r>
      <w:r w:rsidRPr="00DD4642">
        <w:t>1 215</w:t>
      </w:r>
      <w:r w:rsidRPr="00DD4642">
        <w:noBreakHyphen/>
        <w:t>1 300 MHz;</w:t>
      </w:r>
    </w:p>
    <w:p w14:paraId="29C1F5A5" w14:textId="29336A59" w:rsidR="00AA0C6E" w:rsidRPr="00DD4642" w:rsidRDefault="00AA0C6E" w:rsidP="00AA0C6E">
      <w:r w:rsidRPr="00DD4642">
        <w:rPr>
          <w:i/>
          <w:iCs/>
        </w:rPr>
        <w:t>e)</w:t>
      </w:r>
      <w:r w:rsidRPr="00DD4642">
        <w:tab/>
        <w:t>que les systèmes du SRNS utilisant la bande de fréquences 1 240</w:t>
      </w:r>
      <w:r w:rsidRPr="00DD4642">
        <w:noBreakHyphen/>
        <w:t>1 300 MHz sont opérationnels, ou vont le devenir, à travers le monde, en vue de permettre une large gamme de nouveaux services de localisation par satellite</w:t>
      </w:r>
      <w:r w:rsidR="00FE57FB" w:rsidRPr="00DD4642">
        <w:t>,</w:t>
      </w:r>
    </w:p>
    <w:p w14:paraId="172ACF43" w14:textId="77777777" w:rsidR="00AA0C6E" w:rsidRPr="00DD4642" w:rsidRDefault="00AA0C6E" w:rsidP="00AA0C6E">
      <w:pPr>
        <w:pStyle w:val="Call"/>
      </w:pPr>
      <w:r w:rsidRPr="00DD4642">
        <w:t>reconnaissant</w:t>
      </w:r>
    </w:p>
    <w:p w14:paraId="605DEF9D" w14:textId="77777777" w:rsidR="00AA0C6E" w:rsidRPr="00DD4642" w:rsidRDefault="00AA0C6E" w:rsidP="00AA0C6E">
      <w:r w:rsidRPr="00DD4642">
        <w:rPr>
          <w:i/>
          <w:iCs/>
        </w:rPr>
        <w:t>a)</w:t>
      </w:r>
      <w:r w:rsidRPr="00DD4642">
        <w:tab/>
        <w:t>que la bande de fréquences 1 240</w:t>
      </w:r>
      <w:r w:rsidRPr="00DD4642">
        <w:noBreakHyphen/>
        <w:t>1 300 MHz est attribuée à titre primaire au service de radionavigation par satellite (espace vers Terre) et (espace-espace);</w:t>
      </w:r>
    </w:p>
    <w:p w14:paraId="0EBE55AC" w14:textId="77777777" w:rsidR="00AA0C6E" w:rsidRPr="00DD4642" w:rsidRDefault="00AA0C6E" w:rsidP="00AA0C6E">
      <w:r w:rsidRPr="00DD4642">
        <w:rPr>
          <w:i/>
          <w:iCs/>
        </w:rPr>
        <w:t>b)</w:t>
      </w:r>
      <w:r w:rsidRPr="00DD4642">
        <w:tab/>
        <w:t>que la bande de fréquences 1 240</w:t>
      </w:r>
      <w:r w:rsidRPr="00DD4642">
        <w:noBreakHyphen/>
        <w:t>1 300 MHz est, de plus, attribuée à titre secondaire au service d'amateur;</w:t>
      </w:r>
    </w:p>
    <w:p w14:paraId="36E94FB9" w14:textId="105E321C" w:rsidR="00AA0C6E" w:rsidRPr="00DD4642" w:rsidRDefault="00AA0C6E" w:rsidP="00D61DE5">
      <w:r w:rsidRPr="00DD4642">
        <w:rPr>
          <w:i/>
          <w:iCs/>
        </w:rPr>
        <w:t>c)</w:t>
      </w:r>
      <w:r w:rsidRPr="00DD4642">
        <w:tab/>
        <w:t>que le service d'amateur par satellite (Terre vers espace) peut fonctionner dans la bande de fréquences 1 260</w:t>
      </w:r>
      <w:r w:rsidRPr="00DD4642">
        <w:noBreakHyphen/>
        <w:t>1 270 MHz conformément au numéro </w:t>
      </w:r>
      <w:r w:rsidRPr="00DD4642">
        <w:rPr>
          <w:b/>
        </w:rPr>
        <w:t>5.282</w:t>
      </w:r>
      <w:r w:rsidRPr="00DD4642">
        <w:t>;</w:t>
      </w:r>
    </w:p>
    <w:p w14:paraId="2FA43470" w14:textId="27D5D93D" w:rsidR="00AA0C6E" w:rsidRPr="00DD4642" w:rsidRDefault="00AA0C6E" w:rsidP="00AA0C6E">
      <w:r w:rsidRPr="00DD4642">
        <w:rPr>
          <w:i/>
          <w:iCs/>
        </w:rPr>
        <w:t>d)</w:t>
      </w:r>
      <w:r w:rsidRPr="00DD4642">
        <w:tab/>
        <w:t>que la bande de fréquences 1 240</w:t>
      </w:r>
      <w:r w:rsidRPr="00DD4642">
        <w:noBreakHyphen/>
        <w:t>1 300 MHz est, de plus, attribuée à l'échelle mondiale à titre primaire au service d'exploration de la Terre par satellite (active), au service de radiolocalisation (le numéro </w:t>
      </w:r>
      <w:r w:rsidRPr="00DD4642">
        <w:rPr>
          <w:b/>
          <w:bCs/>
        </w:rPr>
        <w:t>5.329</w:t>
      </w:r>
      <w:r w:rsidRPr="00DD4642">
        <w:t xml:space="preserve"> s'applique) et au service de recherche spatiale (active);</w:t>
      </w:r>
    </w:p>
    <w:p w14:paraId="497C8A6C" w14:textId="1C724C02" w:rsidR="00AA0C6E" w:rsidRPr="00DD4642" w:rsidRDefault="00AA0C6E" w:rsidP="00AA0C6E">
      <w:r w:rsidRPr="00DD4642">
        <w:rPr>
          <w:i/>
          <w:iCs/>
        </w:rPr>
        <w:t>e)</w:t>
      </w:r>
      <w:r w:rsidRPr="00DD4642">
        <w:tab/>
        <w:t>que d'autres services bénéficient également d'une attribution à titre primaire dans certains pays, conformément aux numéros </w:t>
      </w:r>
      <w:r w:rsidRPr="00DD4642">
        <w:rPr>
          <w:b/>
          <w:bCs/>
        </w:rPr>
        <w:t>5.330</w:t>
      </w:r>
      <w:r w:rsidRPr="00DD4642">
        <w:t xml:space="preserve"> (services fixe et mobile) et </w:t>
      </w:r>
      <w:r w:rsidRPr="00DD4642">
        <w:rPr>
          <w:b/>
          <w:bCs/>
        </w:rPr>
        <w:t>5.331</w:t>
      </w:r>
      <w:r w:rsidRPr="00DD4642">
        <w:t xml:space="preserve"> (service de radionavigation) dans la bande de fréquences 1 215</w:t>
      </w:r>
      <w:r w:rsidRPr="00DD4642">
        <w:noBreakHyphen/>
        <w:t>1 300 MHz;</w:t>
      </w:r>
    </w:p>
    <w:p w14:paraId="49D733FD" w14:textId="52D48872" w:rsidR="00AA0C6E" w:rsidRPr="00DD4642" w:rsidRDefault="00AA0C6E" w:rsidP="00AA0C6E">
      <w:r w:rsidRPr="00DD4642">
        <w:rPr>
          <w:i/>
          <w:iCs/>
        </w:rPr>
        <w:t>f)</w:t>
      </w:r>
      <w:r w:rsidRPr="00DD4642">
        <w:tab/>
        <w:t>que les services d'amateur et d'amateur par satellite développent continuellement leur utilisation de la bande de fréquences 1 240</w:t>
      </w:r>
      <w:r w:rsidRPr="00DD4642">
        <w:noBreakHyphen/>
        <w:t>1 300 MHz conformément aux numéros </w:t>
      </w:r>
      <w:r w:rsidRPr="00DD4642">
        <w:rPr>
          <w:b/>
          <w:bCs/>
        </w:rPr>
        <w:t>1.56</w:t>
      </w:r>
      <w:r w:rsidRPr="00DD4642">
        <w:t xml:space="preserve"> et </w:t>
      </w:r>
      <w:r w:rsidRPr="00DD4642">
        <w:rPr>
          <w:b/>
          <w:bCs/>
        </w:rPr>
        <w:t>1.57</w:t>
      </w:r>
      <w:r w:rsidR="00FC44F7" w:rsidRPr="00DD4642">
        <w:t>;</w:t>
      </w:r>
    </w:p>
    <w:p w14:paraId="5FF25A2F" w14:textId="123200D8" w:rsidR="00AA0C6E" w:rsidRPr="00DD4642" w:rsidRDefault="00AA0C6E" w:rsidP="00AA0C6E">
      <w:r w:rsidRPr="00DD4642">
        <w:rPr>
          <w:i/>
          <w:iCs/>
        </w:rPr>
        <w:lastRenderedPageBreak/>
        <w:t>g)</w:t>
      </w:r>
      <w:r w:rsidRPr="00DD4642">
        <w:tab/>
        <w:t>que la puissance maximale des stations d'amateur est fixée par les administrations concernées, comme indiqué dans le numéro </w:t>
      </w:r>
      <w:r w:rsidRPr="00DD4642">
        <w:rPr>
          <w:b/>
          <w:bCs/>
        </w:rPr>
        <w:t>25.7</w:t>
      </w:r>
      <w:r w:rsidRPr="00DD4642">
        <w:t>;</w:t>
      </w:r>
    </w:p>
    <w:p w14:paraId="6F7A9EC7" w14:textId="77777777" w:rsidR="00AA0C6E" w:rsidRPr="00DD4642" w:rsidRDefault="00AA0C6E" w:rsidP="00AA0C6E">
      <w:r w:rsidRPr="00DD4642">
        <w:rPr>
          <w:i/>
          <w:iCs/>
        </w:rPr>
        <w:t>h)</w:t>
      </w:r>
      <w:r w:rsidRPr="00DD4642">
        <w:tab/>
        <w:t>que les administrations qui délivrent des licences d'utilisation de stations des services d'amateur et d'amateur par satellite et qui attribuent les fréquences pertinentes sont responsables du respect, par ces stations, des dispositions correspondantes du RR, notamment la protection des services primaires d'autres administrations concernées;</w:t>
      </w:r>
    </w:p>
    <w:p w14:paraId="4E2A331A" w14:textId="355163AE" w:rsidR="00AA0C6E" w:rsidRPr="00DD4642" w:rsidRDefault="00AA0C6E" w:rsidP="00AA0C6E">
      <w:r w:rsidRPr="00DD4642">
        <w:rPr>
          <w:i/>
          <w:iCs/>
        </w:rPr>
        <w:t>i)</w:t>
      </w:r>
      <w:r w:rsidRPr="00DD4642">
        <w:tab/>
        <w:t>qu'en cas de brouillages préjudiciables causés aux récepteurs du SRNS par les émetteurs des services d'amateur et d'amateur par satellite, les obligations des administrations et les procédures qu'elles doivent suivre pour résoudre ces cas de brouillages préjudiciables sont énoncées dans les dispositions de l'Article </w:t>
      </w:r>
      <w:r w:rsidRPr="00DD4642">
        <w:rPr>
          <w:b/>
          <w:bCs/>
        </w:rPr>
        <w:t>15</w:t>
      </w:r>
      <w:r w:rsidRPr="00DD4642">
        <w:t>,</w:t>
      </w:r>
    </w:p>
    <w:p w14:paraId="43F73B32" w14:textId="77777777" w:rsidR="00AA0C6E" w:rsidRPr="00DD4642" w:rsidRDefault="00AA0C6E" w:rsidP="00AA0C6E">
      <w:pPr>
        <w:pStyle w:val="Call"/>
      </w:pPr>
      <w:r w:rsidRPr="00DD4642">
        <w:t>notant</w:t>
      </w:r>
    </w:p>
    <w:p w14:paraId="7EA6C354" w14:textId="06F337AD" w:rsidR="00AA0C6E" w:rsidRPr="00DD4642" w:rsidRDefault="00AA0C6E" w:rsidP="00D61DE5">
      <w:r w:rsidRPr="00DD4642">
        <w:t>que, compte tenu des points </w:t>
      </w:r>
      <w:r w:rsidRPr="00DD4642">
        <w:rPr>
          <w:i/>
          <w:iCs/>
        </w:rPr>
        <w:t>a)</w:t>
      </w:r>
      <w:r w:rsidRPr="00DD4642">
        <w:t xml:space="preserve">, </w:t>
      </w:r>
      <w:r w:rsidRPr="00DD4642">
        <w:rPr>
          <w:i/>
          <w:iCs/>
        </w:rPr>
        <w:t>b)</w:t>
      </w:r>
      <w:r w:rsidRPr="00DD4642">
        <w:t xml:space="preserve">, </w:t>
      </w:r>
      <w:r w:rsidRPr="00DD4642">
        <w:rPr>
          <w:i/>
          <w:iCs/>
        </w:rPr>
        <w:t>c)</w:t>
      </w:r>
      <w:r w:rsidRPr="00DD4642">
        <w:t xml:space="preserve">, </w:t>
      </w:r>
      <w:r w:rsidRPr="00DD4642">
        <w:rPr>
          <w:i/>
          <w:iCs/>
        </w:rPr>
        <w:t>h)</w:t>
      </w:r>
      <w:r w:rsidRPr="00DD4642">
        <w:t xml:space="preserve"> et </w:t>
      </w:r>
      <w:r w:rsidRPr="00DD4642">
        <w:rPr>
          <w:i/>
          <w:iCs/>
        </w:rPr>
        <w:t>i)</w:t>
      </w:r>
      <w:r w:rsidRPr="00DD4642">
        <w:t xml:space="preserve"> du </w:t>
      </w:r>
      <w:r w:rsidRPr="00DD4642">
        <w:rPr>
          <w:i/>
          <w:iCs/>
        </w:rPr>
        <w:t>reconnaissant</w:t>
      </w:r>
      <w:r w:rsidRPr="00DD4642">
        <w:t xml:space="preserve"> ci-dessus, certaines administrations estiment que des mesures supplémentaires, en plus de celles qui figurent dans l'Annexe de la présente </w:t>
      </w:r>
      <w:r w:rsidR="00D61DE5" w:rsidRPr="00DD4642">
        <w:t>Résolution</w:t>
      </w:r>
      <w:r w:rsidRPr="00DD4642">
        <w:t xml:space="preserve">, peuvent être </w:t>
      </w:r>
      <w:r w:rsidR="00D61DE5" w:rsidRPr="00DD4642">
        <w:t>nécessaires</w:t>
      </w:r>
      <w:r w:rsidRPr="00DD4642">
        <w:t xml:space="preserve"> pour assurer la protection du SRNS,</w:t>
      </w:r>
    </w:p>
    <w:p w14:paraId="356CB8AF" w14:textId="4FBB3EDC" w:rsidR="00FC44F7" w:rsidRPr="00DD4642" w:rsidRDefault="00D61DE5" w:rsidP="00FC44F7">
      <w:pPr>
        <w:pStyle w:val="Call"/>
      </w:pPr>
      <w:r w:rsidRPr="00DD4642">
        <w:t>décide</w:t>
      </w:r>
    </w:p>
    <w:p w14:paraId="5382825D" w14:textId="348399F8" w:rsidR="00AA0C6E" w:rsidRPr="00DD4642" w:rsidRDefault="00D61DE5" w:rsidP="00D61DE5">
      <w:r w:rsidRPr="00DD4642">
        <w:t xml:space="preserve">que les </w:t>
      </w:r>
      <w:r w:rsidR="00AA0C6E" w:rsidRPr="00DD4642">
        <w:t>administrations souhaitant autoriser ou poursuivre l'exploitation des services d'amateur et d'amateur par satellite sur l'ensemble de leur territoire, dans tout ou partie de la bande de fréquences 1 240</w:t>
      </w:r>
      <w:r w:rsidR="00AA0C6E" w:rsidRPr="00DD4642">
        <w:noBreakHyphen/>
        <w:t xml:space="preserve">1 300 MHz, </w:t>
      </w:r>
      <w:r w:rsidRPr="00DD4642">
        <w:t xml:space="preserve">devraient </w:t>
      </w:r>
      <w:r w:rsidR="00AA0C6E" w:rsidRPr="00DD4642">
        <w:t xml:space="preserve">appliquer les mesures techniques et opérationnelles décrites dans l'Annexe </w:t>
      </w:r>
      <w:r w:rsidRPr="00DD4642">
        <w:t xml:space="preserve">de la présente Résolution </w:t>
      </w:r>
      <w:r w:rsidR="00AA0C6E" w:rsidRPr="00DD4642">
        <w:t>pour protéger le SRNS (espace vers Terre).</w:t>
      </w:r>
    </w:p>
    <w:p w14:paraId="62E5E563" w14:textId="436E59F4" w:rsidR="00FC44F7" w:rsidRPr="00DD4642" w:rsidRDefault="00FC44F7" w:rsidP="00FC44F7">
      <w:pPr>
        <w:pStyle w:val="ResNo"/>
      </w:pPr>
      <w:r w:rsidRPr="00DD4642">
        <w:t>annexe du Projet de nouvelle Résolution</w:t>
      </w:r>
      <w:r w:rsidR="003817B9" w:rsidRPr="00DD4642">
        <w:br/>
      </w:r>
      <w:r w:rsidRPr="00DD4642">
        <w:t>[CHN/a91-b/as measures] (CMR-23)</w:t>
      </w:r>
    </w:p>
    <w:p w14:paraId="50D01455" w14:textId="0EE7F3B0" w:rsidR="00AA0C6E" w:rsidRPr="00DD4642" w:rsidRDefault="00AA0C6E" w:rsidP="00D61DE5">
      <w:pPr>
        <w:pStyle w:val="Annextitle"/>
      </w:pPr>
      <w:r w:rsidRPr="00DD4642">
        <w:t>Mesures techniques et opérationnelles destinées à l'utilisation de la bande de</w:t>
      </w:r>
      <w:r w:rsidR="003817B9" w:rsidRPr="00DD4642">
        <w:br/>
      </w:r>
      <w:r w:rsidRPr="00DD4642">
        <w:t>fréquences 1 240-1 300 MHz par les services d'amateur et d'amateur</w:t>
      </w:r>
      <w:r w:rsidR="003817B9" w:rsidRPr="00DD4642">
        <w:br/>
      </w:r>
      <w:r w:rsidRPr="00DD4642">
        <w:t>par satellite pour protéger le service de radionavigation</w:t>
      </w:r>
      <w:r w:rsidR="003817B9" w:rsidRPr="00DD4642">
        <w:br/>
      </w:r>
      <w:r w:rsidRPr="00DD4642">
        <w:t>par satellite</w:t>
      </w:r>
      <w:r w:rsidR="006B5D21" w:rsidRPr="00DD4642">
        <w:t xml:space="preserve"> (espace vers Terre)</w:t>
      </w:r>
    </w:p>
    <w:p w14:paraId="59A8E5F5" w14:textId="4DD48F7C" w:rsidR="00AA0C6E" w:rsidRPr="00DD4642" w:rsidRDefault="00AA0C6E" w:rsidP="006B5D21">
      <w:pPr>
        <w:pStyle w:val="Normalaftertitle"/>
      </w:pPr>
      <w:r w:rsidRPr="00DD4642">
        <w:t>La présente Annexe présente les mesures techniques et opérationnelles que pourraient appliquer les administrations souhaitant autoriser ou poursuivre l'exploitation des services d'amateur et d'amateur</w:t>
      </w:r>
      <w:r w:rsidR="003817B9" w:rsidRPr="00DD4642">
        <w:t xml:space="preserve"> </w:t>
      </w:r>
      <w:r w:rsidRPr="00DD4642">
        <w:t>par satellite sur l'ensemble de leur territoire dans la totalité de la bande de fréquences</w:t>
      </w:r>
      <w:r w:rsidR="003817B9" w:rsidRPr="00DD4642">
        <w:t xml:space="preserve"> </w:t>
      </w:r>
      <w:r w:rsidRPr="00DD4642">
        <w:t>1 240</w:t>
      </w:r>
      <w:r w:rsidRPr="00DD4642">
        <w:noBreakHyphen/>
        <w:t>1 300 MHz, pour protéger le service de radionavigation par satellite (SRNS).</w:t>
      </w:r>
    </w:p>
    <w:p w14:paraId="186D1845" w14:textId="37B69D6E" w:rsidR="00AA0C6E" w:rsidRPr="00DD4642" w:rsidRDefault="00AA0C6E" w:rsidP="006B5D21">
      <w:pPr>
        <w:pStyle w:val="enumlev1"/>
      </w:pPr>
      <w:r w:rsidRPr="00DD4642">
        <w:t>1</w:t>
      </w:r>
      <w:r w:rsidR="00FE57FB" w:rsidRPr="00DD4642">
        <w:t>)</w:t>
      </w:r>
      <w:r w:rsidRPr="00DD4642">
        <w:tab/>
        <w:t>Pour les applications à bande étroite (largeur de bande ≤ 150 kHz) du service d'amateur</w:t>
      </w:r>
      <w:r w:rsidR="00FC44F7" w:rsidRPr="00DD4642">
        <w:t xml:space="preserve"> </w:t>
      </w:r>
      <w:r w:rsidR="006B5D21" w:rsidRPr="00DD4642">
        <w:t xml:space="preserve">dans la bande de fréquences </w:t>
      </w:r>
      <w:r w:rsidRPr="00DD4642">
        <w:rPr>
          <w:rFonts w:eastAsia="Batang"/>
          <w:lang w:bidi="ru-RU"/>
        </w:rPr>
        <w:t>1 29</w:t>
      </w:r>
      <w:r w:rsidR="005603F8" w:rsidRPr="00DD4642">
        <w:rPr>
          <w:rFonts w:eastAsia="Batang"/>
          <w:lang w:bidi="ru-RU"/>
        </w:rPr>
        <w:t>6</w:t>
      </w:r>
      <w:r w:rsidRPr="00DD4642">
        <w:rPr>
          <w:rFonts w:eastAsia="Batang"/>
          <w:lang w:bidi="ru-RU"/>
        </w:rPr>
        <w:noBreakHyphen/>
        <w:t>1 </w:t>
      </w:r>
      <w:r w:rsidR="006B5D21" w:rsidRPr="00DD4642">
        <w:rPr>
          <w:rFonts w:eastAsia="Batang"/>
          <w:lang w:bidi="ru-RU"/>
        </w:rPr>
        <w:t>300</w:t>
      </w:r>
      <w:r w:rsidRPr="00DD4642">
        <w:rPr>
          <w:rFonts w:eastAsia="Batang"/>
          <w:lang w:bidi="ru-RU"/>
        </w:rPr>
        <w:t> MHz</w:t>
      </w:r>
      <w:r w:rsidR="006B5D21" w:rsidRPr="00DD4642">
        <w:rPr>
          <w:rFonts w:eastAsia="Batang"/>
          <w:lang w:bidi="ru-RU"/>
        </w:rPr>
        <w:t>:</w:t>
      </w:r>
    </w:p>
    <w:p w14:paraId="2C48C551" w14:textId="6E9171C5" w:rsidR="00AA0C6E" w:rsidRPr="00DD4642" w:rsidRDefault="00AA0C6E" w:rsidP="00AA0C6E">
      <w:pPr>
        <w:pStyle w:val="enumlev2"/>
      </w:pPr>
      <w:r w:rsidRPr="00DD4642">
        <w:t>1 296</w:t>
      </w:r>
      <w:r w:rsidRPr="00DD4642">
        <w:noBreakHyphen/>
        <w:t>1 298 MHz: puissance maximale d'émission</w:t>
      </w:r>
      <w:r w:rsidR="00FC44F7" w:rsidRPr="00DD4642">
        <w:t xml:space="preserve"> </w:t>
      </w:r>
      <w:r w:rsidRPr="00DD4642">
        <w:t>=</w:t>
      </w:r>
      <w:r w:rsidR="00FC44F7" w:rsidRPr="00DD4642">
        <w:t xml:space="preserve"> </w:t>
      </w:r>
      <w:r w:rsidRPr="00DD4642">
        <w:t>17 dBW</w:t>
      </w:r>
      <w:r w:rsidR="003817B9" w:rsidRPr="00DD4642">
        <w:t>;</w:t>
      </w:r>
    </w:p>
    <w:p w14:paraId="7EC67B61" w14:textId="5CC677B8" w:rsidR="00AA0C6E" w:rsidRPr="00DD4642" w:rsidRDefault="00AA0C6E" w:rsidP="00AA0C6E">
      <w:pPr>
        <w:pStyle w:val="enumlev2"/>
      </w:pPr>
      <w:r w:rsidRPr="00DD4642">
        <w:t>1 298</w:t>
      </w:r>
      <w:r w:rsidRPr="00DD4642">
        <w:noBreakHyphen/>
        <w:t>1 300 MHz: puissance maximale d'émission = 22 dBW</w:t>
      </w:r>
      <w:r w:rsidR="003817B9" w:rsidRPr="00DD4642">
        <w:t>;</w:t>
      </w:r>
    </w:p>
    <w:p w14:paraId="559DCD82" w14:textId="2FB7C151" w:rsidR="00B44EEA" w:rsidRPr="00DD4642" w:rsidRDefault="00B44EEA" w:rsidP="00B44EEA">
      <w:pPr>
        <w:pStyle w:val="enumlev1"/>
      </w:pPr>
      <w:r w:rsidRPr="00DD4642">
        <w:tab/>
      </w:r>
      <w:r w:rsidR="006B5D21" w:rsidRPr="00DD4642">
        <w:t>où la puissance maximale désigne soit la puissance d'enveloppe de crête, soit la puissance de la porteuse (selon le cas) fournie par l'émetteur à l'antenne de la station d'amateur.</w:t>
      </w:r>
    </w:p>
    <w:p w14:paraId="1F7838F8" w14:textId="73C252BC" w:rsidR="00AA0C6E" w:rsidRPr="00DD4642" w:rsidRDefault="00AA0C6E" w:rsidP="003817B9">
      <w:pPr>
        <w:pStyle w:val="enumlev1"/>
      </w:pPr>
      <w:r w:rsidRPr="00DD4642">
        <w:t>2</w:t>
      </w:r>
      <w:r w:rsidR="00FE57FB" w:rsidRPr="00DD4642">
        <w:t>)</w:t>
      </w:r>
      <w:r w:rsidRPr="00DD4642">
        <w:tab/>
        <w:t>Pour les applications Terre-Lune-Terre à bande étroite du service d'amateur utilisant une antenne symétrique à haute performance (par exemple, gain dans l'axe de visée d'au moins 30 dBi) pointant à un angle d'au moins 15 degrés au-dessus du plan horizontal:</w:t>
      </w:r>
    </w:p>
    <w:p w14:paraId="2225EF93" w14:textId="20CEA7C4" w:rsidR="00AA0C6E" w:rsidRPr="00DD4642" w:rsidRDefault="00AA0C6E" w:rsidP="003817B9">
      <w:pPr>
        <w:pStyle w:val="enumlev2"/>
      </w:pPr>
      <w:r w:rsidRPr="00DD4642">
        <w:t>1 298</w:t>
      </w:r>
      <w:r w:rsidRPr="00DD4642">
        <w:noBreakHyphen/>
        <w:t>1 300 MHz: puissance maximale d'émission = 27 dBW</w:t>
      </w:r>
      <w:r w:rsidR="003817B9" w:rsidRPr="00DD4642">
        <w:t>;</w:t>
      </w:r>
    </w:p>
    <w:p w14:paraId="764D8D47" w14:textId="3294D6FB" w:rsidR="00B44EEA" w:rsidRPr="00DD4642" w:rsidRDefault="00AA0C6E" w:rsidP="003817B9">
      <w:pPr>
        <w:pStyle w:val="enumlev1"/>
      </w:pPr>
      <w:r w:rsidRPr="00DD4642">
        <w:lastRenderedPageBreak/>
        <w:tab/>
      </w:r>
      <w:r w:rsidR="006B5D21" w:rsidRPr="00DD4642">
        <w:t>où la puissance maximale désigne soit la puissance d'enveloppe de crête, soit la puissance de la porteuse (selon le cas) fournie par l'émetteur à l'antenne de la station d'amateur.</w:t>
      </w:r>
    </w:p>
    <w:p w14:paraId="4B1D7E36" w14:textId="019A8860" w:rsidR="00B44EEA" w:rsidRPr="00DD4642" w:rsidRDefault="00B44EEA" w:rsidP="00AA0C6E">
      <w:pPr>
        <w:pStyle w:val="enumlev1"/>
        <w:keepNext/>
        <w:keepLines/>
      </w:pPr>
      <w:r w:rsidRPr="00DD4642">
        <w:t>3</w:t>
      </w:r>
      <w:r w:rsidR="00FE57FB" w:rsidRPr="00DD4642">
        <w:t>)</w:t>
      </w:r>
      <w:r w:rsidRPr="00DD4642">
        <w:tab/>
      </w:r>
      <w:r w:rsidR="006B5D21" w:rsidRPr="00DD4642">
        <w:t>Pour les applications à bande étroite (largeur de bande ≤ 150 kHz) et les applications à large bande (largeur de bande &gt; 150 kHz) du service d'amateur dans la bande de fréquences 1 257-1 259 MHz;</w:t>
      </w:r>
      <w:r w:rsidR="001744FF" w:rsidRPr="00DD4642">
        <w:t xml:space="preserve"> valeurs maximales de p.i.r.e. =</w:t>
      </w:r>
    </w:p>
    <w:p w14:paraId="04A5572C" w14:textId="24831AF4" w:rsidR="005218C5" w:rsidRPr="00DD4642" w:rsidRDefault="003817B9" w:rsidP="003817B9">
      <w:pPr>
        <w:pStyle w:val="enumlev1"/>
        <w:tabs>
          <w:tab w:val="clear" w:pos="1134"/>
          <w:tab w:val="clear" w:pos="1871"/>
          <w:tab w:val="clear" w:pos="2608"/>
          <w:tab w:val="clear" w:pos="3345"/>
          <w:tab w:val="left" w:pos="3686"/>
          <w:tab w:val="left" w:pos="5670"/>
          <w:tab w:val="left" w:pos="6804"/>
          <w:tab w:val="left" w:pos="7371"/>
        </w:tabs>
        <w:ind w:left="1418"/>
        <w:rPr>
          <w:rFonts w:eastAsia="Batang"/>
          <w:lang w:bidi="ru-RU"/>
        </w:rPr>
      </w:pPr>
      <w:r w:rsidRPr="00DD4642">
        <w:rPr>
          <w:rFonts w:eastAsia="Batang"/>
          <w:lang w:bidi="ru-RU"/>
        </w:rPr>
        <w:tab/>
      </w:r>
      <w:r w:rsidR="005D5802" w:rsidRPr="00DD4642">
        <w:rPr>
          <w:rFonts w:eastAsia="Batang"/>
          <w:lang w:bidi="ru-RU"/>
        </w:rPr>
        <w:t>−19</w:t>
      </w:r>
      <w:r w:rsidR="005218C5" w:rsidRPr="00DD4642">
        <w:rPr>
          <w:rFonts w:eastAsia="Batang"/>
          <w:lang w:bidi="ru-RU"/>
        </w:rPr>
        <w:t>,</w:t>
      </w:r>
      <w:r w:rsidR="005D5802" w:rsidRPr="00DD4642">
        <w:rPr>
          <w:rFonts w:eastAsia="Batang"/>
          <w:lang w:bidi="ru-RU"/>
        </w:rPr>
        <w:t>5</w:t>
      </w:r>
      <w:r w:rsidR="005D5802" w:rsidRPr="00DD4642">
        <w:rPr>
          <w:rFonts w:eastAsia="Batang"/>
          <w:lang w:bidi="ru-RU"/>
        </w:rPr>
        <w:tab/>
        <w:t>dBW/150 kHz</w:t>
      </w:r>
      <w:r w:rsidR="005D5802" w:rsidRPr="00DD4642">
        <w:rPr>
          <w:rFonts w:eastAsia="Batang"/>
          <w:lang w:bidi="ru-RU"/>
        </w:rPr>
        <w:tab/>
      </w:r>
      <w:r w:rsidR="005218C5" w:rsidRPr="00DD4642">
        <w:rPr>
          <w:rFonts w:eastAsia="Batang"/>
          <w:lang w:bidi="ru-RU"/>
        </w:rPr>
        <w:t>pour</w:t>
      </w:r>
      <w:r w:rsidR="005D5802" w:rsidRPr="00DD4642">
        <w:rPr>
          <w:rFonts w:eastAsia="Batang"/>
          <w:lang w:bidi="ru-RU"/>
        </w:rPr>
        <w:tab/>
        <w:t>−90</w:t>
      </w:r>
      <w:r w:rsidR="005D5802" w:rsidRPr="00DD4642">
        <w:rPr>
          <w:rFonts w:eastAsia="Batang"/>
          <w:lang w:bidi="ru-RU"/>
        </w:rPr>
        <w:sym w:font="Symbol" w:char="F0B0"/>
      </w:r>
      <w:r w:rsidR="005D5802" w:rsidRPr="00DD4642">
        <w:rPr>
          <w:rFonts w:eastAsia="Batang"/>
          <w:lang w:bidi="ru-RU"/>
        </w:rPr>
        <w:tab/>
      </w:r>
      <w:r w:rsidR="005D5802" w:rsidRPr="00DD4642">
        <w:rPr>
          <w:rFonts w:eastAsia="Batang"/>
          <w:lang w:bidi="ru-RU"/>
        </w:rPr>
        <w:sym w:font="Symbol" w:char="F0A3"/>
      </w:r>
      <w:r w:rsidR="005D5802" w:rsidRPr="00DD4642">
        <w:rPr>
          <w:rFonts w:eastAsia="Batang"/>
          <w:lang w:bidi="ru-RU"/>
        </w:rPr>
        <w:t xml:space="preserve"> </w:t>
      </w:r>
      <w:r w:rsidR="005D5802" w:rsidRPr="00DD4642">
        <w:rPr>
          <w:rFonts w:eastAsia="Batang"/>
          <w:lang w:bidi="ru-RU"/>
        </w:rPr>
        <w:sym w:font="Symbol" w:char="F071"/>
      </w:r>
      <w:r w:rsidR="005D5802" w:rsidRPr="00DD4642">
        <w:rPr>
          <w:rFonts w:eastAsia="Batang"/>
          <w:lang w:bidi="ru-RU"/>
        </w:rPr>
        <w:t xml:space="preserve"> &lt; 0°</w:t>
      </w:r>
      <w:r w:rsidR="005D5802" w:rsidRPr="00DD4642">
        <w:rPr>
          <w:rFonts w:eastAsia="Batang"/>
          <w:lang w:bidi="ru-RU"/>
        </w:rPr>
        <w:br/>
        <w:t>−19</w:t>
      </w:r>
      <w:r w:rsidR="005218C5" w:rsidRPr="00DD4642">
        <w:rPr>
          <w:rFonts w:eastAsia="Batang"/>
          <w:lang w:bidi="ru-RU"/>
        </w:rPr>
        <w:t>,</w:t>
      </w:r>
      <w:r w:rsidR="005D5802" w:rsidRPr="00DD4642">
        <w:rPr>
          <w:rFonts w:eastAsia="Batang"/>
          <w:lang w:bidi="ru-RU"/>
        </w:rPr>
        <w:t>5</w:t>
      </w:r>
      <w:r w:rsidR="005D5802" w:rsidRPr="00DD4642">
        <w:rPr>
          <w:rFonts w:eastAsia="Batang"/>
          <w:lang w:bidi="ru-RU"/>
        </w:rPr>
        <w:tab/>
        <w:t>dBW/150 kHz</w:t>
      </w:r>
      <w:r w:rsidR="005D5802" w:rsidRPr="00DD4642">
        <w:rPr>
          <w:rFonts w:eastAsia="Batang"/>
          <w:lang w:bidi="ru-RU"/>
        </w:rPr>
        <w:tab/>
      </w:r>
      <w:r w:rsidR="005218C5" w:rsidRPr="00DD4642">
        <w:rPr>
          <w:rFonts w:eastAsia="Batang"/>
          <w:lang w:bidi="ru-RU"/>
        </w:rPr>
        <w:t>pour</w:t>
      </w:r>
      <w:r w:rsidR="005D5802" w:rsidRPr="00DD4642">
        <w:rPr>
          <w:rFonts w:eastAsia="Batang"/>
          <w:lang w:bidi="ru-RU"/>
        </w:rPr>
        <w:tab/>
        <w:t>0</w:t>
      </w:r>
      <w:r w:rsidR="005D5802" w:rsidRPr="00DD4642">
        <w:rPr>
          <w:rFonts w:eastAsia="Batang"/>
          <w:lang w:bidi="ru-RU"/>
        </w:rPr>
        <w:sym w:font="Symbol" w:char="F0B0"/>
      </w:r>
      <w:r w:rsidR="005D5802" w:rsidRPr="00DD4642">
        <w:rPr>
          <w:rFonts w:eastAsia="Batang"/>
          <w:lang w:bidi="ru-RU"/>
        </w:rPr>
        <w:tab/>
      </w:r>
      <w:r w:rsidR="005D5802" w:rsidRPr="00DD4642">
        <w:rPr>
          <w:rFonts w:eastAsia="Batang"/>
          <w:lang w:bidi="ru-RU"/>
        </w:rPr>
        <w:sym w:font="Symbol" w:char="F0A3"/>
      </w:r>
      <w:r w:rsidR="005D5802" w:rsidRPr="00DD4642">
        <w:rPr>
          <w:rFonts w:eastAsia="Batang"/>
          <w:lang w:bidi="ru-RU"/>
        </w:rPr>
        <w:t xml:space="preserve"> </w:t>
      </w:r>
      <w:r w:rsidR="005D5802" w:rsidRPr="00DD4642">
        <w:rPr>
          <w:rFonts w:eastAsia="Batang"/>
          <w:lang w:bidi="ru-RU"/>
        </w:rPr>
        <w:sym w:font="Symbol" w:char="F071"/>
      </w:r>
      <w:r w:rsidR="005D5802" w:rsidRPr="00DD4642">
        <w:rPr>
          <w:rFonts w:eastAsia="Batang"/>
          <w:lang w:bidi="ru-RU"/>
        </w:rPr>
        <w:t xml:space="preserve"> &lt; 5°</w:t>
      </w:r>
      <w:r w:rsidR="005D5802" w:rsidRPr="00DD4642">
        <w:rPr>
          <w:rFonts w:eastAsia="Batang"/>
          <w:lang w:bidi="ru-RU"/>
        </w:rPr>
        <w:br/>
        <w:t>−19</w:t>
      </w:r>
      <w:r w:rsidR="005218C5" w:rsidRPr="00DD4642">
        <w:rPr>
          <w:rFonts w:eastAsia="Batang"/>
          <w:lang w:bidi="ru-RU"/>
        </w:rPr>
        <w:t>,</w:t>
      </w:r>
      <w:r w:rsidR="005D5802" w:rsidRPr="00DD4642">
        <w:rPr>
          <w:rFonts w:eastAsia="Batang"/>
          <w:lang w:bidi="ru-RU"/>
        </w:rPr>
        <w:t>5 – 1</w:t>
      </w:r>
      <w:r w:rsidR="005218C5" w:rsidRPr="00DD4642">
        <w:rPr>
          <w:rFonts w:eastAsia="SimSun"/>
          <w:lang w:eastAsia="zh-CN" w:bidi="ru-RU"/>
        </w:rPr>
        <w:t>,</w:t>
      </w:r>
      <w:r w:rsidR="005D5802" w:rsidRPr="00DD4642">
        <w:rPr>
          <w:rFonts w:eastAsia="Batang"/>
          <w:lang w:bidi="ru-RU"/>
        </w:rPr>
        <w:t>025 (</w:t>
      </w:r>
      <w:r w:rsidR="005D5802" w:rsidRPr="00DD4642">
        <w:rPr>
          <w:rFonts w:eastAsia="Batang"/>
          <w:lang w:bidi="ru-RU"/>
        </w:rPr>
        <w:sym w:font="Symbol" w:char="F071"/>
      </w:r>
      <w:r w:rsidR="005D5802" w:rsidRPr="00DD4642">
        <w:rPr>
          <w:rFonts w:eastAsia="Batang"/>
          <w:lang w:bidi="ru-RU"/>
        </w:rPr>
        <w:t> – 5)</w:t>
      </w:r>
      <w:r w:rsidR="005D5802" w:rsidRPr="00DD4642">
        <w:rPr>
          <w:rFonts w:eastAsia="Batang"/>
          <w:lang w:bidi="ru-RU"/>
        </w:rPr>
        <w:tab/>
        <w:t>dBW/150 kHz</w:t>
      </w:r>
      <w:r w:rsidR="005D5802" w:rsidRPr="00DD4642">
        <w:rPr>
          <w:rFonts w:eastAsia="Batang"/>
          <w:lang w:bidi="ru-RU"/>
        </w:rPr>
        <w:tab/>
      </w:r>
      <w:r w:rsidR="005218C5" w:rsidRPr="00DD4642">
        <w:rPr>
          <w:rFonts w:eastAsia="Batang"/>
          <w:lang w:bidi="ru-RU"/>
        </w:rPr>
        <w:t>pour</w:t>
      </w:r>
      <w:r w:rsidR="005D5802" w:rsidRPr="00DD4642">
        <w:rPr>
          <w:rFonts w:eastAsia="Batang"/>
          <w:lang w:bidi="ru-RU"/>
        </w:rPr>
        <w:tab/>
        <w:t>5</w:t>
      </w:r>
      <w:r w:rsidR="005D5802" w:rsidRPr="00DD4642">
        <w:rPr>
          <w:rFonts w:eastAsia="Batang"/>
          <w:lang w:bidi="ru-RU"/>
        </w:rPr>
        <w:sym w:font="Symbol" w:char="F0B0"/>
      </w:r>
      <w:r w:rsidR="005D5802" w:rsidRPr="00DD4642">
        <w:rPr>
          <w:rFonts w:eastAsia="Batang"/>
          <w:lang w:bidi="ru-RU"/>
        </w:rPr>
        <w:tab/>
      </w:r>
      <w:r w:rsidR="005D5802" w:rsidRPr="00DD4642">
        <w:rPr>
          <w:rFonts w:eastAsia="Batang"/>
          <w:lang w:bidi="ru-RU"/>
        </w:rPr>
        <w:sym w:font="Symbol" w:char="F0A3"/>
      </w:r>
      <w:r w:rsidR="005D5802" w:rsidRPr="00DD4642">
        <w:rPr>
          <w:rFonts w:eastAsia="Batang"/>
          <w:lang w:bidi="ru-RU"/>
        </w:rPr>
        <w:t xml:space="preserve"> </w:t>
      </w:r>
      <w:r w:rsidR="005D5802" w:rsidRPr="00DD4642">
        <w:rPr>
          <w:rFonts w:eastAsia="Batang"/>
          <w:lang w:bidi="ru-RU"/>
        </w:rPr>
        <w:sym w:font="Symbol" w:char="F071"/>
      </w:r>
      <w:r w:rsidR="005D5802" w:rsidRPr="00DD4642">
        <w:rPr>
          <w:rFonts w:eastAsia="Batang"/>
          <w:lang w:bidi="ru-RU"/>
        </w:rPr>
        <w:t xml:space="preserve"> &lt; 25°</w:t>
      </w:r>
      <w:r w:rsidR="005D5802" w:rsidRPr="00DD4642">
        <w:rPr>
          <w:rFonts w:eastAsia="Batang"/>
          <w:lang w:bidi="ru-RU"/>
        </w:rPr>
        <w:br/>
        <w:t>–40</w:t>
      </w:r>
      <w:r w:rsidR="005D5802" w:rsidRPr="00DD4642">
        <w:rPr>
          <w:rFonts w:eastAsia="Batang"/>
          <w:lang w:bidi="ru-RU"/>
        </w:rPr>
        <w:tab/>
        <w:t>dBW/150 kHz</w:t>
      </w:r>
      <w:r w:rsidR="005D5802" w:rsidRPr="00DD4642">
        <w:rPr>
          <w:rFonts w:eastAsia="Batang"/>
          <w:lang w:bidi="ru-RU"/>
        </w:rPr>
        <w:tab/>
      </w:r>
      <w:r w:rsidR="005218C5" w:rsidRPr="00DD4642">
        <w:rPr>
          <w:rFonts w:eastAsia="Batang"/>
          <w:lang w:bidi="ru-RU"/>
        </w:rPr>
        <w:t>pour</w:t>
      </w:r>
      <w:r w:rsidR="005D5802" w:rsidRPr="00DD4642">
        <w:rPr>
          <w:rFonts w:eastAsia="Batang"/>
          <w:lang w:bidi="ru-RU"/>
        </w:rPr>
        <w:tab/>
        <w:t>25°</w:t>
      </w:r>
      <w:r w:rsidR="005D5802" w:rsidRPr="00DD4642">
        <w:rPr>
          <w:rFonts w:eastAsia="Batang"/>
          <w:lang w:bidi="ru-RU"/>
        </w:rPr>
        <w:tab/>
      </w:r>
      <w:r w:rsidR="005D5802" w:rsidRPr="00DD4642">
        <w:rPr>
          <w:rFonts w:eastAsia="Batang"/>
          <w:lang w:bidi="ru-RU"/>
        </w:rPr>
        <w:sym w:font="Symbol" w:char="F0A3"/>
      </w:r>
      <w:r w:rsidR="005D5802" w:rsidRPr="00DD4642">
        <w:rPr>
          <w:rFonts w:eastAsia="Batang"/>
          <w:lang w:bidi="ru-RU"/>
        </w:rPr>
        <w:t xml:space="preserve"> </w:t>
      </w:r>
      <w:r w:rsidR="005D5802" w:rsidRPr="00DD4642">
        <w:rPr>
          <w:rFonts w:eastAsia="Batang"/>
          <w:lang w:bidi="ru-RU"/>
        </w:rPr>
        <w:sym w:font="Symbol" w:char="F071"/>
      </w:r>
      <w:r w:rsidR="005D5802" w:rsidRPr="00DD4642">
        <w:rPr>
          <w:rFonts w:eastAsia="Batang"/>
          <w:lang w:bidi="ru-RU"/>
        </w:rPr>
        <w:t xml:space="preserve"> &lt; 90°,</w:t>
      </w:r>
    </w:p>
    <w:p w14:paraId="3026225C" w14:textId="047A6DD5" w:rsidR="00B44EEA" w:rsidRPr="00DD4642" w:rsidRDefault="00B44EEA" w:rsidP="00AA0C6E">
      <w:pPr>
        <w:pStyle w:val="enumlev1"/>
        <w:keepNext/>
        <w:keepLines/>
      </w:pPr>
      <w:r w:rsidRPr="00DD4642">
        <w:rPr>
          <w:rFonts w:eastAsia="Batang"/>
          <w:lang w:bidi="ru-RU"/>
        </w:rPr>
        <w:tab/>
      </w:r>
      <w:r w:rsidR="001744FF" w:rsidRPr="00DD4642">
        <w:rPr>
          <w:rFonts w:eastAsia="Batang"/>
          <w:lang w:bidi="ru-RU"/>
        </w:rPr>
        <w:t>où θ est l'angle d'élévation de l'antenne de la station d'amateur (en degrés) et la p.i.r.e. correspond à la puissance rayonnée de la station d'amateur</w:t>
      </w:r>
      <w:r w:rsidRPr="00DD4642">
        <w:rPr>
          <w:rFonts w:eastAsia="Batang"/>
          <w:lang w:bidi="ru-RU"/>
        </w:rPr>
        <w:t>.</w:t>
      </w:r>
    </w:p>
    <w:p w14:paraId="2464A303" w14:textId="730EEEB8" w:rsidR="00AA0C6E" w:rsidRPr="00DD4642" w:rsidRDefault="00B44EEA" w:rsidP="00AA0C6E">
      <w:pPr>
        <w:pStyle w:val="enumlev1"/>
        <w:keepNext/>
        <w:keepLines/>
      </w:pPr>
      <w:r w:rsidRPr="00DD4642">
        <w:t>4</w:t>
      </w:r>
      <w:r w:rsidR="00940D34" w:rsidRPr="00DD4642">
        <w:t>)</w:t>
      </w:r>
      <w:r w:rsidRPr="00DD4642">
        <w:tab/>
      </w:r>
      <w:r w:rsidR="00AA0C6E" w:rsidRPr="00DD4642">
        <w:t>Pour les applications à bande étroite (largeur de bande ≤ 150 kHz) du service d'amateur par satellite (Terre vers espace) pointant à un angle d'au moins 15 degrés au-dessus du plan horizontal:</w:t>
      </w:r>
    </w:p>
    <w:p w14:paraId="43CE5DF1" w14:textId="783D4882" w:rsidR="00AA0C6E" w:rsidRPr="00DD4642" w:rsidRDefault="00AA0C6E" w:rsidP="00D45730">
      <w:pPr>
        <w:pStyle w:val="enumlev1"/>
      </w:pPr>
      <w:r w:rsidRPr="00DD4642">
        <w:tab/>
        <w:t>1 260</w:t>
      </w:r>
      <w:r w:rsidRPr="00DD4642">
        <w:noBreakHyphen/>
        <w:t xml:space="preserve">1 262 MHz: </w:t>
      </w:r>
      <w:r w:rsidRPr="00DD4642">
        <w:rPr>
          <w:rFonts w:eastAsia="Batang"/>
          <w:lang w:bidi="ru-RU"/>
        </w:rPr>
        <w:t>valeur maximale de p.i.r.e.</w:t>
      </w:r>
      <w:r w:rsidRPr="00DD4642">
        <w:t> = </w:t>
      </w:r>
      <w:r w:rsidR="00B44EEA" w:rsidRPr="00DD4642">
        <w:t>2</w:t>
      </w:r>
      <w:r w:rsidRPr="00DD4642">
        <w:t>7 dBW</w:t>
      </w:r>
      <w:r w:rsidR="003817B9" w:rsidRPr="00DD4642">
        <w:t>.</w:t>
      </w:r>
    </w:p>
    <w:p w14:paraId="5C6A7A55" w14:textId="76C4945A" w:rsidR="00DA13B6" w:rsidRPr="00DD4642" w:rsidRDefault="00AA0C6E" w:rsidP="005D5802">
      <w:pPr>
        <w:pStyle w:val="enumlev1"/>
      </w:pPr>
      <w:r w:rsidRPr="00DD4642">
        <w:t>5</w:t>
      </w:r>
      <w:r w:rsidR="00940D34" w:rsidRPr="00DD4642">
        <w:t>)</w:t>
      </w:r>
      <w:r w:rsidRPr="00DD4642">
        <w:tab/>
      </w:r>
      <w:r w:rsidR="001744FF" w:rsidRPr="00DD4642">
        <w:t xml:space="preserve">En dehors des bandes de fréquences indiquées aux points 1) à 4) ci-dessus, compte tenu des points </w:t>
      </w:r>
      <w:r w:rsidR="001744FF" w:rsidRPr="00DD4642">
        <w:rPr>
          <w:i/>
          <w:iCs/>
        </w:rPr>
        <w:t>b)</w:t>
      </w:r>
      <w:r w:rsidR="001744FF" w:rsidRPr="00DD4642">
        <w:t xml:space="preserve"> et </w:t>
      </w:r>
      <w:r w:rsidR="001744FF" w:rsidRPr="00DD4642">
        <w:rPr>
          <w:i/>
          <w:iCs/>
        </w:rPr>
        <w:t>c)</w:t>
      </w:r>
      <w:r w:rsidR="00B32526" w:rsidRPr="00DD4642">
        <w:t xml:space="preserve"> du </w:t>
      </w:r>
      <w:r w:rsidR="00B32526" w:rsidRPr="00DD4642">
        <w:rPr>
          <w:i/>
          <w:iCs/>
        </w:rPr>
        <w:t>reconnaissant</w:t>
      </w:r>
      <w:r w:rsidR="001744FF" w:rsidRPr="00DD4642">
        <w:t>, il n'est pas recommandé d'exploiter les services d'amateur et d'amateur par satellite dans la bande de fréquences 1 240-1 300 MHz en raison de problèmes de compatibilité entre le SRNS et les services d'amateur et d'amateur par satellite. Valeurs maximales de p.i.r.e. =</w:t>
      </w:r>
    </w:p>
    <w:p w14:paraId="72AE3DA4" w14:textId="6213968A" w:rsidR="00DA13B6" w:rsidRPr="00DD4642" w:rsidRDefault="003817B9" w:rsidP="003817B9">
      <w:pPr>
        <w:pStyle w:val="enumlev1"/>
        <w:tabs>
          <w:tab w:val="clear" w:pos="1134"/>
          <w:tab w:val="clear" w:pos="1871"/>
          <w:tab w:val="clear" w:pos="2608"/>
          <w:tab w:val="clear" w:pos="3345"/>
          <w:tab w:val="left" w:pos="3686"/>
          <w:tab w:val="left" w:pos="5670"/>
          <w:tab w:val="left" w:pos="6804"/>
          <w:tab w:val="left" w:pos="7513"/>
        </w:tabs>
        <w:ind w:left="1418"/>
        <w:rPr>
          <w:rFonts w:eastAsia="Batang"/>
          <w:lang w:bidi="ru-RU"/>
        </w:rPr>
      </w:pPr>
      <w:r w:rsidRPr="00DD4642">
        <w:rPr>
          <w:rFonts w:eastAsia="Batang"/>
          <w:lang w:bidi="ru-RU"/>
        </w:rPr>
        <w:tab/>
      </w:r>
      <w:r w:rsidR="00DA13B6" w:rsidRPr="00DD4642">
        <w:rPr>
          <w:rFonts w:eastAsia="Batang"/>
          <w:lang w:bidi="ru-RU"/>
        </w:rPr>
        <w:t>−39,0</w:t>
      </w:r>
      <w:r w:rsidR="00DA13B6" w:rsidRPr="00DD4642">
        <w:rPr>
          <w:rFonts w:eastAsia="Batang"/>
          <w:lang w:bidi="ru-RU"/>
        </w:rPr>
        <w:tab/>
        <w:t>dBW/150 kHz</w:t>
      </w:r>
      <w:r w:rsidR="00DA13B6" w:rsidRPr="00DD4642">
        <w:rPr>
          <w:rFonts w:eastAsia="Batang"/>
          <w:lang w:bidi="ru-RU"/>
        </w:rPr>
        <w:tab/>
        <w:t>pour</w:t>
      </w:r>
      <w:r w:rsidR="00DA13B6" w:rsidRPr="00DD4642">
        <w:rPr>
          <w:rFonts w:eastAsia="Batang"/>
          <w:lang w:bidi="ru-RU"/>
        </w:rPr>
        <w:tab/>
        <w:t>−90</w:t>
      </w:r>
      <w:r w:rsidR="00DA13B6" w:rsidRPr="00DD4642">
        <w:rPr>
          <w:rFonts w:eastAsia="Batang"/>
          <w:lang w:bidi="ru-RU"/>
        </w:rPr>
        <w:sym w:font="Symbol" w:char="F0B0"/>
      </w:r>
      <w:r w:rsidR="00DA13B6" w:rsidRPr="00DD4642">
        <w:rPr>
          <w:rFonts w:eastAsia="Batang"/>
          <w:lang w:bidi="ru-RU"/>
        </w:rPr>
        <w:t xml:space="preserve"> </w:t>
      </w:r>
      <w:r w:rsidR="00DA13B6" w:rsidRPr="00DD4642">
        <w:rPr>
          <w:rFonts w:eastAsia="Batang"/>
          <w:lang w:bidi="ru-RU"/>
        </w:rPr>
        <w:tab/>
      </w:r>
      <w:r w:rsidR="00DA13B6" w:rsidRPr="00DD4642">
        <w:rPr>
          <w:rFonts w:eastAsia="Batang"/>
          <w:lang w:bidi="ru-RU"/>
        </w:rPr>
        <w:sym w:font="Symbol" w:char="F0A3"/>
      </w:r>
      <w:r w:rsidR="00DA13B6" w:rsidRPr="00DD4642">
        <w:rPr>
          <w:rFonts w:eastAsia="Batang"/>
          <w:lang w:bidi="ru-RU"/>
        </w:rPr>
        <w:t xml:space="preserve"> </w:t>
      </w:r>
      <w:r w:rsidR="00DA13B6" w:rsidRPr="00DD4642">
        <w:rPr>
          <w:rFonts w:eastAsia="Batang"/>
          <w:lang w:bidi="ru-RU"/>
        </w:rPr>
        <w:sym w:font="Symbol" w:char="F071"/>
      </w:r>
      <w:r w:rsidR="00DA13B6" w:rsidRPr="00DD4642">
        <w:rPr>
          <w:rFonts w:eastAsia="Batang"/>
          <w:lang w:bidi="ru-RU"/>
        </w:rPr>
        <w:t xml:space="preserve"> &lt; 0°</w:t>
      </w:r>
      <w:r w:rsidR="00DA13B6" w:rsidRPr="00DD4642">
        <w:rPr>
          <w:rFonts w:eastAsia="Batang"/>
          <w:lang w:bidi="ru-RU"/>
        </w:rPr>
        <w:br/>
        <w:t>−39,0</w:t>
      </w:r>
      <w:r w:rsidR="00DA13B6" w:rsidRPr="00DD4642">
        <w:rPr>
          <w:rFonts w:eastAsia="Batang"/>
          <w:lang w:bidi="ru-RU"/>
        </w:rPr>
        <w:tab/>
        <w:t>dBW/150 kHz</w:t>
      </w:r>
      <w:r w:rsidR="00DA13B6" w:rsidRPr="00DD4642">
        <w:rPr>
          <w:rFonts w:eastAsia="Batang"/>
          <w:lang w:bidi="ru-RU"/>
        </w:rPr>
        <w:tab/>
        <w:t>pour</w:t>
      </w:r>
      <w:r w:rsidR="00DA13B6" w:rsidRPr="00DD4642">
        <w:rPr>
          <w:rFonts w:eastAsia="Batang"/>
          <w:lang w:bidi="ru-RU"/>
        </w:rPr>
        <w:tab/>
        <w:t>0</w:t>
      </w:r>
      <w:r w:rsidR="00DA13B6" w:rsidRPr="00DD4642">
        <w:rPr>
          <w:rFonts w:eastAsia="Batang"/>
          <w:lang w:bidi="ru-RU"/>
        </w:rPr>
        <w:sym w:font="Symbol" w:char="F0B0"/>
      </w:r>
      <w:r w:rsidR="00DA13B6" w:rsidRPr="00DD4642">
        <w:rPr>
          <w:rFonts w:eastAsia="Batang"/>
          <w:lang w:bidi="ru-RU"/>
        </w:rPr>
        <w:t xml:space="preserve"> </w:t>
      </w:r>
      <w:r w:rsidR="00DA13B6" w:rsidRPr="00DD4642">
        <w:rPr>
          <w:rFonts w:eastAsia="Batang"/>
          <w:lang w:bidi="ru-RU"/>
        </w:rPr>
        <w:tab/>
      </w:r>
      <w:r w:rsidR="00DA13B6" w:rsidRPr="00DD4642">
        <w:rPr>
          <w:rFonts w:eastAsia="Batang"/>
          <w:lang w:bidi="ru-RU"/>
        </w:rPr>
        <w:sym w:font="Symbol" w:char="F0A3"/>
      </w:r>
      <w:r w:rsidR="00DA13B6" w:rsidRPr="00DD4642">
        <w:rPr>
          <w:rFonts w:eastAsia="Batang"/>
          <w:lang w:bidi="ru-RU"/>
        </w:rPr>
        <w:t xml:space="preserve"> </w:t>
      </w:r>
      <w:r w:rsidR="00DA13B6" w:rsidRPr="00DD4642">
        <w:rPr>
          <w:rFonts w:eastAsia="Batang"/>
          <w:lang w:bidi="ru-RU"/>
        </w:rPr>
        <w:sym w:font="Symbol" w:char="F071"/>
      </w:r>
      <w:r w:rsidR="00DA13B6" w:rsidRPr="00DD4642">
        <w:rPr>
          <w:rFonts w:eastAsia="Batang"/>
          <w:lang w:bidi="ru-RU"/>
        </w:rPr>
        <w:t xml:space="preserve"> &lt; 5°</w:t>
      </w:r>
      <w:r w:rsidR="00DA13B6" w:rsidRPr="00DD4642">
        <w:rPr>
          <w:rFonts w:eastAsia="Batang"/>
          <w:lang w:bidi="ru-RU"/>
        </w:rPr>
        <w:br/>
        <w:t>−39,9 – 1,05 (</w:t>
      </w:r>
      <w:r w:rsidR="00DA13B6" w:rsidRPr="00DD4642">
        <w:rPr>
          <w:rFonts w:eastAsia="Batang"/>
          <w:lang w:bidi="ru-RU"/>
        </w:rPr>
        <w:sym w:font="Symbol" w:char="F071"/>
      </w:r>
      <w:r w:rsidR="00DA13B6" w:rsidRPr="00DD4642">
        <w:rPr>
          <w:rFonts w:eastAsia="Batang"/>
          <w:lang w:bidi="ru-RU"/>
        </w:rPr>
        <w:t> – 5)</w:t>
      </w:r>
      <w:r w:rsidR="00DA13B6" w:rsidRPr="00DD4642">
        <w:rPr>
          <w:rFonts w:eastAsia="Batang"/>
          <w:lang w:bidi="ru-RU"/>
        </w:rPr>
        <w:tab/>
        <w:t>dBW/150 kHz</w:t>
      </w:r>
      <w:r w:rsidR="00DA13B6" w:rsidRPr="00DD4642">
        <w:rPr>
          <w:rFonts w:eastAsia="Batang"/>
          <w:lang w:bidi="ru-RU"/>
        </w:rPr>
        <w:tab/>
        <w:t>pour</w:t>
      </w:r>
      <w:r w:rsidR="00DA13B6" w:rsidRPr="00DD4642">
        <w:rPr>
          <w:rFonts w:eastAsia="Batang"/>
          <w:lang w:bidi="ru-RU"/>
        </w:rPr>
        <w:tab/>
        <w:t>5</w:t>
      </w:r>
      <w:r w:rsidR="00DA13B6" w:rsidRPr="00DD4642">
        <w:rPr>
          <w:rFonts w:eastAsia="Batang"/>
          <w:lang w:bidi="ru-RU"/>
        </w:rPr>
        <w:sym w:font="Symbol" w:char="F0B0"/>
      </w:r>
      <w:r w:rsidR="00DA13B6" w:rsidRPr="00DD4642">
        <w:rPr>
          <w:rFonts w:eastAsia="Batang"/>
          <w:lang w:bidi="ru-RU"/>
        </w:rPr>
        <w:tab/>
        <w:t xml:space="preserve"> </w:t>
      </w:r>
      <w:r w:rsidR="00DA13B6" w:rsidRPr="00DD4642">
        <w:rPr>
          <w:rFonts w:eastAsia="Batang"/>
          <w:lang w:bidi="ru-RU"/>
        </w:rPr>
        <w:sym w:font="Symbol" w:char="F0A3"/>
      </w:r>
      <w:r w:rsidR="00DA13B6" w:rsidRPr="00DD4642">
        <w:rPr>
          <w:rFonts w:eastAsia="Batang"/>
          <w:lang w:bidi="ru-RU"/>
        </w:rPr>
        <w:sym w:font="Symbol" w:char="F071"/>
      </w:r>
      <w:r w:rsidR="00DA13B6" w:rsidRPr="00DD4642">
        <w:rPr>
          <w:rFonts w:eastAsia="Batang"/>
          <w:lang w:bidi="ru-RU"/>
        </w:rPr>
        <w:t xml:space="preserve"> &lt; 25°</w:t>
      </w:r>
      <w:r w:rsidR="00DA13B6" w:rsidRPr="00DD4642">
        <w:rPr>
          <w:rFonts w:eastAsia="Batang"/>
          <w:lang w:bidi="ru-RU"/>
        </w:rPr>
        <w:br/>
        <w:t>–60</w:t>
      </w:r>
      <w:r w:rsidR="00DA13B6" w:rsidRPr="00DD4642">
        <w:rPr>
          <w:rFonts w:eastAsia="Batang"/>
          <w:lang w:bidi="ru-RU"/>
        </w:rPr>
        <w:tab/>
        <w:t>dBW/150 kHz</w:t>
      </w:r>
      <w:r w:rsidR="00DA13B6" w:rsidRPr="00DD4642">
        <w:rPr>
          <w:rFonts w:eastAsia="Batang"/>
          <w:lang w:bidi="ru-RU"/>
        </w:rPr>
        <w:tab/>
        <w:t>pour</w:t>
      </w:r>
      <w:r w:rsidR="00DA13B6" w:rsidRPr="00DD4642">
        <w:rPr>
          <w:rFonts w:eastAsia="Batang"/>
          <w:lang w:bidi="ru-RU"/>
        </w:rPr>
        <w:tab/>
        <w:t>25°</w:t>
      </w:r>
      <w:r w:rsidR="00DA13B6" w:rsidRPr="00DD4642">
        <w:rPr>
          <w:rFonts w:eastAsia="Batang"/>
          <w:lang w:bidi="ru-RU"/>
        </w:rPr>
        <w:tab/>
      </w:r>
      <w:r w:rsidR="00DA13B6" w:rsidRPr="00DD4642">
        <w:rPr>
          <w:rFonts w:eastAsia="Batang"/>
          <w:lang w:bidi="ru-RU"/>
        </w:rPr>
        <w:sym w:font="Symbol" w:char="F0A3"/>
      </w:r>
      <w:r w:rsidR="00DA13B6" w:rsidRPr="00DD4642">
        <w:rPr>
          <w:rFonts w:eastAsia="Batang"/>
          <w:lang w:bidi="ru-RU"/>
        </w:rPr>
        <w:t xml:space="preserve"> </w:t>
      </w:r>
      <w:r w:rsidR="00DA13B6" w:rsidRPr="00DD4642">
        <w:rPr>
          <w:rFonts w:eastAsia="Batang"/>
          <w:lang w:bidi="ru-RU"/>
        </w:rPr>
        <w:sym w:font="Symbol" w:char="F071"/>
      </w:r>
      <w:r w:rsidR="00DA13B6" w:rsidRPr="00DD4642">
        <w:rPr>
          <w:rFonts w:eastAsia="Batang"/>
          <w:lang w:bidi="ru-RU"/>
        </w:rPr>
        <w:t xml:space="preserve"> &lt; 90°,</w:t>
      </w:r>
    </w:p>
    <w:p w14:paraId="48E66A69" w14:textId="52D00E4D" w:rsidR="00B44EEA" w:rsidRPr="00DD4642" w:rsidRDefault="00B44EEA" w:rsidP="00AA0C6E">
      <w:pPr>
        <w:pStyle w:val="enumlev1"/>
      </w:pPr>
      <w:r w:rsidRPr="00DD4642">
        <w:rPr>
          <w:rFonts w:eastAsia="Batang"/>
          <w:lang w:bidi="ru-RU"/>
        </w:rPr>
        <w:tab/>
      </w:r>
      <w:r w:rsidR="001744FF" w:rsidRPr="00DD4642">
        <w:rPr>
          <w:rFonts w:eastAsia="Batang"/>
          <w:lang w:bidi="ru-RU"/>
        </w:rPr>
        <w:t>où θ est l'angle d'élévation de l'antenne de la station d'amateur (en degrés) et la p.i.r.e. correspond à la puissance rayonnée de la station d'amateur</w:t>
      </w:r>
      <w:r w:rsidRPr="00DD4642">
        <w:rPr>
          <w:rFonts w:eastAsia="Batang"/>
          <w:lang w:bidi="ru-RU"/>
        </w:rPr>
        <w:t>.</w:t>
      </w:r>
    </w:p>
    <w:p w14:paraId="06BCBC2F" w14:textId="2EFC7D30" w:rsidR="00AA0C6E" w:rsidRPr="00DD4642" w:rsidRDefault="00B44EEA" w:rsidP="001744FF">
      <w:pPr>
        <w:pStyle w:val="enumlev1"/>
      </w:pPr>
      <w:r w:rsidRPr="00DD4642">
        <w:t>6</w:t>
      </w:r>
      <w:r w:rsidR="00940D34" w:rsidRPr="00DD4642">
        <w:t>)</w:t>
      </w:r>
      <w:r w:rsidRPr="00DD4642">
        <w:tab/>
      </w:r>
      <w:r w:rsidR="00AA0C6E" w:rsidRPr="00DD4642">
        <w:t>Lorsque les antennes des stations d'amateur et d'amateur par satellite sont installées à des hauteurs d'antenne élevées par rapport aux valeurs types indiquées dans le</w:t>
      </w:r>
      <w:r w:rsidR="003817B9" w:rsidRPr="00DD4642">
        <w:t xml:space="preserve"> </w:t>
      </w:r>
      <w:r w:rsidR="00AA0C6E" w:rsidRPr="00DD4642">
        <w:t xml:space="preserve">Rapport UIT-R M.2513-0, les administrations devront peut-être envisager d'autres contraintes ou limitations, en plus de celles qui sont énumérées aux points 1) à </w:t>
      </w:r>
      <w:r w:rsidRPr="00DD4642">
        <w:t>5</w:t>
      </w:r>
      <w:r w:rsidR="00AA0C6E" w:rsidRPr="00DD4642">
        <w:t>) ci</w:t>
      </w:r>
      <w:r w:rsidR="00AA0C6E" w:rsidRPr="00DD4642">
        <w:noBreakHyphen/>
        <w:t>dessus, en particulier dans les cas de la catégorie des stations d'amateur dénommée «installations permanentes», qui comprend les répéteurs et les balises de propagation.</w:t>
      </w:r>
    </w:p>
    <w:p w14:paraId="118BF9EB" w14:textId="26097382" w:rsidR="00AA0C6E" w:rsidRPr="00DD4642" w:rsidRDefault="00B44EEA" w:rsidP="001744FF">
      <w:pPr>
        <w:pStyle w:val="enumlev1"/>
      </w:pPr>
      <w:r w:rsidRPr="00DD4642">
        <w:t>7</w:t>
      </w:r>
      <w:r w:rsidR="00940D34" w:rsidRPr="00DD4642">
        <w:t>)</w:t>
      </w:r>
      <w:r w:rsidR="00AA0C6E" w:rsidRPr="00DD4642">
        <w:tab/>
      </w:r>
      <w:r w:rsidR="001744FF" w:rsidRPr="00DD4642">
        <w:t xml:space="preserve">La durée d'émission de chaque station terrienne du service d'amateur par satellite devra peut-être être limitée à 60 minutes par jour. </w:t>
      </w:r>
      <w:r w:rsidR="00AA0C6E" w:rsidRPr="00DD4642">
        <w:t>En cas d'augmentation significative du nombre de satellites du service d'amateur par satellite dans la bande de fréquences</w:t>
      </w:r>
      <w:r w:rsidR="00023BC3" w:rsidRPr="00DD4642">
        <w:t> </w:t>
      </w:r>
      <w:r w:rsidR="00AA0C6E" w:rsidRPr="00DD4642">
        <w:t>1 260</w:t>
      </w:r>
      <w:r w:rsidR="00AA0C6E" w:rsidRPr="00DD4642">
        <w:noBreakHyphen/>
        <w:t xml:space="preserve">1 270 MHz, des mesures supplémentaires concernant la durée </w:t>
      </w:r>
      <w:r w:rsidR="001744FF" w:rsidRPr="00DD4642">
        <w:t>d</w:t>
      </w:r>
      <w:r w:rsidR="009E028E" w:rsidRPr="00DD4642">
        <w:t>'</w:t>
      </w:r>
      <w:r w:rsidR="00B32526" w:rsidRPr="00DD4642">
        <w:t xml:space="preserve">émission </w:t>
      </w:r>
      <w:r w:rsidR="001744FF" w:rsidRPr="00DD4642">
        <w:t xml:space="preserve">de chaque station terrienne du service </w:t>
      </w:r>
      <w:r w:rsidR="009E028E" w:rsidRPr="00DD4642">
        <w:t>d'</w:t>
      </w:r>
      <w:r w:rsidR="001744FF" w:rsidRPr="00DD4642">
        <w:t>amateur par satellite</w:t>
      </w:r>
      <w:r w:rsidR="00AA0C6E" w:rsidRPr="00DD4642">
        <w:t xml:space="preserve"> peuvent s'avérer nécessaires</w:t>
      </w:r>
      <w:r w:rsidR="00E57467" w:rsidRPr="00DD4642">
        <w:t>.</w:t>
      </w:r>
    </w:p>
    <w:p w14:paraId="272DCA94" w14:textId="04FA271B" w:rsidR="00B44EEA" w:rsidRPr="00DD4642" w:rsidRDefault="00C346E9" w:rsidP="00411C49">
      <w:pPr>
        <w:pStyle w:val="Reasons"/>
      </w:pPr>
      <w:r w:rsidRPr="00DD4642">
        <w:rPr>
          <w:b/>
        </w:rPr>
        <w:t>Motifs:</w:t>
      </w:r>
      <w:r w:rsidRPr="00DD4642">
        <w:tab/>
      </w:r>
      <w:r w:rsidR="001744FF" w:rsidRPr="00DD4642">
        <w:t>L</w:t>
      </w:r>
      <w:r w:rsidR="00B32526" w:rsidRPr="00DD4642">
        <w:t xml:space="preserve">e projet de </w:t>
      </w:r>
      <w:r w:rsidR="001744FF" w:rsidRPr="00DD4642">
        <w:t xml:space="preserve">Résolution est </w:t>
      </w:r>
      <w:r w:rsidR="001F22A3" w:rsidRPr="00DD4642">
        <w:t>fondé</w:t>
      </w:r>
      <w:r w:rsidR="001744FF" w:rsidRPr="00DD4642">
        <w:t xml:space="preserve"> sur l'avant-projet de nouvelle Recommandation</w:t>
      </w:r>
      <w:r w:rsidR="000446A8" w:rsidRPr="00DD4642">
        <w:t> </w:t>
      </w:r>
      <w:r w:rsidR="001744FF" w:rsidRPr="00DD4642">
        <w:t>UIT</w:t>
      </w:r>
      <w:r w:rsidR="000446A8" w:rsidRPr="00DD4642">
        <w:noBreakHyphen/>
      </w:r>
      <w:r w:rsidR="001744FF" w:rsidRPr="00DD4642">
        <w:t>R</w:t>
      </w:r>
      <w:r w:rsidR="000446A8" w:rsidRPr="00DD4642">
        <w:t> </w:t>
      </w:r>
      <w:r w:rsidR="001744FF" w:rsidRPr="00DD4642">
        <w:t xml:space="preserve">M.[AS.GUIDANCE] établi par le GT 5A et </w:t>
      </w:r>
      <w:r w:rsidR="002F37E6" w:rsidRPr="00DD4642">
        <w:t>traduit une partie</w:t>
      </w:r>
      <w:r w:rsidR="001744FF" w:rsidRPr="00DD4642">
        <w:t xml:space="preserve"> du consensus obtenu sur le point</w:t>
      </w:r>
      <w:r w:rsidR="00023BC3" w:rsidRPr="00DD4642">
        <w:t> </w:t>
      </w:r>
      <w:r w:rsidR="00B32526" w:rsidRPr="00DD4642">
        <w:t>9.1(</w:t>
      </w:r>
      <w:r w:rsidR="001744FF" w:rsidRPr="00DD4642">
        <w:t>9.1</w:t>
      </w:r>
      <w:r w:rsidR="00B32526" w:rsidRPr="00DD4642">
        <w:t>-</w:t>
      </w:r>
      <w:r w:rsidR="001744FF" w:rsidRPr="00DD4642">
        <w:t xml:space="preserve">b) de l'ordre du jour de la CMR-23. Cette Résolution pourrait permettre de traiter le point </w:t>
      </w:r>
      <w:r w:rsidR="00B32526" w:rsidRPr="00DD4642">
        <w:t>9.1(</w:t>
      </w:r>
      <w:r w:rsidR="001744FF" w:rsidRPr="00DD4642">
        <w:t>9.1</w:t>
      </w:r>
      <w:r w:rsidR="00B32526" w:rsidRPr="00DD4642">
        <w:t>-</w:t>
      </w:r>
      <w:r w:rsidR="001744FF" w:rsidRPr="00DD4642">
        <w:t>b) de l'ordre du jour et d'assurer la protection du SRNS dans la bande de fréquences</w:t>
      </w:r>
      <w:r w:rsidR="00023BC3" w:rsidRPr="00DD4642">
        <w:t> </w:t>
      </w:r>
      <w:r w:rsidR="001744FF" w:rsidRPr="00DD4642">
        <w:t>1</w:t>
      </w:r>
      <w:r w:rsidR="00B32526" w:rsidRPr="00DD4642">
        <w:t> </w:t>
      </w:r>
      <w:r w:rsidR="001744FF" w:rsidRPr="00DD4642">
        <w:t>240-1</w:t>
      </w:r>
      <w:r w:rsidR="00B32526" w:rsidRPr="00DD4642">
        <w:t> </w:t>
      </w:r>
      <w:r w:rsidR="001744FF" w:rsidRPr="00DD4642">
        <w:t>300 MHz, tout en maintenant son utilisation par le service d'amateur et le service d'amateur par satellite</w:t>
      </w:r>
      <w:r w:rsidR="00B44EEA" w:rsidRPr="00DD4642">
        <w:t>.</w:t>
      </w:r>
    </w:p>
    <w:p w14:paraId="22C16676" w14:textId="77777777" w:rsidR="00B44EEA" w:rsidRPr="00DD4642" w:rsidRDefault="00B44EEA">
      <w:pPr>
        <w:jc w:val="center"/>
      </w:pPr>
      <w:r w:rsidRPr="00DD4642">
        <w:t>______________</w:t>
      </w:r>
    </w:p>
    <w:sectPr w:rsidR="00B44EEA" w:rsidRPr="00DD4642">
      <w:headerReference w:type="default" r:id="rId16"/>
      <w:footerReference w:type="even" r:id="rId17"/>
      <w:footerReference w:type="default" r:id="rId18"/>
      <w:footerReference w:type="first" r:id="rId1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FFD4" w14:textId="77777777" w:rsidR="00DC279C" w:rsidRDefault="00DC279C">
      <w:r>
        <w:separator/>
      </w:r>
    </w:p>
  </w:endnote>
  <w:endnote w:type="continuationSeparator" w:id="0">
    <w:p w14:paraId="31DE38E0" w14:textId="77777777" w:rsidR="00DC279C" w:rsidRDefault="00DC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0DA6" w14:textId="596CD293"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8D57C9">
      <w:rPr>
        <w:noProof/>
      </w:rPr>
      <w:t>16.11.23</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6A77" w14:textId="54D391CF"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680FBA">
      <w:rPr>
        <w:lang w:val="en-US"/>
      </w:rPr>
      <w:t>P:\FRA\ITU-R\CONF-R\CMR23\100\111ADD24ADD02F.docx</w:t>
    </w:r>
    <w:r>
      <w:fldChar w:fldCharType="end"/>
    </w:r>
    <w:r w:rsidR="00B44EEA" w:rsidRPr="00300092">
      <w:rPr>
        <w:lang w:val="en-US"/>
      </w:rPr>
      <w:t xml:space="preserve"> (530277)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F504" w14:textId="532BE63D"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680FBA">
      <w:rPr>
        <w:lang w:val="en-US"/>
      </w:rPr>
      <w:t>P:\FRA\ITU-R\CONF-R\CMR23\100\111ADD24ADD02F.docx</w:t>
    </w:r>
    <w:r>
      <w:fldChar w:fldCharType="end"/>
    </w:r>
    <w:r w:rsidR="00AA0C6E" w:rsidRPr="00300092">
      <w:rPr>
        <w:lang w:val="en-US"/>
      </w:rPr>
      <w:t xml:space="preserve"> (530277)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34B2" w14:textId="77777777" w:rsidR="00DC279C" w:rsidRDefault="00DC279C">
      <w:r>
        <w:rPr>
          <w:b/>
        </w:rPr>
        <w:t>_______________</w:t>
      </w:r>
    </w:p>
  </w:footnote>
  <w:footnote w:type="continuationSeparator" w:id="0">
    <w:p w14:paraId="4CECE39F" w14:textId="77777777" w:rsidR="00DC279C" w:rsidRDefault="00DC2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B7D6" w14:textId="32982314" w:rsidR="004F1F8E" w:rsidRDefault="004F1F8E" w:rsidP="004F1F8E">
    <w:pPr>
      <w:pStyle w:val="Header"/>
    </w:pPr>
    <w:r>
      <w:fldChar w:fldCharType="begin"/>
    </w:r>
    <w:r>
      <w:instrText xml:space="preserve"> PAGE </w:instrText>
    </w:r>
    <w:r>
      <w:fldChar w:fldCharType="separate"/>
    </w:r>
    <w:r w:rsidR="002F37E6">
      <w:rPr>
        <w:noProof/>
      </w:rPr>
      <w:t>5</w:t>
    </w:r>
    <w:r>
      <w:fldChar w:fldCharType="end"/>
    </w:r>
  </w:p>
  <w:p w14:paraId="27D370EC" w14:textId="77777777" w:rsidR="004F1F8E" w:rsidRDefault="00225CF2" w:rsidP="00FD7AA3">
    <w:pPr>
      <w:pStyle w:val="Header"/>
    </w:pPr>
    <w:r>
      <w:t>WRC</w:t>
    </w:r>
    <w:r w:rsidR="00D3426F">
      <w:t>23</w:t>
    </w:r>
    <w:r w:rsidR="004F1F8E">
      <w:t>/</w:t>
    </w:r>
    <w:r w:rsidR="006A4B45">
      <w:t>111(Add.24)(Add.2)-</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171720990">
    <w:abstractNumId w:val="0"/>
  </w:num>
  <w:num w:numId="2" w16cid:durableId="90757439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3BC3"/>
    <w:rsid w:val="0003522F"/>
    <w:rsid w:val="000446A8"/>
    <w:rsid w:val="00063A1F"/>
    <w:rsid w:val="00080E2C"/>
    <w:rsid w:val="00081366"/>
    <w:rsid w:val="000863B3"/>
    <w:rsid w:val="000A4755"/>
    <w:rsid w:val="000A55AE"/>
    <w:rsid w:val="000B2E0C"/>
    <w:rsid w:val="000B3D0C"/>
    <w:rsid w:val="001160F0"/>
    <w:rsid w:val="001167B9"/>
    <w:rsid w:val="00117343"/>
    <w:rsid w:val="001267A0"/>
    <w:rsid w:val="0015203F"/>
    <w:rsid w:val="00160C64"/>
    <w:rsid w:val="001744FF"/>
    <w:rsid w:val="0018169B"/>
    <w:rsid w:val="0019352B"/>
    <w:rsid w:val="001960D0"/>
    <w:rsid w:val="001A11F6"/>
    <w:rsid w:val="001F17E8"/>
    <w:rsid w:val="001F22A3"/>
    <w:rsid w:val="00204306"/>
    <w:rsid w:val="00225CF2"/>
    <w:rsid w:val="00232FD2"/>
    <w:rsid w:val="0025786B"/>
    <w:rsid w:val="00264FFA"/>
    <w:rsid w:val="0026554E"/>
    <w:rsid w:val="002A4236"/>
    <w:rsid w:val="002A4622"/>
    <w:rsid w:val="002A6F8F"/>
    <w:rsid w:val="002B17E5"/>
    <w:rsid w:val="002C0EBF"/>
    <w:rsid w:val="002C28A4"/>
    <w:rsid w:val="002D7E0A"/>
    <w:rsid w:val="002F37E6"/>
    <w:rsid w:val="00300092"/>
    <w:rsid w:val="00315AFE"/>
    <w:rsid w:val="003411F6"/>
    <w:rsid w:val="003606A6"/>
    <w:rsid w:val="0036650C"/>
    <w:rsid w:val="003817B9"/>
    <w:rsid w:val="00393ACD"/>
    <w:rsid w:val="003A583E"/>
    <w:rsid w:val="003E112B"/>
    <w:rsid w:val="003E1D1C"/>
    <w:rsid w:val="003E7B05"/>
    <w:rsid w:val="003F3719"/>
    <w:rsid w:val="003F6F2D"/>
    <w:rsid w:val="00466211"/>
    <w:rsid w:val="00483196"/>
    <w:rsid w:val="004834A9"/>
    <w:rsid w:val="004D01FC"/>
    <w:rsid w:val="004E28C3"/>
    <w:rsid w:val="004E59D2"/>
    <w:rsid w:val="004F1F8E"/>
    <w:rsid w:val="00512A32"/>
    <w:rsid w:val="005218C5"/>
    <w:rsid w:val="005343DA"/>
    <w:rsid w:val="005603F8"/>
    <w:rsid w:val="00560874"/>
    <w:rsid w:val="00586CF2"/>
    <w:rsid w:val="005A7C75"/>
    <w:rsid w:val="005C3768"/>
    <w:rsid w:val="005C6C3F"/>
    <w:rsid w:val="005D5802"/>
    <w:rsid w:val="005E1040"/>
    <w:rsid w:val="00613635"/>
    <w:rsid w:val="0062093D"/>
    <w:rsid w:val="00637ECF"/>
    <w:rsid w:val="00647B59"/>
    <w:rsid w:val="00680FBA"/>
    <w:rsid w:val="00690C7B"/>
    <w:rsid w:val="006A4B45"/>
    <w:rsid w:val="006B5D21"/>
    <w:rsid w:val="006D4724"/>
    <w:rsid w:val="006F5FA2"/>
    <w:rsid w:val="0070076C"/>
    <w:rsid w:val="00701BAE"/>
    <w:rsid w:val="00721F04"/>
    <w:rsid w:val="00730E95"/>
    <w:rsid w:val="007426B9"/>
    <w:rsid w:val="00764342"/>
    <w:rsid w:val="00774362"/>
    <w:rsid w:val="0077751A"/>
    <w:rsid w:val="00786598"/>
    <w:rsid w:val="00790C74"/>
    <w:rsid w:val="00792FA0"/>
    <w:rsid w:val="007A04E8"/>
    <w:rsid w:val="007B2C34"/>
    <w:rsid w:val="007F282B"/>
    <w:rsid w:val="0082532B"/>
    <w:rsid w:val="00830086"/>
    <w:rsid w:val="00851625"/>
    <w:rsid w:val="00863C0A"/>
    <w:rsid w:val="008A3120"/>
    <w:rsid w:val="008A4B97"/>
    <w:rsid w:val="008C5B8E"/>
    <w:rsid w:val="008C5DD5"/>
    <w:rsid w:val="008C7123"/>
    <w:rsid w:val="008D41BE"/>
    <w:rsid w:val="008D57C9"/>
    <w:rsid w:val="008D58D3"/>
    <w:rsid w:val="008E3BC9"/>
    <w:rsid w:val="00923064"/>
    <w:rsid w:val="00930FFD"/>
    <w:rsid w:val="00936D25"/>
    <w:rsid w:val="00940D34"/>
    <w:rsid w:val="00941EA5"/>
    <w:rsid w:val="00964700"/>
    <w:rsid w:val="00966C16"/>
    <w:rsid w:val="0098732F"/>
    <w:rsid w:val="009A045F"/>
    <w:rsid w:val="009A6A2B"/>
    <w:rsid w:val="009C7E7C"/>
    <w:rsid w:val="009E028E"/>
    <w:rsid w:val="00A00473"/>
    <w:rsid w:val="00A03C9B"/>
    <w:rsid w:val="00A37105"/>
    <w:rsid w:val="00A606C3"/>
    <w:rsid w:val="00A83B09"/>
    <w:rsid w:val="00A84541"/>
    <w:rsid w:val="00AA0C6E"/>
    <w:rsid w:val="00AE36A0"/>
    <w:rsid w:val="00B00294"/>
    <w:rsid w:val="00B32526"/>
    <w:rsid w:val="00B3749C"/>
    <w:rsid w:val="00B44EEA"/>
    <w:rsid w:val="00B64FD0"/>
    <w:rsid w:val="00BA5BD0"/>
    <w:rsid w:val="00BB1D82"/>
    <w:rsid w:val="00BC217E"/>
    <w:rsid w:val="00BD51C5"/>
    <w:rsid w:val="00BF26E7"/>
    <w:rsid w:val="00C1305F"/>
    <w:rsid w:val="00C346E9"/>
    <w:rsid w:val="00C53FCA"/>
    <w:rsid w:val="00C71DEB"/>
    <w:rsid w:val="00C76BAF"/>
    <w:rsid w:val="00C814B9"/>
    <w:rsid w:val="00CB685A"/>
    <w:rsid w:val="00CD516F"/>
    <w:rsid w:val="00D119A7"/>
    <w:rsid w:val="00D25FBA"/>
    <w:rsid w:val="00D32B28"/>
    <w:rsid w:val="00D3426F"/>
    <w:rsid w:val="00D42954"/>
    <w:rsid w:val="00D45730"/>
    <w:rsid w:val="00D61DE5"/>
    <w:rsid w:val="00D66EAC"/>
    <w:rsid w:val="00D730DF"/>
    <w:rsid w:val="00D772F0"/>
    <w:rsid w:val="00D77BDC"/>
    <w:rsid w:val="00DA13B6"/>
    <w:rsid w:val="00DC279C"/>
    <w:rsid w:val="00DC402B"/>
    <w:rsid w:val="00DD4642"/>
    <w:rsid w:val="00DE0932"/>
    <w:rsid w:val="00DF15E8"/>
    <w:rsid w:val="00E03A27"/>
    <w:rsid w:val="00E049F1"/>
    <w:rsid w:val="00E37A25"/>
    <w:rsid w:val="00E537FF"/>
    <w:rsid w:val="00E57467"/>
    <w:rsid w:val="00E60CB2"/>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B4BAB"/>
    <w:rsid w:val="00FC41F8"/>
    <w:rsid w:val="00FC44F7"/>
    <w:rsid w:val="00FD7AA3"/>
    <w:rsid w:val="00FE57FB"/>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2DE1B"/>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Footnote symbol,Style 13,Style 12,(NECG) Footnote Reference,Style 124,Appel note de bas de p + 11 pt,Italic,Appel note de bas de p1,Appel note de bas de p2,Appel note de bas de p3,o"/>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DNV"/>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qFormat/>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styleId="Hyperlink">
    <w:name w:val="Hyperlink"/>
    <w:basedOn w:val="DefaultParagraphFont"/>
    <w:unhideWhenUsed/>
    <w:rPr>
      <w:color w:val="0000FF" w:themeColor="hyperlink"/>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basedOn w:val="DefaultParagraphFont"/>
    <w:link w:val="FootnoteText"/>
    <w:rsid w:val="00AA0C6E"/>
    <w:rPr>
      <w:rFonts w:ascii="Times New Roman" w:hAnsi="Times New Roman"/>
      <w:sz w:val="24"/>
      <w:lang w:val="fr-FR" w:eastAsia="en-US"/>
    </w:rPr>
  </w:style>
  <w:style w:type="character" w:styleId="FollowedHyperlink">
    <w:name w:val="FollowedHyperlink"/>
    <w:basedOn w:val="DefaultParagraphFont"/>
    <w:semiHidden/>
    <w:unhideWhenUsed/>
    <w:rsid w:val="00FC44F7"/>
    <w:rPr>
      <w:color w:val="800080" w:themeColor="followedHyperlink"/>
      <w:u w:val="single"/>
    </w:rPr>
  </w:style>
  <w:style w:type="paragraph" w:styleId="Revision">
    <w:name w:val="Revision"/>
    <w:hidden/>
    <w:uiPriority w:val="99"/>
    <w:semiHidden/>
    <w:rsid w:val="001160F0"/>
    <w:rPr>
      <w:rFonts w:ascii="Times New Roman" w:hAnsi="Times New Roman"/>
      <w:sz w:val="24"/>
      <w:lang w:val="fr-FR" w:eastAsia="en-US"/>
    </w:rPr>
  </w:style>
  <w:style w:type="paragraph" w:styleId="ListParagraph">
    <w:name w:val="List Paragraph"/>
    <w:basedOn w:val="Normal"/>
    <w:uiPriority w:val="34"/>
    <w:qFormat/>
    <w:rsid w:val="00DA13B6"/>
    <w:pPr>
      <w:spacing w:after="160" w:line="259" w:lineRule="auto"/>
      <w:ind w:left="720"/>
      <w:contextualSpacing/>
    </w:pPr>
    <w:rPr>
      <w:rFonts w:eastAsia="MS Mincho"/>
      <w:lang w:val="en-GB"/>
    </w:rPr>
  </w:style>
  <w:style w:type="character" w:styleId="CommentReference">
    <w:name w:val="annotation reference"/>
    <w:basedOn w:val="DefaultParagraphFont"/>
    <w:semiHidden/>
    <w:unhideWhenUsed/>
    <w:rsid w:val="005218C5"/>
    <w:rPr>
      <w:sz w:val="16"/>
      <w:szCs w:val="16"/>
    </w:rPr>
  </w:style>
  <w:style w:type="paragraph" w:styleId="CommentText">
    <w:name w:val="annotation text"/>
    <w:basedOn w:val="Normal"/>
    <w:link w:val="CommentTextChar"/>
    <w:semiHidden/>
    <w:unhideWhenUsed/>
    <w:rsid w:val="005218C5"/>
    <w:rPr>
      <w:sz w:val="20"/>
    </w:rPr>
  </w:style>
  <w:style w:type="character" w:customStyle="1" w:styleId="CommentTextChar">
    <w:name w:val="Comment Text Char"/>
    <w:basedOn w:val="DefaultParagraphFont"/>
    <w:link w:val="CommentText"/>
    <w:semiHidden/>
    <w:rsid w:val="005218C5"/>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5218C5"/>
    <w:rPr>
      <w:b/>
      <w:bCs/>
    </w:rPr>
  </w:style>
  <w:style w:type="character" w:customStyle="1" w:styleId="CommentSubjectChar">
    <w:name w:val="Comment Subject Char"/>
    <w:basedOn w:val="CommentTextChar"/>
    <w:link w:val="CommentSubject"/>
    <w:semiHidden/>
    <w:rsid w:val="005218C5"/>
    <w:rPr>
      <w:rFonts w:ascii="Times New Roma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pub/R-REP-M.2513/f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rec/R-REC-M.1902/fr"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902/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R23-WRC23-C-0111!A24-A2!MSW-F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FC242-955D-4EA5-8C59-9657E7DDCBD0}">
  <ds:schemaRefs>
    <ds:schemaRef ds:uri="http://schemas.microsoft.com/sharepoint/events"/>
  </ds:schemaRefs>
</ds:datastoreItem>
</file>

<file path=customXml/itemProps2.xml><?xml version="1.0" encoding="utf-8"?>
<ds:datastoreItem xmlns:ds="http://schemas.openxmlformats.org/officeDocument/2006/customXml" ds:itemID="{E4718B6F-0F80-4468-A476-BFFE13A16FF7}">
  <ds:schemaRefs>
    <ds:schemaRef ds:uri="http://schemas.microsoft.com/office/2006/documentManagement/types"/>
    <ds:schemaRef ds:uri="996b2e75-67fd-4955-a3b0-5ab9934cb50b"/>
    <ds:schemaRef ds:uri="http://schemas.openxmlformats.org/package/2006/metadata/core-properties"/>
    <ds:schemaRef ds:uri="http://purl.org/dc/dcmitype/"/>
    <ds:schemaRef ds:uri="http://purl.org/dc/elements/1.1/"/>
    <ds:schemaRef ds:uri="32a1a8c5-2265-4ebc-b7a0-2071e2c5c9bb"/>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85A8085A-B4C3-4B67-BF5A-D17A8B53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1748</Words>
  <Characters>9695</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R23-WRC23-C-0111!A24-A2!MSW-F</vt:lpstr>
      <vt:lpstr>R23-WRC23-C-0111!A24-A2!MSW-F</vt:lpstr>
    </vt:vector>
  </TitlesOfParts>
  <Manager>Secrétariat général - Pool</Manager>
  <Company>Union internationale des télécommunications (UIT)</Company>
  <LinksUpToDate>false</LinksUpToDate>
  <CharactersWithSpaces>11421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R23-WRC23-C-0111!A24-A2!MSW-F</dc:title>
  <dc:subject>Conférence mondiale des radiocommunications - 2019</dc:subject>
  <dc:creator>Documents Proposals Manager (DPM)</dc:creator>
  <cp:keywords>DPM_v2023.11.6.1_prod</cp:keywords>
  <dc:description/>
  <cp:lastModifiedBy>French</cp:lastModifiedBy>
  <cp:revision>12</cp:revision>
  <cp:lastPrinted>2003-06-05T19:34:00Z</cp:lastPrinted>
  <dcterms:created xsi:type="dcterms:W3CDTF">2023-11-15T15:53:00Z</dcterms:created>
  <dcterms:modified xsi:type="dcterms:W3CDTF">2023-11-17T05:20:00Z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