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224FD" w14:paraId="33F37872" w14:textId="77777777" w:rsidTr="00C1305F">
        <w:trPr>
          <w:cantSplit/>
        </w:trPr>
        <w:tc>
          <w:tcPr>
            <w:tcW w:w="1418" w:type="dxa"/>
            <w:vAlign w:val="center"/>
          </w:tcPr>
          <w:p w14:paraId="043AA249" w14:textId="77777777" w:rsidR="00C1305F" w:rsidRPr="008224FD" w:rsidRDefault="00C1305F" w:rsidP="00C1305F">
            <w:pPr>
              <w:spacing w:before="0" w:line="240" w:lineRule="atLeast"/>
              <w:rPr>
                <w:rFonts w:ascii="Verdana" w:hAnsi="Verdana"/>
                <w:b/>
                <w:bCs/>
                <w:sz w:val="20"/>
              </w:rPr>
            </w:pPr>
            <w:r w:rsidRPr="008224FD">
              <w:rPr>
                <w:noProof/>
              </w:rPr>
              <w:drawing>
                <wp:inline distT="0" distB="0" distL="0" distR="0" wp14:anchorId="12BAF7C7" wp14:editId="29C057E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707A53" w14:textId="449B7B4D" w:rsidR="00C1305F" w:rsidRPr="008224FD" w:rsidRDefault="00C1305F" w:rsidP="00F10064">
            <w:pPr>
              <w:spacing w:before="400" w:after="48" w:line="240" w:lineRule="atLeast"/>
              <w:rPr>
                <w:rFonts w:ascii="Verdana" w:hAnsi="Verdana"/>
                <w:b/>
                <w:bCs/>
                <w:sz w:val="20"/>
              </w:rPr>
            </w:pPr>
            <w:r w:rsidRPr="008224FD">
              <w:rPr>
                <w:rFonts w:ascii="Verdana" w:hAnsi="Verdana"/>
                <w:b/>
                <w:bCs/>
                <w:sz w:val="20"/>
              </w:rPr>
              <w:t>Conférence mondiale des radiocommunications (CMR-23)</w:t>
            </w:r>
            <w:r w:rsidRPr="008224FD">
              <w:rPr>
                <w:rFonts w:ascii="Verdana" w:hAnsi="Verdana"/>
                <w:b/>
                <w:bCs/>
                <w:sz w:val="20"/>
              </w:rPr>
              <w:br/>
            </w:r>
            <w:r w:rsidRPr="008224FD">
              <w:rPr>
                <w:rFonts w:ascii="Verdana" w:hAnsi="Verdana"/>
                <w:b/>
                <w:bCs/>
                <w:sz w:val="18"/>
                <w:szCs w:val="18"/>
              </w:rPr>
              <w:t xml:space="preserve">Dubaï, 20 novembre </w:t>
            </w:r>
            <w:r w:rsidR="00232F98" w:rsidRPr="008224FD">
              <w:rPr>
                <w:rFonts w:ascii="Verdana" w:hAnsi="Verdana"/>
                <w:b/>
                <w:bCs/>
                <w:sz w:val="18"/>
                <w:szCs w:val="18"/>
              </w:rPr>
              <w:t>–</w:t>
            </w:r>
            <w:r w:rsidRPr="008224FD">
              <w:rPr>
                <w:rFonts w:ascii="Verdana" w:hAnsi="Verdana"/>
                <w:b/>
                <w:bCs/>
                <w:sz w:val="18"/>
                <w:szCs w:val="18"/>
              </w:rPr>
              <w:t xml:space="preserve"> 15 décembre 2023</w:t>
            </w:r>
          </w:p>
        </w:tc>
        <w:tc>
          <w:tcPr>
            <w:tcW w:w="1809" w:type="dxa"/>
            <w:vAlign w:val="center"/>
          </w:tcPr>
          <w:p w14:paraId="6E1197A5" w14:textId="77777777" w:rsidR="00C1305F" w:rsidRPr="008224FD" w:rsidRDefault="00C1305F" w:rsidP="00C1305F">
            <w:pPr>
              <w:spacing w:before="0" w:line="240" w:lineRule="atLeast"/>
            </w:pPr>
            <w:r w:rsidRPr="008224FD">
              <w:rPr>
                <w:noProof/>
              </w:rPr>
              <w:drawing>
                <wp:inline distT="0" distB="0" distL="0" distR="0" wp14:anchorId="52F9CF47" wp14:editId="5491A8C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224FD" w14:paraId="60C70FA9" w14:textId="77777777" w:rsidTr="0050008E">
        <w:trPr>
          <w:cantSplit/>
        </w:trPr>
        <w:tc>
          <w:tcPr>
            <w:tcW w:w="6911" w:type="dxa"/>
            <w:gridSpan w:val="2"/>
            <w:tcBorders>
              <w:bottom w:val="single" w:sz="12" w:space="0" w:color="auto"/>
            </w:tcBorders>
          </w:tcPr>
          <w:p w14:paraId="1E608FA6" w14:textId="77777777" w:rsidR="00BB1D82" w:rsidRPr="008224FD"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79738BCC" w14:textId="77777777" w:rsidR="00BB1D82" w:rsidRPr="008224FD" w:rsidRDefault="00BB1D82" w:rsidP="00BB1D82">
            <w:pPr>
              <w:spacing w:before="0" w:line="240" w:lineRule="atLeast"/>
              <w:rPr>
                <w:rFonts w:ascii="Verdana" w:hAnsi="Verdana"/>
                <w:szCs w:val="24"/>
              </w:rPr>
            </w:pPr>
          </w:p>
        </w:tc>
      </w:tr>
      <w:tr w:rsidR="00BB1D82" w:rsidRPr="008224FD" w14:paraId="6A3E9797" w14:textId="77777777" w:rsidTr="00BB1D82">
        <w:trPr>
          <w:cantSplit/>
        </w:trPr>
        <w:tc>
          <w:tcPr>
            <w:tcW w:w="6911" w:type="dxa"/>
            <w:gridSpan w:val="2"/>
            <w:tcBorders>
              <w:top w:val="single" w:sz="12" w:space="0" w:color="auto"/>
            </w:tcBorders>
          </w:tcPr>
          <w:p w14:paraId="4FB0BEA7" w14:textId="77777777" w:rsidR="00BB1D82" w:rsidRPr="008224F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A8EFAF6" w14:textId="77777777" w:rsidR="00BB1D82" w:rsidRPr="008224FD" w:rsidRDefault="00BB1D82" w:rsidP="00BB1D82">
            <w:pPr>
              <w:spacing w:before="0" w:line="240" w:lineRule="atLeast"/>
              <w:rPr>
                <w:rFonts w:ascii="Verdana" w:hAnsi="Verdana"/>
                <w:sz w:val="20"/>
              </w:rPr>
            </w:pPr>
          </w:p>
        </w:tc>
      </w:tr>
      <w:tr w:rsidR="00BB1D82" w:rsidRPr="008224FD" w14:paraId="508278A4" w14:textId="77777777" w:rsidTr="00BB1D82">
        <w:trPr>
          <w:cantSplit/>
        </w:trPr>
        <w:tc>
          <w:tcPr>
            <w:tcW w:w="6911" w:type="dxa"/>
            <w:gridSpan w:val="2"/>
          </w:tcPr>
          <w:p w14:paraId="7E4A6F17" w14:textId="77777777" w:rsidR="00BB1D82" w:rsidRPr="008224FD" w:rsidRDefault="006D4724" w:rsidP="00BA5BD0">
            <w:pPr>
              <w:spacing w:before="0"/>
              <w:rPr>
                <w:rFonts w:ascii="Verdana" w:hAnsi="Verdana"/>
                <w:b/>
                <w:sz w:val="20"/>
              </w:rPr>
            </w:pPr>
            <w:r w:rsidRPr="008224FD">
              <w:rPr>
                <w:rFonts w:ascii="Verdana" w:hAnsi="Verdana"/>
                <w:b/>
                <w:sz w:val="20"/>
              </w:rPr>
              <w:t>SÉANCE PLÉNIÈRE</w:t>
            </w:r>
          </w:p>
        </w:tc>
        <w:tc>
          <w:tcPr>
            <w:tcW w:w="3120" w:type="dxa"/>
            <w:gridSpan w:val="2"/>
          </w:tcPr>
          <w:p w14:paraId="0894D380" w14:textId="77777777" w:rsidR="00BB1D82" w:rsidRPr="008224FD" w:rsidRDefault="006D4724" w:rsidP="00BA5BD0">
            <w:pPr>
              <w:spacing w:before="0"/>
              <w:rPr>
                <w:rFonts w:ascii="Verdana" w:hAnsi="Verdana"/>
                <w:sz w:val="20"/>
              </w:rPr>
            </w:pPr>
            <w:r w:rsidRPr="008224FD">
              <w:rPr>
                <w:rFonts w:ascii="Verdana" w:hAnsi="Verdana"/>
                <w:b/>
                <w:sz w:val="20"/>
              </w:rPr>
              <w:t>Addendum 2 au</w:t>
            </w:r>
            <w:r w:rsidRPr="008224FD">
              <w:rPr>
                <w:rFonts w:ascii="Verdana" w:hAnsi="Verdana"/>
                <w:b/>
                <w:sz w:val="20"/>
              </w:rPr>
              <w:br/>
              <w:t>Document 111(Add.22)</w:t>
            </w:r>
            <w:r w:rsidR="00BB1D82" w:rsidRPr="008224FD">
              <w:rPr>
                <w:rFonts w:ascii="Verdana" w:hAnsi="Verdana"/>
                <w:b/>
                <w:sz w:val="20"/>
              </w:rPr>
              <w:t>-</w:t>
            </w:r>
            <w:r w:rsidRPr="008224FD">
              <w:rPr>
                <w:rFonts w:ascii="Verdana" w:hAnsi="Verdana"/>
                <w:b/>
                <w:sz w:val="20"/>
              </w:rPr>
              <w:t>F</w:t>
            </w:r>
          </w:p>
        </w:tc>
      </w:tr>
      <w:bookmarkEnd w:id="0"/>
      <w:tr w:rsidR="00690C7B" w:rsidRPr="008224FD" w14:paraId="32CEEC48" w14:textId="77777777" w:rsidTr="00BB1D82">
        <w:trPr>
          <w:cantSplit/>
        </w:trPr>
        <w:tc>
          <w:tcPr>
            <w:tcW w:w="6911" w:type="dxa"/>
            <w:gridSpan w:val="2"/>
          </w:tcPr>
          <w:p w14:paraId="385B0CB0" w14:textId="77777777" w:rsidR="00690C7B" w:rsidRPr="008224FD" w:rsidRDefault="00690C7B" w:rsidP="00BA5BD0">
            <w:pPr>
              <w:spacing w:before="0"/>
              <w:rPr>
                <w:rFonts w:ascii="Verdana" w:hAnsi="Verdana"/>
                <w:b/>
                <w:sz w:val="20"/>
              </w:rPr>
            </w:pPr>
          </w:p>
        </w:tc>
        <w:tc>
          <w:tcPr>
            <w:tcW w:w="3120" w:type="dxa"/>
            <w:gridSpan w:val="2"/>
          </w:tcPr>
          <w:p w14:paraId="18027F00" w14:textId="77777777" w:rsidR="00690C7B" w:rsidRPr="008224FD" w:rsidRDefault="00690C7B" w:rsidP="00BA5BD0">
            <w:pPr>
              <w:spacing w:before="0"/>
              <w:rPr>
                <w:rFonts w:ascii="Verdana" w:hAnsi="Verdana"/>
                <w:b/>
                <w:sz w:val="20"/>
              </w:rPr>
            </w:pPr>
            <w:r w:rsidRPr="008224FD">
              <w:rPr>
                <w:rFonts w:ascii="Verdana" w:hAnsi="Verdana"/>
                <w:b/>
                <w:sz w:val="20"/>
              </w:rPr>
              <w:t>29 octobre 2023</w:t>
            </w:r>
          </w:p>
        </w:tc>
      </w:tr>
      <w:tr w:rsidR="00690C7B" w:rsidRPr="008224FD" w14:paraId="2A13E6FD" w14:textId="77777777" w:rsidTr="00BB1D82">
        <w:trPr>
          <w:cantSplit/>
        </w:trPr>
        <w:tc>
          <w:tcPr>
            <w:tcW w:w="6911" w:type="dxa"/>
            <w:gridSpan w:val="2"/>
          </w:tcPr>
          <w:p w14:paraId="474B525C" w14:textId="77777777" w:rsidR="00690C7B" w:rsidRPr="008224FD" w:rsidRDefault="00690C7B" w:rsidP="00BA5BD0">
            <w:pPr>
              <w:spacing w:before="0" w:after="48"/>
              <w:rPr>
                <w:rFonts w:ascii="Verdana" w:hAnsi="Verdana"/>
                <w:b/>
                <w:smallCaps/>
                <w:sz w:val="20"/>
              </w:rPr>
            </w:pPr>
          </w:p>
        </w:tc>
        <w:tc>
          <w:tcPr>
            <w:tcW w:w="3120" w:type="dxa"/>
            <w:gridSpan w:val="2"/>
          </w:tcPr>
          <w:p w14:paraId="2FA362D9" w14:textId="77777777" w:rsidR="00690C7B" w:rsidRPr="008224FD" w:rsidRDefault="00690C7B" w:rsidP="00BA5BD0">
            <w:pPr>
              <w:spacing w:before="0"/>
              <w:rPr>
                <w:rFonts w:ascii="Verdana" w:hAnsi="Verdana"/>
                <w:b/>
                <w:sz w:val="20"/>
              </w:rPr>
            </w:pPr>
            <w:r w:rsidRPr="008224FD">
              <w:rPr>
                <w:rFonts w:ascii="Verdana" w:hAnsi="Verdana"/>
                <w:b/>
                <w:sz w:val="20"/>
              </w:rPr>
              <w:t>Original: chinois</w:t>
            </w:r>
          </w:p>
        </w:tc>
      </w:tr>
      <w:tr w:rsidR="00690C7B" w:rsidRPr="008224FD" w14:paraId="598429B9" w14:textId="77777777" w:rsidTr="00C11970">
        <w:trPr>
          <w:cantSplit/>
        </w:trPr>
        <w:tc>
          <w:tcPr>
            <w:tcW w:w="10031" w:type="dxa"/>
            <w:gridSpan w:val="4"/>
          </w:tcPr>
          <w:p w14:paraId="58914EAD" w14:textId="77777777" w:rsidR="00690C7B" w:rsidRPr="008224FD" w:rsidRDefault="00690C7B" w:rsidP="00BA5BD0">
            <w:pPr>
              <w:spacing w:before="0"/>
              <w:rPr>
                <w:rFonts w:ascii="Verdana" w:hAnsi="Verdana"/>
                <w:b/>
                <w:sz w:val="20"/>
              </w:rPr>
            </w:pPr>
          </w:p>
        </w:tc>
      </w:tr>
      <w:tr w:rsidR="00690C7B" w:rsidRPr="008224FD" w14:paraId="72E8FC09" w14:textId="77777777" w:rsidTr="0050008E">
        <w:trPr>
          <w:cantSplit/>
        </w:trPr>
        <w:tc>
          <w:tcPr>
            <w:tcW w:w="10031" w:type="dxa"/>
            <w:gridSpan w:val="4"/>
          </w:tcPr>
          <w:p w14:paraId="3E41871B" w14:textId="77777777" w:rsidR="00690C7B" w:rsidRPr="008224FD" w:rsidRDefault="00690C7B" w:rsidP="00690C7B">
            <w:pPr>
              <w:pStyle w:val="Source"/>
            </w:pPr>
            <w:bookmarkStart w:id="1" w:name="dsource" w:colFirst="0" w:colLast="0"/>
            <w:r w:rsidRPr="008224FD">
              <w:t>Chine (République populaire de)</w:t>
            </w:r>
          </w:p>
        </w:tc>
      </w:tr>
      <w:tr w:rsidR="00690C7B" w:rsidRPr="008224FD" w14:paraId="4C0CECBD" w14:textId="77777777" w:rsidTr="0050008E">
        <w:trPr>
          <w:cantSplit/>
        </w:trPr>
        <w:tc>
          <w:tcPr>
            <w:tcW w:w="10031" w:type="dxa"/>
            <w:gridSpan w:val="4"/>
          </w:tcPr>
          <w:p w14:paraId="6F19CE51" w14:textId="04283D98" w:rsidR="00690C7B" w:rsidRPr="008224FD" w:rsidRDefault="00232F98" w:rsidP="00690C7B">
            <w:pPr>
              <w:pStyle w:val="Title1"/>
            </w:pPr>
            <w:bookmarkStart w:id="2" w:name="dtitle1" w:colFirst="0" w:colLast="0"/>
            <w:bookmarkEnd w:id="1"/>
            <w:r w:rsidRPr="008224FD">
              <w:t>Propositions pour les travaux de la Conférence</w:t>
            </w:r>
          </w:p>
        </w:tc>
      </w:tr>
      <w:tr w:rsidR="00690C7B" w:rsidRPr="008224FD" w14:paraId="6D2323F5" w14:textId="77777777" w:rsidTr="0050008E">
        <w:trPr>
          <w:cantSplit/>
        </w:trPr>
        <w:tc>
          <w:tcPr>
            <w:tcW w:w="10031" w:type="dxa"/>
            <w:gridSpan w:val="4"/>
          </w:tcPr>
          <w:p w14:paraId="26E2FD7B" w14:textId="77777777" w:rsidR="00690C7B" w:rsidRPr="008224FD" w:rsidRDefault="00690C7B" w:rsidP="00690C7B">
            <w:pPr>
              <w:pStyle w:val="Title2"/>
            </w:pPr>
            <w:bookmarkStart w:id="3" w:name="dtitle2" w:colFirst="0" w:colLast="0"/>
            <w:bookmarkEnd w:id="2"/>
          </w:p>
        </w:tc>
      </w:tr>
      <w:tr w:rsidR="00690C7B" w:rsidRPr="008224FD" w14:paraId="1B377EF4" w14:textId="77777777" w:rsidTr="0050008E">
        <w:trPr>
          <w:cantSplit/>
        </w:trPr>
        <w:tc>
          <w:tcPr>
            <w:tcW w:w="10031" w:type="dxa"/>
            <w:gridSpan w:val="4"/>
          </w:tcPr>
          <w:p w14:paraId="78276AC2" w14:textId="77777777" w:rsidR="00690C7B" w:rsidRPr="008224FD" w:rsidRDefault="00690C7B" w:rsidP="00690C7B">
            <w:pPr>
              <w:pStyle w:val="Agendaitem"/>
              <w:rPr>
                <w:lang w:val="fr-FR"/>
              </w:rPr>
            </w:pPr>
            <w:bookmarkStart w:id="4" w:name="dtitle3" w:colFirst="0" w:colLast="0"/>
            <w:bookmarkEnd w:id="3"/>
            <w:r w:rsidRPr="008224FD">
              <w:rPr>
                <w:lang w:val="fr-FR"/>
              </w:rPr>
              <w:t>Point 7(B) de l'ordre du jour</w:t>
            </w:r>
          </w:p>
        </w:tc>
      </w:tr>
    </w:tbl>
    <w:bookmarkEnd w:id="4"/>
    <w:p w14:paraId="3B0E0E76" w14:textId="551D7FA9" w:rsidR="00F5133A" w:rsidRPr="008224FD" w:rsidRDefault="00586B89" w:rsidP="00783A6F">
      <w:r w:rsidRPr="008224FD">
        <w:t>7</w:t>
      </w:r>
      <w:r w:rsidRPr="008224FD">
        <w:tab/>
        <w:t>examiner d'éventuels changements à apporter en application de la Résolution</w:t>
      </w:r>
      <w:r w:rsidR="00232F98" w:rsidRPr="008224FD">
        <w:t xml:space="preserve"> </w:t>
      </w:r>
      <w:r w:rsidRPr="008224FD">
        <w:t>86 (Rév. Marrakech, 2002) de la Conférence de plénipotentiaires, intitulée «Procédures de publication anticipée, de coordination, de notification et d'inscription des assignations de fréquence relatives aux réseaux à satellite», conformément à la Résolution</w:t>
      </w:r>
      <w:r w:rsidR="00232F98" w:rsidRPr="008224FD">
        <w:t xml:space="preserve"> </w:t>
      </w:r>
      <w:r w:rsidRPr="008224FD">
        <w:rPr>
          <w:b/>
          <w:bCs/>
        </w:rPr>
        <w:t>86 (Rév.CMR-07)</w:t>
      </w:r>
      <w:r w:rsidRPr="008224FD">
        <w:t>, afin de faciliter l'utilisation rationnelle, efficace et économique des fréquences radioélectriques et des orbites associées, y compris de l'orbite des satellites géostationnaires;</w:t>
      </w:r>
    </w:p>
    <w:p w14:paraId="254DAB12" w14:textId="77777777" w:rsidR="00F5133A" w:rsidRPr="008224FD" w:rsidRDefault="00586B89" w:rsidP="00033523">
      <w:r w:rsidRPr="008224FD">
        <w:t>7(B)</w:t>
      </w:r>
      <w:r w:rsidRPr="008224FD">
        <w:tab/>
        <w:t>Question B – Procédure à suivre après les étapes pour la mise en service des systèmes non OSG</w:t>
      </w:r>
    </w:p>
    <w:p w14:paraId="2FA8A217" w14:textId="050FE816" w:rsidR="003A583E" w:rsidRPr="008224FD" w:rsidRDefault="00232F98" w:rsidP="00232F98">
      <w:pPr>
        <w:pStyle w:val="Headingb"/>
      </w:pPr>
      <w:r w:rsidRPr="008224FD">
        <w:t>Introduction</w:t>
      </w:r>
    </w:p>
    <w:p w14:paraId="5671FA6B" w14:textId="4B82E513" w:rsidR="00F321D8" w:rsidRPr="008224FD" w:rsidRDefault="00203FE6" w:rsidP="005A7C75">
      <w:r w:rsidRPr="008224FD">
        <w:t xml:space="preserve">On trouvera dans la présente contribution un projet de nouvelle Résolution </w:t>
      </w:r>
      <w:r w:rsidRPr="008224FD">
        <w:rPr>
          <w:b/>
          <w:bCs/>
        </w:rPr>
        <w:t>[CHN/A7(B)]</w:t>
      </w:r>
      <w:r w:rsidRPr="008224FD">
        <w:t xml:space="preserve"> fondé sur la Méthode B2 figurant dans le Rapport de la RPC.</w:t>
      </w:r>
    </w:p>
    <w:p w14:paraId="7671DE00" w14:textId="3F575B55" w:rsidR="00232F98" w:rsidRPr="008224FD" w:rsidRDefault="00232F98" w:rsidP="00232F98">
      <w:pPr>
        <w:pStyle w:val="Headingb"/>
      </w:pPr>
      <w:r w:rsidRPr="008224FD">
        <w:t>Propositions</w:t>
      </w:r>
    </w:p>
    <w:p w14:paraId="1557947D" w14:textId="646200F6" w:rsidR="00232F98" w:rsidRPr="008224FD" w:rsidRDefault="00203FE6" w:rsidP="005A7C75">
      <w:r w:rsidRPr="008224FD">
        <w:t xml:space="preserve">Sur la base des proposition communes soumises par l'APT, la Chine </w:t>
      </w:r>
      <w:r w:rsidR="00392B78" w:rsidRPr="008224FD">
        <w:t xml:space="preserve">propose </w:t>
      </w:r>
      <w:r w:rsidR="00056715" w:rsidRPr="008224FD">
        <w:t>les principales modifications suivantes</w:t>
      </w:r>
      <w:r w:rsidR="00392B78" w:rsidRPr="008224FD">
        <w:t>:</w:t>
      </w:r>
    </w:p>
    <w:p w14:paraId="7A73298E" w14:textId="6FFB001C" w:rsidR="00232F98" w:rsidRPr="008224FD" w:rsidRDefault="00232F98" w:rsidP="00232F98">
      <w:pPr>
        <w:pStyle w:val="enumlev1"/>
      </w:pPr>
      <w:r w:rsidRPr="008224FD">
        <w:t>1)</w:t>
      </w:r>
      <w:r w:rsidRPr="008224FD">
        <w:tab/>
      </w:r>
      <w:r w:rsidR="00392B78" w:rsidRPr="008224FD">
        <w:t xml:space="preserve">suppression du point 19 du </w:t>
      </w:r>
      <w:r w:rsidR="00392B78" w:rsidRPr="008224FD">
        <w:rPr>
          <w:i/>
          <w:iCs/>
        </w:rPr>
        <w:t>décide</w:t>
      </w:r>
      <w:r w:rsidR="00392B78" w:rsidRPr="008224FD">
        <w:t xml:space="preserve"> de la Résolution </w:t>
      </w:r>
      <w:r w:rsidR="00392B78" w:rsidRPr="008224FD">
        <w:rPr>
          <w:b/>
          <w:bCs/>
        </w:rPr>
        <w:t>35 (CMR-19)</w:t>
      </w:r>
      <w:r w:rsidRPr="008224FD">
        <w:t>;</w:t>
      </w:r>
    </w:p>
    <w:p w14:paraId="74ABEECF" w14:textId="71E41B19" w:rsidR="00232F98" w:rsidRPr="008224FD" w:rsidRDefault="00232F98" w:rsidP="00232F98">
      <w:pPr>
        <w:pStyle w:val="enumlev1"/>
      </w:pPr>
      <w:r w:rsidRPr="008224FD">
        <w:t>2)</w:t>
      </w:r>
      <w:r w:rsidRPr="008224FD">
        <w:tab/>
      </w:r>
      <w:r w:rsidR="00392B78" w:rsidRPr="008224FD">
        <w:t>pour les constellations de satellites de différentes ampleurs, des propositions de satellites différentes doivent être maintenues en orbite pour mener à bien les étapes. La proportion de satellites maintenus en orbite est de 90% lorsque le nombre de satellites dans la constellation est inférieur à 550, de 93% lorsqu'il est supérieur ou égal à</w:t>
      </w:r>
      <w:r w:rsidR="00926961" w:rsidRPr="008224FD">
        <w:t> </w:t>
      </w:r>
      <w:r w:rsidR="00392B78" w:rsidRPr="008224FD">
        <w:t>550</w:t>
      </w:r>
      <w:r w:rsidR="00926961" w:rsidRPr="008224FD">
        <w:t> </w:t>
      </w:r>
      <w:r w:rsidR="00392B78" w:rsidRPr="008224FD">
        <w:t>mais inférieur à 5000, et de 95% lorsqu'il est supérieur ou égal à 5000</w:t>
      </w:r>
      <w:r w:rsidR="008224FD" w:rsidRPr="008224FD">
        <w:t>;</w:t>
      </w:r>
    </w:p>
    <w:p w14:paraId="3D2BD6FE" w14:textId="0D6B7039" w:rsidR="00232F98" w:rsidRPr="008224FD" w:rsidRDefault="00232F98" w:rsidP="00232F98">
      <w:pPr>
        <w:pStyle w:val="enumlev1"/>
      </w:pPr>
      <w:r w:rsidRPr="008224FD">
        <w:t>3)</w:t>
      </w:r>
      <w:r w:rsidRPr="008224FD">
        <w:tab/>
      </w:r>
      <w:r w:rsidR="00050B95" w:rsidRPr="008224FD">
        <w:t>des modifications de forme</w:t>
      </w:r>
      <w:r w:rsidRPr="008224FD">
        <w:t>.</w:t>
      </w:r>
    </w:p>
    <w:p w14:paraId="735F09F2" w14:textId="77777777" w:rsidR="0015203F" w:rsidRPr="008224FD" w:rsidRDefault="0015203F">
      <w:pPr>
        <w:tabs>
          <w:tab w:val="clear" w:pos="1134"/>
          <w:tab w:val="clear" w:pos="1871"/>
          <w:tab w:val="clear" w:pos="2268"/>
        </w:tabs>
        <w:overflowPunct/>
        <w:autoSpaceDE/>
        <w:autoSpaceDN/>
        <w:adjustRightInd/>
        <w:spacing w:before="0"/>
        <w:textAlignment w:val="auto"/>
      </w:pPr>
      <w:r w:rsidRPr="008224FD">
        <w:br w:type="page"/>
      </w:r>
    </w:p>
    <w:p w14:paraId="200D6E98" w14:textId="77777777" w:rsidR="007F3F42" w:rsidRPr="008224FD" w:rsidRDefault="00586B89" w:rsidP="00232F98">
      <w:pPr>
        <w:pStyle w:val="ArtNo"/>
      </w:pPr>
      <w:bookmarkStart w:id="5" w:name="_Toc455752927"/>
      <w:bookmarkStart w:id="6" w:name="_Toc455756166"/>
      <w:r w:rsidRPr="008224FD">
        <w:lastRenderedPageBreak/>
        <w:t xml:space="preserve">ARTICLE </w:t>
      </w:r>
      <w:r w:rsidRPr="008224FD">
        <w:rPr>
          <w:rStyle w:val="href"/>
        </w:rPr>
        <w:t>11</w:t>
      </w:r>
      <w:bookmarkEnd w:id="5"/>
      <w:bookmarkEnd w:id="6"/>
    </w:p>
    <w:p w14:paraId="3E58836D" w14:textId="7A601328" w:rsidR="00B42AC3" w:rsidRPr="008224FD" w:rsidRDefault="00586B89" w:rsidP="00232F98">
      <w:pPr>
        <w:pStyle w:val="Arttitle"/>
      </w:pPr>
      <w:bookmarkStart w:id="7" w:name="_Toc35933675"/>
      <w:r w:rsidRPr="008224FD">
        <w:t>Notification et inscription des assignations</w:t>
      </w:r>
      <w:r w:rsidRPr="008224FD">
        <w:br/>
        <w:t>de fréquence</w:t>
      </w:r>
      <w:r w:rsidRPr="008224FD">
        <w:rPr>
          <w:rStyle w:val="FootnoteReference"/>
          <w:b w:val="0"/>
          <w:bCs/>
        </w:rPr>
        <w:t>1, 2, 3, 4, 5, 6, 7</w:t>
      </w:r>
      <w:r w:rsidRPr="008224FD">
        <w:rPr>
          <w:b w:val="0"/>
          <w:bCs/>
          <w:sz w:val="16"/>
          <w:szCs w:val="16"/>
        </w:rPr>
        <w:t>    </w:t>
      </w:r>
      <w:r w:rsidRPr="008224FD">
        <w:rPr>
          <w:b w:val="0"/>
          <w:sz w:val="16"/>
          <w:szCs w:val="16"/>
        </w:rPr>
        <w:t>(CMR</w:t>
      </w:r>
      <w:r w:rsidRPr="008224FD">
        <w:rPr>
          <w:b w:val="0"/>
          <w:sz w:val="16"/>
          <w:szCs w:val="16"/>
        </w:rPr>
        <w:noBreakHyphen/>
        <w:t>19)</w:t>
      </w:r>
      <w:bookmarkEnd w:id="7"/>
    </w:p>
    <w:p w14:paraId="64B6CE01" w14:textId="77777777" w:rsidR="008D5FFA" w:rsidRPr="008224FD" w:rsidRDefault="00586B89" w:rsidP="008D5FFA">
      <w:pPr>
        <w:pStyle w:val="Section1"/>
      </w:pPr>
      <w:r w:rsidRPr="008224FD">
        <w:t>Section III – Tenue à jour de l'inscription des assignations de fréquence aux systèmes à satellites non géostationnaires dans le Fichier de référence</w:t>
      </w:r>
      <w:r w:rsidRPr="008224FD">
        <w:rPr>
          <w:rStyle w:val="FootnoteTextChar"/>
          <w:b w:val="0"/>
          <w:bCs/>
          <w:sz w:val="16"/>
          <w:szCs w:val="16"/>
        </w:rPr>
        <w:t>     (CMR</w:t>
      </w:r>
      <w:r w:rsidRPr="008224FD">
        <w:rPr>
          <w:rStyle w:val="FootnoteTextChar"/>
          <w:b w:val="0"/>
          <w:bCs/>
          <w:sz w:val="16"/>
          <w:szCs w:val="16"/>
        </w:rPr>
        <w:noBreakHyphen/>
        <w:t>19)</w:t>
      </w:r>
    </w:p>
    <w:p w14:paraId="5409DB4C" w14:textId="77777777" w:rsidR="002C723A" w:rsidRPr="008224FD" w:rsidRDefault="00586B89">
      <w:pPr>
        <w:pStyle w:val="Proposal"/>
      </w:pPr>
      <w:r w:rsidRPr="008224FD">
        <w:t>MOD</w:t>
      </w:r>
      <w:r w:rsidRPr="008224FD">
        <w:tab/>
        <w:t>CHN/111A22A2/1</w:t>
      </w:r>
      <w:r w:rsidRPr="008224FD">
        <w:rPr>
          <w:vanish/>
          <w:color w:val="7F7F7F" w:themeColor="text1" w:themeTint="80"/>
          <w:vertAlign w:val="superscript"/>
        </w:rPr>
        <w:t>#1994</w:t>
      </w:r>
    </w:p>
    <w:p w14:paraId="192ED1C5" w14:textId="75CA7C84" w:rsidR="00756C3A" w:rsidRPr="008224FD" w:rsidRDefault="00586B89" w:rsidP="00756C3A">
      <w:r w:rsidRPr="008224FD">
        <w:rPr>
          <w:rStyle w:val="Artdef"/>
        </w:rPr>
        <w:t>11.51</w:t>
      </w:r>
      <w:r w:rsidRPr="008224FD">
        <w:tab/>
        <w:t>En ce qui concerne les assignations de fréquence à certains systèmes à satellites non géostationnaires dans certaines bandes de fréquences et certains services, la Résolution</w:t>
      </w:r>
      <w:r w:rsidR="00926961" w:rsidRPr="008224FD">
        <w:t xml:space="preserve"> </w:t>
      </w:r>
      <w:r w:rsidRPr="008224FD">
        <w:rPr>
          <w:b/>
          <w:bCs/>
        </w:rPr>
        <w:t>35</w:t>
      </w:r>
      <w:r w:rsidR="00926961" w:rsidRPr="008224FD">
        <w:rPr>
          <w:b/>
          <w:bCs/>
        </w:rPr>
        <w:t xml:space="preserve"> </w:t>
      </w:r>
      <w:r w:rsidRPr="008224FD">
        <w:rPr>
          <w:b/>
          <w:bCs/>
        </w:rPr>
        <w:t>(</w:t>
      </w:r>
      <w:ins w:id="8" w:author="French" w:date="2022-10-12T13:03:00Z">
        <w:r w:rsidRPr="008224FD">
          <w:rPr>
            <w:b/>
            <w:bCs/>
          </w:rPr>
          <w:t>Rév.</w:t>
        </w:r>
      </w:ins>
      <w:r w:rsidRPr="008224FD">
        <w:rPr>
          <w:b/>
          <w:bCs/>
        </w:rPr>
        <w:t>CMR</w:t>
      </w:r>
      <w:r w:rsidRPr="008224FD">
        <w:rPr>
          <w:b/>
          <w:bCs/>
        </w:rPr>
        <w:noBreakHyphen/>
      </w:r>
      <w:del w:id="9" w:author="French" w:date="2022-10-12T13:03:00Z">
        <w:r w:rsidRPr="008224FD" w:rsidDel="005A3F82">
          <w:rPr>
            <w:b/>
            <w:bCs/>
          </w:rPr>
          <w:delText>19</w:delText>
        </w:r>
      </w:del>
      <w:ins w:id="10" w:author="French" w:date="2022-10-12T13:03:00Z">
        <w:r w:rsidRPr="008224FD">
          <w:rPr>
            <w:b/>
            <w:bCs/>
          </w:rPr>
          <w:t>23</w:t>
        </w:r>
      </w:ins>
      <w:r w:rsidRPr="008224FD">
        <w:rPr>
          <w:b/>
          <w:bCs/>
        </w:rPr>
        <w:t>)</w:t>
      </w:r>
      <w:ins w:id="11" w:author="French" w:date="2022-11-04T12:41:00Z">
        <w:r w:rsidRPr="008224FD">
          <w:t xml:space="preserve"> et la </w:t>
        </w:r>
      </w:ins>
      <w:ins w:id="12" w:author="French" w:date="2022-10-12T13:03:00Z">
        <w:r w:rsidRPr="008224FD">
          <w:t>R</w:t>
        </w:r>
      </w:ins>
      <w:ins w:id="13" w:author="French" w:date="2022-11-01T18:35:00Z">
        <w:r w:rsidRPr="008224FD">
          <w:t>é</w:t>
        </w:r>
      </w:ins>
      <w:ins w:id="14" w:author="French" w:date="2022-10-12T13:03:00Z">
        <w:r w:rsidRPr="008224FD">
          <w:t xml:space="preserve">solution </w:t>
        </w:r>
        <w:r w:rsidRPr="008224FD">
          <w:rPr>
            <w:b/>
            <w:bCs/>
          </w:rPr>
          <w:t>[</w:t>
        </w:r>
      </w:ins>
      <w:ins w:id="15" w:author="French" w:date="2023-11-09T15:19:00Z">
        <w:r w:rsidR="0074196B" w:rsidRPr="008224FD">
          <w:rPr>
            <w:b/>
            <w:bCs/>
          </w:rPr>
          <w:t>CHN/</w:t>
        </w:r>
      </w:ins>
      <w:ins w:id="16" w:author="French" w:date="2022-10-12T13:03:00Z">
        <w:r w:rsidRPr="008224FD">
          <w:rPr>
            <w:b/>
            <w:bCs/>
          </w:rPr>
          <w:t>A7(B)] (</w:t>
        </w:r>
      </w:ins>
      <w:ins w:id="17" w:author="French" w:date="2022-11-01T18:35:00Z">
        <w:r w:rsidRPr="008224FD">
          <w:rPr>
            <w:b/>
            <w:bCs/>
          </w:rPr>
          <w:t>CMR</w:t>
        </w:r>
      </w:ins>
      <w:ins w:id="18" w:author="French" w:date="2022-10-12T13:03:00Z">
        <w:r w:rsidRPr="008224FD">
          <w:rPr>
            <w:b/>
            <w:bCs/>
          </w:rPr>
          <w:t>-23)</w:t>
        </w:r>
      </w:ins>
      <w:r w:rsidRPr="008224FD">
        <w:t xml:space="preserve"> s'applique</w:t>
      </w:r>
      <w:ins w:id="19" w:author="French" w:date="2023-11-14T09:42:00Z">
        <w:r w:rsidR="006B6B5C">
          <w:t>nt</w:t>
        </w:r>
      </w:ins>
      <w:r w:rsidRPr="008224FD">
        <w:t>.</w:t>
      </w:r>
      <w:r w:rsidRPr="008224FD">
        <w:rPr>
          <w:sz w:val="16"/>
          <w:szCs w:val="12"/>
        </w:rPr>
        <w:t>     (CMR-</w:t>
      </w:r>
      <w:del w:id="20" w:author="French" w:date="2022-11-04T12:40:00Z">
        <w:r w:rsidRPr="008224FD" w:rsidDel="009A06B3">
          <w:rPr>
            <w:sz w:val="16"/>
            <w:szCs w:val="12"/>
          </w:rPr>
          <w:delText>19</w:delText>
        </w:r>
      </w:del>
      <w:ins w:id="21" w:author="French" w:date="2022-11-04T12:40:00Z">
        <w:r w:rsidRPr="008224FD">
          <w:rPr>
            <w:sz w:val="16"/>
            <w:szCs w:val="12"/>
          </w:rPr>
          <w:t>23</w:t>
        </w:r>
      </w:ins>
      <w:r w:rsidRPr="008224FD">
        <w:rPr>
          <w:sz w:val="16"/>
          <w:szCs w:val="12"/>
        </w:rPr>
        <w:t>)</w:t>
      </w:r>
    </w:p>
    <w:p w14:paraId="34324045" w14:textId="796EC61A" w:rsidR="002C723A" w:rsidRPr="008224FD" w:rsidRDefault="00586B89">
      <w:pPr>
        <w:pStyle w:val="Reasons"/>
      </w:pPr>
      <w:r w:rsidRPr="008224FD">
        <w:rPr>
          <w:b/>
        </w:rPr>
        <w:t>Motifs:</w:t>
      </w:r>
      <w:r w:rsidRPr="008224FD">
        <w:tab/>
      </w:r>
      <w:r w:rsidR="00050B95" w:rsidRPr="008224FD">
        <w:t>Modification pour faire référence aux disposition</w:t>
      </w:r>
      <w:r w:rsidR="00056715" w:rsidRPr="008224FD">
        <w:t>s</w:t>
      </w:r>
      <w:r w:rsidR="00050B95" w:rsidRPr="008224FD">
        <w:t xml:space="preserve"> de la nouvelle Résolution</w:t>
      </w:r>
      <w:r w:rsidR="008224FD" w:rsidRPr="008224FD">
        <w:t>.</w:t>
      </w:r>
    </w:p>
    <w:p w14:paraId="06D85868" w14:textId="77777777" w:rsidR="002C723A" w:rsidRPr="008224FD" w:rsidRDefault="00586B89">
      <w:pPr>
        <w:pStyle w:val="Proposal"/>
      </w:pPr>
      <w:r w:rsidRPr="008224FD">
        <w:t>MOD</w:t>
      </w:r>
      <w:r w:rsidRPr="008224FD">
        <w:tab/>
        <w:t>CHN/111A22A2/2</w:t>
      </w:r>
      <w:r w:rsidRPr="008224FD">
        <w:rPr>
          <w:vanish/>
          <w:color w:val="7F7F7F" w:themeColor="text1" w:themeTint="80"/>
          <w:vertAlign w:val="superscript"/>
        </w:rPr>
        <w:t>#1993</w:t>
      </w:r>
    </w:p>
    <w:p w14:paraId="34C4503E" w14:textId="77777777" w:rsidR="00756C3A" w:rsidRPr="008224FD" w:rsidRDefault="00586B89" w:rsidP="00756C3A">
      <w:pPr>
        <w:pStyle w:val="ResNo"/>
      </w:pPr>
      <w:r w:rsidRPr="008224FD">
        <w:t>RÉSOLUTION 35 (</w:t>
      </w:r>
      <w:ins w:id="22" w:author="French" w:date="2022-10-12T12:50:00Z">
        <w:r w:rsidRPr="008224FD">
          <w:t>R</w:t>
        </w:r>
      </w:ins>
      <w:ins w:id="23" w:author="French" w:date="2023-03-13T11:34:00Z">
        <w:r w:rsidRPr="008224FD">
          <w:t>É</w:t>
        </w:r>
      </w:ins>
      <w:ins w:id="24" w:author="French" w:date="2022-10-12T12:50:00Z">
        <w:r w:rsidRPr="008224FD">
          <w:t>v.</w:t>
        </w:r>
      </w:ins>
      <w:r w:rsidRPr="008224FD">
        <w:t>CMR-</w:t>
      </w:r>
      <w:del w:id="25" w:author="French" w:date="2022-10-12T12:50:00Z">
        <w:r w:rsidRPr="008224FD" w:rsidDel="006E2233">
          <w:delText>19</w:delText>
        </w:r>
      </w:del>
      <w:ins w:id="26" w:author="French" w:date="2022-10-12T12:50:00Z">
        <w:r w:rsidRPr="008224FD">
          <w:t>23</w:t>
        </w:r>
      </w:ins>
      <w:r w:rsidRPr="008224FD">
        <w:t>)</w:t>
      </w:r>
    </w:p>
    <w:p w14:paraId="6A4738C8" w14:textId="77777777" w:rsidR="00756C3A" w:rsidRPr="008224FD" w:rsidRDefault="00586B89" w:rsidP="00756C3A">
      <w:pPr>
        <w:pStyle w:val="Restitle"/>
      </w:pPr>
      <w:r w:rsidRPr="008224FD">
        <w:t>Méthode par étape relative à la mise en œuvre des assignations de fréquence</w:t>
      </w:r>
      <w:r w:rsidRPr="008224FD">
        <w:br/>
        <w:t>à des stations spatiales d'un système à satellites non géostationnaires</w:t>
      </w:r>
      <w:r w:rsidRPr="008224FD">
        <w:br/>
        <w:t>dans certaines bandes de fréquences et certains services</w:t>
      </w:r>
      <w:ins w:id="27" w:author="French" w:date="2023-01-17T08:08:00Z">
        <w:r w:rsidRPr="008224FD">
          <w:rPr>
            <w:rStyle w:val="FootnoteReference"/>
            <w:b w:val="0"/>
            <w:bCs/>
          </w:rPr>
          <w:footnoteReference w:customMarkFollows="1" w:id="1"/>
          <w:t>1</w:t>
        </w:r>
      </w:ins>
    </w:p>
    <w:p w14:paraId="495A3DD4" w14:textId="77777777" w:rsidR="00756C3A" w:rsidRPr="008224FD" w:rsidRDefault="00586B89" w:rsidP="00756C3A">
      <w:pPr>
        <w:pStyle w:val="Normalaftertitle"/>
      </w:pPr>
      <w:r w:rsidRPr="008224FD">
        <w:t>La Conférence mondiale des radiocommunications (</w:t>
      </w:r>
      <w:del w:id="33" w:author="French" w:date="2022-10-12T12:50:00Z">
        <w:r w:rsidRPr="008224FD" w:rsidDel="006E2233">
          <w:delText>Charm el-Cheikh, 2019</w:delText>
        </w:r>
      </w:del>
      <w:ins w:id="34" w:author="French" w:date="2022-10-12T12:50:00Z">
        <w:r w:rsidRPr="008224FD">
          <w:t xml:space="preserve">Dubaï, </w:t>
        </w:r>
      </w:ins>
      <w:ins w:id="35" w:author="French" w:date="2022-10-12T12:51:00Z">
        <w:r w:rsidRPr="008224FD">
          <w:t>2023</w:t>
        </w:r>
      </w:ins>
      <w:r w:rsidRPr="008224FD">
        <w:t>),</w:t>
      </w:r>
    </w:p>
    <w:p w14:paraId="2602BA72" w14:textId="77777777" w:rsidR="00756C3A" w:rsidRPr="008224FD" w:rsidRDefault="00586B89" w:rsidP="00756C3A">
      <w:r w:rsidRPr="008224FD">
        <w:t>...</w:t>
      </w:r>
    </w:p>
    <w:p w14:paraId="51B76561" w14:textId="77777777" w:rsidR="00756C3A" w:rsidRPr="008224FD" w:rsidRDefault="00586B89" w:rsidP="00756C3A">
      <w:pPr>
        <w:pStyle w:val="Call"/>
      </w:pPr>
      <w:r w:rsidRPr="008224FD">
        <w:t>décide</w:t>
      </w:r>
    </w:p>
    <w:p w14:paraId="03B91C66" w14:textId="77777777" w:rsidR="00756C3A" w:rsidRPr="008224FD" w:rsidRDefault="00586B89" w:rsidP="00756C3A">
      <w:r w:rsidRPr="008224FD">
        <w:t>...</w:t>
      </w:r>
    </w:p>
    <w:p w14:paraId="6F832694" w14:textId="6151BE28" w:rsidR="00756C3A" w:rsidRPr="008224FD" w:rsidRDefault="00586B89" w:rsidP="00756C3A">
      <w:r w:rsidRPr="008224FD">
        <w:t>18</w:t>
      </w:r>
      <w:r w:rsidRPr="008224FD">
        <w:tab/>
        <w:t>que la suspension de l'utilisation d'assignations de fréquence conformément au numéro</w:t>
      </w:r>
      <w:r w:rsidR="00CA1703" w:rsidRPr="008224FD">
        <w:t> </w:t>
      </w:r>
      <w:r w:rsidRPr="008224FD">
        <w:rPr>
          <w:b/>
          <w:bCs/>
        </w:rPr>
        <w:t>11.49</w:t>
      </w:r>
      <w:r w:rsidRPr="008224FD">
        <w:t xml:space="preserve"> à tout moment avant la fin d'une période correspondant à une étape, telle qu'indiquée au point 7</w:t>
      </w:r>
      <w:r w:rsidRPr="008224FD">
        <w:rPr>
          <w:i/>
          <w:iCs/>
        </w:rPr>
        <w:t xml:space="preserve">a), b) </w:t>
      </w:r>
      <w:r w:rsidRPr="008224FD">
        <w:t>ou</w:t>
      </w:r>
      <w:r w:rsidRPr="008224FD">
        <w:rPr>
          <w:i/>
          <w:iCs/>
        </w:rPr>
        <w:t xml:space="preserve"> c) </w:t>
      </w:r>
      <w:r w:rsidRPr="008224FD">
        <w:t>ou</w:t>
      </w:r>
      <w:r w:rsidRPr="008224FD">
        <w:rPr>
          <w:i/>
          <w:iCs/>
        </w:rPr>
        <w:t xml:space="preserve"> </w:t>
      </w:r>
      <w:r w:rsidRPr="008224FD">
        <w:t>8</w:t>
      </w:r>
      <w:r w:rsidRPr="008224FD">
        <w:rPr>
          <w:i/>
          <w:iCs/>
        </w:rPr>
        <w:t xml:space="preserve">a), b) </w:t>
      </w:r>
      <w:r w:rsidRPr="008224FD">
        <w:t>ou</w:t>
      </w:r>
      <w:r w:rsidRPr="008224FD">
        <w:rPr>
          <w:i/>
          <w:iCs/>
        </w:rPr>
        <w:t xml:space="preserve"> c) </w:t>
      </w:r>
      <w:r w:rsidRPr="008224FD">
        <w:t>du</w:t>
      </w:r>
      <w:r w:rsidRPr="008224FD">
        <w:rPr>
          <w:i/>
          <w:iCs/>
        </w:rPr>
        <w:t xml:space="preserve"> décide</w:t>
      </w:r>
      <w:r w:rsidRPr="008224FD">
        <w:t xml:space="preserve"> de la présente Résolution, selon le cas, ne modifiera ni ne réduira les exigences associées à l'une quelconque des autres étapes découlant du point 7</w:t>
      </w:r>
      <w:r w:rsidRPr="008224FD">
        <w:rPr>
          <w:i/>
          <w:iCs/>
        </w:rPr>
        <w:t>a)</w:t>
      </w:r>
      <w:r w:rsidRPr="008224FD">
        <w:t xml:space="preserve">, </w:t>
      </w:r>
      <w:r w:rsidRPr="008224FD">
        <w:rPr>
          <w:i/>
          <w:iCs/>
        </w:rPr>
        <w:t>b)</w:t>
      </w:r>
      <w:r w:rsidRPr="008224FD">
        <w:t xml:space="preserve"> ou </w:t>
      </w:r>
      <w:r w:rsidRPr="008224FD">
        <w:rPr>
          <w:i/>
          <w:iCs/>
        </w:rPr>
        <w:t>c)</w:t>
      </w:r>
      <w:r w:rsidRPr="008224FD">
        <w:t xml:space="preserve"> ou 8</w:t>
      </w:r>
      <w:r w:rsidRPr="008224FD">
        <w:rPr>
          <w:i/>
          <w:iCs/>
        </w:rPr>
        <w:t>a)</w:t>
      </w:r>
      <w:r w:rsidRPr="008224FD">
        <w:t xml:space="preserve">, </w:t>
      </w:r>
      <w:r w:rsidRPr="008224FD">
        <w:rPr>
          <w:i/>
          <w:iCs/>
        </w:rPr>
        <w:t>b)</w:t>
      </w:r>
      <w:r w:rsidRPr="008224FD">
        <w:t xml:space="preserve"> ou </w:t>
      </w:r>
      <w:r w:rsidRPr="008224FD">
        <w:rPr>
          <w:i/>
          <w:iCs/>
        </w:rPr>
        <w:t>c)</w:t>
      </w:r>
      <w:r w:rsidRPr="008224FD">
        <w:t xml:space="preserve"> du </w:t>
      </w:r>
      <w:r w:rsidRPr="008224FD">
        <w:rPr>
          <w:i/>
          <w:iCs/>
        </w:rPr>
        <w:t>décide</w:t>
      </w:r>
      <w:r w:rsidRPr="008224FD">
        <w:t>, selon le cas</w:t>
      </w:r>
      <w:del w:id="36" w:author="French" w:date="2022-10-12T12:52:00Z">
        <w:r w:rsidRPr="008224FD" w:rsidDel="006E2233">
          <w:delText>;</w:delText>
        </w:r>
      </w:del>
      <w:ins w:id="37" w:author="French" w:date="2022-10-12T12:52:00Z">
        <w:r w:rsidRPr="008224FD">
          <w:t>,</w:t>
        </w:r>
      </w:ins>
    </w:p>
    <w:p w14:paraId="156BFE72" w14:textId="77777777" w:rsidR="00756C3A" w:rsidRPr="008224FD" w:rsidDel="006E2233" w:rsidRDefault="00586B89" w:rsidP="00756C3A">
      <w:pPr>
        <w:rPr>
          <w:del w:id="38" w:author="French" w:date="2022-10-12T12:54:00Z"/>
        </w:rPr>
      </w:pPr>
      <w:del w:id="39" w:author="French" w:date="2022-10-12T12:54:00Z">
        <w:r w:rsidRPr="008224FD" w:rsidDel="006E2233">
          <w:delText>19</w:delText>
        </w:r>
        <w:r w:rsidRPr="008224FD" w:rsidDel="006E2233">
          <w:tab/>
          <w:delText>que, dans le cas d'un système non OSG pour lequel la procédure par étape décrite dans la présente Résolution a été menée à bonne fin, y compris en ce qui concerne l'application du point 10</w:delText>
        </w:r>
        <w:r w:rsidRPr="008224FD" w:rsidDel="006E2233">
          <w:rPr>
            <w:i/>
            <w:iCs/>
          </w:rPr>
          <w:delText>c)</w:delText>
        </w:r>
        <w:r w:rsidRPr="008224FD" w:rsidDel="006E2233">
          <w:delText xml:space="preserve"> du </w:delText>
        </w:r>
        <w:r w:rsidRPr="008224FD" w:rsidDel="006E2233">
          <w:rPr>
            <w:i/>
            <w:iCs/>
          </w:rPr>
          <w:delText>décide</w:delText>
        </w:r>
        <w:r w:rsidRPr="008224FD" w:rsidDel="006E2233">
          <w:delText xml:space="preserve"> par le BR, et dans le cas des systèmes pour lesquels le point 6 du </w:delText>
        </w:r>
        <w:r w:rsidRPr="008224FD" w:rsidDel="006E2233">
          <w:rPr>
            <w:i/>
            <w:iCs/>
          </w:rPr>
          <w:delText>décide</w:delText>
        </w:r>
        <w:r w:rsidRPr="008224FD" w:rsidDel="006E2233">
          <w:delText xml:space="preserve"> s'applique, si le nombre de satellites ayant la capacité d'émettre ou de recevoir sur les fréquences assignées déployés dans ce système tombe au-dessous de 95% (arrondi au nombre entier inférieur) du nombre total de satellites indiqué dans l'inscription figurant dans le Fichier de référence moins un satellite pendant une période continue de six mois, l'administration notificatrice informera dès que possible le BR de la date de début de cette situation, pour information seulement, s'il y a lieu, l'administration notificatrice devrait également informer le BR, le plus tôt possible par la suite, de la date à laquelle le déploiement du nombre total de satellites a repris, le BR publiera sur son site web les renseignements reçus au titre de ce point du </w:delText>
        </w:r>
        <w:r w:rsidRPr="008224FD" w:rsidDel="006E2233">
          <w:rPr>
            <w:i/>
            <w:iCs/>
          </w:rPr>
          <w:delText>décide</w:delText>
        </w:r>
        <w:r w:rsidRPr="008224FD" w:rsidDel="006E2233">
          <w:delText>,</w:delText>
        </w:r>
      </w:del>
    </w:p>
    <w:p w14:paraId="6B0D067F" w14:textId="2579D97A" w:rsidR="002C723A" w:rsidRPr="008224FD" w:rsidRDefault="00586B89">
      <w:pPr>
        <w:pStyle w:val="Reasons"/>
      </w:pPr>
      <w:r w:rsidRPr="008224FD">
        <w:rPr>
          <w:b/>
        </w:rPr>
        <w:lastRenderedPageBreak/>
        <w:t>Motifs:</w:t>
      </w:r>
      <w:r w:rsidRPr="008224FD">
        <w:tab/>
      </w:r>
      <w:r w:rsidR="00050B95" w:rsidRPr="008224FD">
        <w:t>Modification pour reprendre des dispositions de la nouvelle Résolution.</w:t>
      </w:r>
    </w:p>
    <w:p w14:paraId="6DBF20FB" w14:textId="77777777" w:rsidR="002C723A" w:rsidRPr="008224FD" w:rsidRDefault="00586B89">
      <w:pPr>
        <w:pStyle w:val="Proposal"/>
      </w:pPr>
      <w:r w:rsidRPr="008224FD">
        <w:t>ADD</w:t>
      </w:r>
      <w:r w:rsidRPr="008224FD">
        <w:tab/>
        <w:t>CHN/111A22A2/3</w:t>
      </w:r>
      <w:r w:rsidRPr="008224FD">
        <w:rPr>
          <w:vanish/>
          <w:color w:val="7F7F7F" w:themeColor="text1" w:themeTint="80"/>
          <w:vertAlign w:val="superscript"/>
        </w:rPr>
        <w:t>#1995</w:t>
      </w:r>
    </w:p>
    <w:p w14:paraId="58613E49" w14:textId="1F1D7CAA" w:rsidR="00756C3A" w:rsidRPr="008224FD" w:rsidRDefault="00586B89" w:rsidP="00756C3A">
      <w:pPr>
        <w:pStyle w:val="ResNo"/>
      </w:pPr>
      <w:r w:rsidRPr="008224FD">
        <w:t>PROJET DE NOUVELLE RÉSOLUTION [</w:t>
      </w:r>
      <w:r w:rsidR="00896841" w:rsidRPr="008224FD">
        <w:t>CHN/</w:t>
      </w:r>
      <w:r w:rsidRPr="008224FD">
        <w:t>A7(B)] (CMR-23)</w:t>
      </w:r>
    </w:p>
    <w:p w14:paraId="259F4F29" w14:textId="77777777" w:rsidR="00756C3A" w:rsidRPr="008224FD" w:rsidRDefault="00586B89" w:rsidP="00756C3A">
      <w:pPr>
        <w:pStyle w:val="Restitle"/>
      </w:pPr>
      <w:r w:rsidRPr="008224FD">
        <w:t>Procédure de suspension améliorée concernant les assignations de fréquence aux</w:t>
      </w:r>
      <w:r w:rsidRPr="008224FD">
        <w:br/>
        <w:t>stations spatiales d'un système à satellites non géostationnaires des services</w:t>
      </w:r>
      <w:r w:rsidRPr="008224FD">
        <w:br/>
        <w:t>fixe par satellite, mobile par satellite et de radiodiffusion par satellite</w:t>
      </w:r>
      <w:r w:rsidRPr="008224FD">
        <w:br/>
        <w:t>assujetties aux dispositions de la Résolution 35 (Rév.CMR-23)</w:t>
      </w:r>
    </w:p>
    <w:p w14:paraId="6BACAD29" w14:textId="77777777" w:rsidR="00756C3A" w:rsidRPr="008224FD" w:rsidRDefault="00586B89" w:rsidP="008224FD">
      <w:pPr>
        <w:pStyle w:val="Normalaftertitle"/>
      </w:pPr>
      <w:r w:rsidRPr="008224FD">
        <w:t>La Conférence mondiale des radiocommunications (Dubaï, 2023),</w:t>
      </w:r>
    </w:p>
    <w:p w14:paraId="5A7BF2DB" w14:textId="77777777" w:rsidR="00756C3A" w:rsidRPr="008224FD" w:rsidRDefault="00586B89" w:rsidP="00756C3A">
      <w:pPr>
        <w:pStyle w:val="Call"/>
      </w:pPr>
      <w:r w:rsidRPr="008224FD">
        <w:t>considérant</w:t>
      </w:r>
    </w:p>
    <w:p w14:paraId="6020AA3A" w14:textId="27686206" w:rsidR="00756C3A" w:rsidRPr="008224FD" w:rsidRDefault="00586B89">
      <w:pPr>
        <w:pPrChange w:id="40" w:author="French" w:date="2023-11-13T16:25:00Z">
          <w:pPr>
            <w:spacing w:line="480" w:lineRule="auto"/>
          </w:pPr>
        </w:pPrChange>
      </w:pPr>
      <w:r w:rsidRPr="008224FD">
        <w:rPr>
          <w:i/>
          <w:iCs/>
        </w:rPr>
        <w:t>a)</w:t>
      </w:r>
      <w:r w:rsidRPr="008224FD">
        <w:tab/>
        <w:t xml:space="preserve">que la Résolution </w:t>
      </w:r>
      <w:r w:rsidRPr="008224FD">
        <w:rPr>
          <w:b/>
          <w:bCs/>
        </w:rPr>
        <w:t>35 (CMR-19)</w:t>
      </w:r>
      <w:r w:rsidRPr="008224FD">
        <w:t xml:space="preserve"> a été élaborée avant tout en raison de la nécessité de trouver un moyen </w:t>
      </w:r>
      <w:r w:rsidR="00050B95" w:rsidRPr="008224FD">
        <w:t xml:space="preserve">applicable </w:t>
      </w:r>
      <w:r w:rsidRPr="008224FD">
        <w:t>de faire en sorte que le contenu du Fichier de référence international des fréquences pour les systèmes à satellites non géostationnaires (non OSG) corresponde étroitement à ce qui est réellement déployé dans l'espace;</w:t>
      </w:r>
    </w:p>
    <w:p w14:paraId="602F57C6" w14:textId="09035BB8" w:rsidR="00756C3A" w:rsidRPr="008224FD" w:rsidRDefault="00586B89">
      <w:pPr>
        <w:pPrChange w:id="41" w:author="French" w:date="2023-11-13T16:25:00Z">
          <w:pPr>
            <w:spacing w:line="480" w:lineRule="auto"/>
          </w:pPr>
        </w:pPrChange>
      </w:pPr>
      <w:r w:rsidRPr="008224FD">
        <w:rPr>
          <w:i/>
          <w:iCs/>
        </w:rPr>
        <w:t>b)</w:t>
      </w:r>
      <w:r w:rsidRPr="008224FD">
        <w:rPr>
          <w:i/>
          <w:iCs/>
        </w:rPr>
        <w:tab/>
      </w:r>
      <w:r w:rsidRPr="008224FD">
        <w:t>qu'</w:t>
      </w:r>
      <w:r w:rsidR="00050B95" w:rsidRPr="008224FD">
        <w:t>il est nécessaire de ne pas imposer de procédure/approche</w:t>
      </w:r>
      <w:r w:rsidRPr="008224FD">
        <w:t xml:space="preserve"> réglementaire relati</w:t>
      </w:r>
      <w:r w:rsidR="00050B95" w:rsidRPr="008224FD">
        <w:t>ve</w:t>
      </w:r>
      <w:r w:rsidRPr="008224FD">
        <w:t xml:space="preserve"> à la procédure postérieure aux étapes pour les systèmes à satellites non OSG </w:t>
      </w:r>
      <w:r w:rsidR="00050B95" w:rsidRPr="008224FD">
        <w:t>susceptible d'accroître la charge de travail et d'imposer des</w:t>
      </w:r>
      <w:r w:rsidRPr="008224FD">
        <w:t xml:space="preserve"> contraintes aux administrations et au Bureau,</w:t>
      </w:r>
    </w:p>
    <w:p w14:paraId="13472591" w14:textId="77777777" w:rsidR="00756C3A" w:rsidRPr="008224FD" w:rsidRDefault="00586B89" w:rsidP="00756C3A">
      <w:pPr>
        <w:pStyle w:val="Call"/>
      </w:pPr>
      <w:r w:rsidRPr="008224FD">
        <w:t>reconnaissant</w:t>
      </w:r>
    </w:p>
    <w:p w14:paraId="2B78EEF7" w14:textId="4D77A653" w:rsidR="00756C3A" w:rsidRPr="008224FD" w:rsidRDefault="00586B89" w:rsidP="00756C3A">
      <w:r w:rsidRPr="008224FD">
        <w:rPr>
          <w:i/>
          <w:iCs/>
        </w:rPr>
        <w:t>a)</w:t>
      </w:r>
      <w:r w:rsidRPr="008224FD">
        <w:tab/>
        <w:t xml:space="preserve">que la Résolution </w:t>
      </w:r>
      <w:r w:rsidRPr="008224FD">
        <w:rPr>
          <w:b/>
          <w:bCs/>
        </w:rPr>
        <w:t>35 (CMR-23)</w:t>
      </w:r>
      <w:r w:rsidRPr="008224FD">
        <w:t xml:space="preserve"> s'applique aux assignations de fréquence aux systèmes à satellites non géostationnaires (non OSG) mis en service conformément aux numéros</w:t>
      </w:r>
      <w:r w:rsidR="00926961" w:rsidRPr="008224FD">
        <w:t> </w:t>
      </w:r>
      <w:r w:rsidRPr="008224FD">
        <w:rPr>
          <w:b/>
          <w:bCs/>
        </w:rPr>
        <w:t>11.44</w:t>
      </w:r>
      <w:r w:rsidR="008224FD" w:rsidRPr="008224FD">
        <w:t xml:space="preserve"> </w:t>
      </w:r>
      <w:r w:rsidRPr="008224FD">
        <w:t>et</w:t>
      </w:r>
      <w:r w:rsidR="00926961" w:rsidRPr="008224FD">
        <w:t> </w:t>
      </w:r>
      <w:r w:rsidRPr="008224FD">
        <w:rPr>
          <w:b/>
          <w:bCs/>
        </w:rPr>
        <w:t>11.44C</w:t>
      </w:r>
      <w:r w:rsidRPr="008224FD">
        <w:t>, dans les bandes de fréquences et pour les services énumérés au point</w:t>
      </w:r>
      <w:r w:rsidR="00926961" w:rsidRPr="008224FD">
        <w:t> </w:t>
      </w:r>
      <w:r w:rsidRPr="008224FD">
        <w:t>1</w:t>
      </w:r>
      <w:r w:rsidR="00926961" w:rsidRPr="008224FD">
        <w:t> </w:t>
      </w:r>
      <w:r w:rsidRPr="008224FD">
        <w:t>du</w:t>
      </w:r>
      <w:r w:rsidR="00926961" w:rsidRPr="008224FD">
        <w:t> </w:t>
      </w:r>
      <w:r w:rsidRPr="008224FD">
        <w:rPr>
          <w:i/>
          <w:iCs/>
        </w:rPr>
        <w:t>décide</w:t>
      </w:r>
      <w:r w:rsidRPr="008224FD">
        <w:t xml:space="preserve"> de ladite Résolution;</w:t>
      </w:r>
    </w:p>
    <w:p w14:paraId="5974318D" w14:textId="015340D1" w:rsidR="00756C3A" w:rsidRPr="008224FD" w:rsidRDefault="00586B89">
      <w:pPr>
        <w:pPrChange w:id="42" w:author="French" w:date="2023-11-13T16:26:00Z">
          <w:pPr>
            <w:spacing w:line="480" w:lineRule="auto"/>
          </w:pPr>
        </w:pPrChange>
      </w:pPr>
      <w:r w:rsidRPr="008224FD">
        <w:rPr>
          <w:i/>
          <w:iCs/>
        </w:rPr>
        <w:t>b)</w:t>
      </w:r>
      <w:r w:rsidRPr="008224FD">
        <w:tab/>
        <w:t xml:space="preserve">qu'il est nécessaire d'examiner attentivement l'importance de la variation type du nombre de satellites déployés et ayant la capacité d'émettre ou de recevoir sur les fréquences assignées inscrites, afin </w:t>
      </w:r>
      <w:r w:rsidR="00FA44F4" w:rsidRPr="008224FD">
        <w:t>de ne pas demander le signalement</w:t>
      </w:r>
      <w:r w:rsidRPr="008224FD">
        <w:t xml:space="preserve"> de variations qui ont peu de conséquences, comme c'est le cas des très petites constellations,</w:t>
      </w:r>
    </w:p>
    <w:p w14:paraId="599DD46C" w14:textId="77777777" w:rsidR="00756C3A" w:rsidRPr="008224FD" w:rsidRDefault="00586B89" w:rsidP="00756C3A">
      <w:pPr>
        <w:pStyle w:val="Call"/>
        <w:tabs>
          <w:tab w:val="clear" w:pos="1134"/>
          <w:tab w:val="clear" w:pos="1871"/>
          <w:tab w:val="clear" w:pos="2268"/>
        </w:tabs>
      </w:pPr>
      <w:r w:rsidRPr="008224FD">
        <w:t>décide</w:t>
      </w:r>
    </w:p>
    <w:p w14:paraId="16EB2A26" w14:textId="77777777" w:rsidR="00756C3A" w:rsidRPr="008224FD" w:rsidRDefault="00586B89" w:rsidP="00756C3A">
      <w:pPr>
        <w:tabs>
          <w:tab w:val="clear" w:pos="1134"/>
          <w:tab w:val="clear" w:pos="1871"/>
          <w:tab w:val="clear" w:pos="2268"/>
        </w:tabs>
      </w:pPr>
      <w:r w:rsidRPr="008224FD">
        <w:t>1</w:t>
      </w:r>
      <w:r w:rsidRPr="008224FD">
        <w:tab/>
        <w:t xml:space="preserve">que la présente Résolution s'appliquera aux systèmes à satellites non OSG composés de stations spatiales ayant une orbite dont l'altitude de l'apogée est inférieure à 15 000 km pour lesquels la période correspondant à l'étape est arrivée à son terme, dans le cas des systèmes assujettis à la Résolution </w:t>
      </w:r>
      <w:r w:rsidRPr="008224FD">
        <w:rPr>
          <w:b/>
          <w:bCs/>
        </w:rPr>
        <w:t>35 (Rév.CMR-23</w:t>
      </w:r>
      <w:r w:rsidRPr="008224FD">
        <w:t>) pour lesquels au moins un satellite est déployé dans le plan orbital notifié et a la capacité d'émettre ou de recevoir sur les fréquences assignées inscrites;</w:t>
      </w:r>
    </w:p>
    <w:p w14:paraId="56BCB165" w14:textId="54351244" w:rsidR="00756C3A" w:rsidRPr="008224FD" w:rsidRDefault="00586B89" w:rsidP="00756C3A">
      <w:pPr>
        <w:tabs>
          <w:tab w:val="clear" w:pos="1134"/>
          <w:tab w:val="clear" w:pos="1871"/>
          <w:tab w:val="clear" w:pos="2268"/>
        </w:tabs>
      </w:pPr>
      <w:r w:rsidRPr="008224FD">
        <w:t>2</w:t>
      </w:r>
      <w:r w:rsidRPr="008224FD">
        <w:tab/>
        <w:t>que l'administration notificatrice doit informer le Bureau des radiocommunications de la date de début de toute période continue de plus de 6 mois pendant laquelle le nombre de satellites déployés dans les plans orbitaux notifiés (au sens où ce terme est employé dans la</w:t>
      </w:r>
      <w:r w:rsidR="00926961" w:rsidRPr="008224FD">
        <w:t> </w:t>
      </w:r>
      <w:r w:rsidRPr="008224FD">
        <w:t>Résolution</w:t>
      </w:r>
      <w:r w:rsidR="00926961" w:rsidRPr="008224FD">
        <w:t> </w:t>
      </w:r>
      <w:r w:rsidRPr="008224FD">
        <w:rPr>
          <w:b/>
          <w:bCs/>
        </w:rPr>
        <w:t>35</w:t>
      </w:r>
      <w:r w:rsidR="00926961" w:rsidRPr="008224FD">
        <w:rPr>
          <w:b/>
          <w:bCs/>
        </w:rPr>
        <w:t> </w:t>
      </w:r>
      <w:r w:rsidRPr="008224FD">
        <w:rPr>
          <w:b/>
          <w:bCs/>
        </w:rPr>
        <w:t>(Rév.CMR-23)</w:t>
      </w:r>
      <w:r w:rsidRPr="008224FD">
        <w:t>) et ayant la capacité d'émettre ou de recevoir sur les fréquences assignées inscrites est inférieur à X</w:t>
      </w:r>
      <w:r w:rsidR="00896841" w:rsidRPr="008224FD">
        <w:t>%</w:t>
      </w:r>
      <w:r w:rsidRPr="008224FD">
        <w:t xml:space="preserve"> (arrondi au nombre entier inférieur) du nombre total de satellites indiqué dans l'inscription figurant dans le Fichier de référence moins un satellite;</w:t>
      </w:r>
    </w:p>
    <w:p w14:paraId="1FEE555F" w14:textId="65C37D80" w:rsidR="00756C3A" w:rsidRPr="008224FD" w:rsidDel="00E7692C" w:rsidRDefault="00586B89" w:rsidP="00756C3A">
      <w:pPr>
        <w:rPr>
          <w:del w:id="43" w:author="French" w:date="2023-11-09T15:27:00Z"/>
        </w:rPr>
      </w:pPr>
      <w:del w:id="44" w:author="French" w:date="2023-11-09T15:27:00Z">
        <w:r w:rsidRPr="008224FD" w:rsidDel="00E7692C">
          <w:delText>Variante 1</w:delText>
        </w:r>
      </w:del>
    </w:p>
    <w:p w14:paraId="154DE3A6" w14:textId="5CBA8820" w:rsidR="00756C3A" w:rsidRPr="008224FD" w:rsidDel="00E7692C" w:rsidRDefault="00586B89" w:rsidP="00756C3A">
      <w:pPr>
        <w:pStyle w:val="enumlev2"/>
        <w:rPr>
          <w:del w:id="45" w:author="French" w:date="2023-11-09T15:27:00Z"/>
        </w:rPr>
      </w:pPr>
      <w:del w:id="46" w:author="French" w:date="2023-11-09T15:27:00Z">
        <w:r w:rsidRPr="008224FD" w:rsidDel="00E7692C">
          <w:tab/>
          <w:delText>pour</w:delText>
        </w:r>
        <w:r w:rsidRPr="008224FD" w:rsidDel="00E7692C">
          <w:tab/>
          <w:delText xml:space="preserve">3 ≤ </w:delText>
        </w:r>
        <w:r w:rsidRPr="008224FD" w:rsidDel="00E7692C">
          <w:rPr>
            <w:i/>
            <w:iCs/>
          </w:rPr>
          <w:delText>N</w:delText>
        </w:r>
        <w:r w:rsidRPr="008224FD" w:rsidDel="00E7692C">
          <w:delText xml:space="preserve"> ≤50</w:delText>
        </w:r>
        <w:r w:rsidRPr="008224FD" w:rsidDel="00E7692C">
          <w:tab/>
          <w:delText xml:space="preserve"> </w:delText>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30% + 1 satellite</w:delText>
        </w:r>
      </w:del>
    </w:p>
    <w:p w14:paraId="68230B61" w14:textId="3FDAB3F3" w:rsidR="00756C3A" w:rsidRPr="008224FD" w:rsidDel="00E7692C" w:rsidRDefault="00586B89" w:rsidP="00756C3A">
      <w:pPr>
        <w:pStyle w:val="enumlev2"/>
        <w:rPr>
          <w:del w:id="47" w:author="French" w:date="2023-11-09T15:27:00Z"/>
        </w:rPr>
      </w:pPr>
      <w:del w:id="48" w:author="French" w:date="2023-11-09T15:27:00Z">
        <w:r w:rsidRPr="008224FD" w:rsidDel="00E7692C">
          <w:tab/>
          <w:delText>pour</w:delText>
        </w:r>
        <w:r w:rsidRPr="008224FD" w:rsidDel="00E7692C">
          <w:tab/>
        </w:r>
        <w:r w:rsidRPr="008224FD" w:rsidDel="00E7692C">
          <w:rPr>
            <w:i/>
            <w:iCs/>
          </w:rPr>
          <w:delText>N</w:delText>
        </w:r>
        <w:r w:rsidRPr="008224FD" w:rsidDel="00E7692C">
          <w:delText xml:space="preserve"> </w:delText>
        </w:r>
        <w:r w:rsidRPr="008224FD" w:rsidDel="00E7692C">
          <w:rPr>
            <w:bCs/>
            <w:u w:val="single"/>
          </w:rPr>
          <w:delText>&gt;</w:delText>
        </w:r>
        <w:r w:rsidRPr="008224FD" w:rsidDel="00E7692C">
          <w:delText xml:space="preserve"> 50</w:delText>
        </w:r>
        <w:r w:rsidRPr="008224FD" w:rsidDel="00E7692C">
          <w:tab/>
          <w:delText xml:space="preserve"> </w:delText>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5% + 1 satellite,</w:delText>
        </w:r>
      </w:del>
    </w:p>
    <w:p w14:paraId="23786B4C" w14:textId="741476BD" w:rsidR="00756C3A" w:rsidRPr="008224FD" w:rsidDel="00E7692C" w:rsidRDefault="00586B89" w:rsidP="00756C3A">
      <w:pPr>
        <w:pStyle w:val="enumlev2"/>
        <w:ind w:left="0" w:firstLine="0"/>
        <w:rPr>
          <w:del w:id="49" w:author="French" w:date="2023-11-09T15:27:00Z"/>
        </w:rPr>
      </w:pPr>
      <w:del w:id="50" w:author="French" w:date="2023-11-09T15:27:00Z">
        <w:r w:rsidRPr="008224FD" w:rsidDel="00E7692C">
          <w:lastRenderedPageBreak/>
          <w:delText>Variante 2</w:delText>
        </w:r>
      </w:del>
    </w:p>
    <w:p w14:paraId="5DB8FB07" w14:textId="77777777" w:rsidR="00756C3A" w:rsidRPr="008224FD" w:rsidRDefault="00586B89" w:rsidP="00756C3A">
      <w:pPr>
        <w:pStyle w:val="enumlev2"/>
      </w:pPr>
      <w:r w:rsidRPr="008224FD">
        <w:tab/>
        <w:t>pour</w:t>
      </w:r>
      <w:r w:rsidRPr="008224FD">
        <w:tab/>
      </w:r>
      <w:r w:rsidRPr="008224FD">
        <w:rPr>
          <w:i/>
          <w:iCs/>
        </w:rPr>
        <w:t>N</w:t>
      </w:r>
      <w:r w:rsidRPr="008224FD">
        <w:t xml:space="preserve"> &lt; 550</w:t>
      </w:r>
      <w:r w:rsidRPr="008224FD">
        <w:tab/>
      </w:r>
      <w:r w:rsidRPr="008224FD">
        <w:rPr>
          <w:i/>
          <w:iCs/>
        </w:rPr>
        <w:t>X</w:t>
      </w:r>
      <w:r w:rsidRPr="008224FD">
        <w:t xml:space="preserve"> = </w:t>
      </w:r>
      <w:r w:rsidRPr="008224FD">
        <w:rPr>
          <w:i/>
          <w:iCs/>
        </w:rPr>
        <w:t>N</w:t>
      </w:r>
      <w:r w:rsidRPr="008224FD">
        <w:t xml:space="preserve"> * 90% − 1 satellite</w:t>
      </w:r>
    </w:p>
    <w:p w14:paraId="1C833322" w14:textId="77777777" w:rsidR="00756C3A" w:rsidRPr="008224FD" w:rsidRDefault="00586B89" w:rsidP="00756C3A">
      <w:pPr>
        <w:pStyle w:val="enumlev2"/>
      </w:pPr>
      <w:r w:rsidRPr="008224FD">
        <w:tab/>
        <w:t>pour</w:t>
      </w:r>
      <w:r w:rsidRPr="008224FD">
        <w:tab/>
        <w:t xml:space="preserve">550 ≤ </w:t>
      </w:r>
      <w:r w:rsidRPr="008224FD">
        <w:rPr>
          <w:i/>
          <w:iCs/>
        </w:rPr>
        <w:t>N</w:t>
      </w:r>
      <w:r w:rsidRPr="008224FD">
        <w:t xml:space="preserve"> &lt; 5 000</w:t>
      </w:r>
      <w:r w:rsidRPr="008224FD">
        <w:tab/>
      </w:r>
      <w:r w:rsidRPr="008224FD">
        <w:rPr>
          <w:i/>
          <w:iCs/>
        </w:rPr>
        <w:t>X</w:t>
      </w:r>
      <w:r w:rsidRPr="008224FD">
        <w:t xml:space="preserve"> = </w:t>
      </w:r>
      <w:r w:rsidRPr="008224FD">
        <w:rPr>
          <w:i/>
          <w:iCs/>
        </w:rPr>
        <w:t>N</w:t>
      </w:r>
      <w:r w:rsidRPr="008224FD">
        <w:t xml:space="preserve"> * 93% − 1 satellite</w:t>
      </w:r>
    </w:p>
    <w:p w14:paraId="704D4EEE" w14:textId="77777777" w:rsidR="00756C3A" w:rsidRPr="008224FD" w:rsidRDefault="00586B89" w:rsidP="00756C3A">
      <w:pPr>
        <w:pStyle w:val="enumlev2"/>
        <w:tabs>
          <w:tab w:val="clear" w:pos="1134"/>
          <w:tab w:val="clear" w:pos="1871"/>
          <w:tab w:val="clear" w:pos="2608"/>
          <w:tab w:val="clear" w:pos="3345"/>
        </w:tabs>
        <w:ind w:left="1843" w:hanging="709"/>
        <w:rPr>
          <w:bCs/>
          <w:szCs w:val="24"/>
        </w:rPr>
      </w:pPr>
      <w:r w:rsidRPr="008224FD">
        <w:tab/>
        <w:t>pour</w:t>
      </w:r>
      <w:r w:rsidRPr="008224FD">
        <w:tab/>
      </w:r>
      <w:r w:rsidRPr="008224FD">
        <w:rPr>
          <w:i/>
          <w:iCs/>
        </w:rPr>
        <w:t>N</w:t>
      </w:r>
      <w:r w:rsidRPr="008224FD">
        <w:t xml:space="preserve"> </w:t>
      </w:r>
      <w:r w:rsidRPr="008224FD">
        <w:rPr>
          <w:bCs/>
          <w:u w:val="single"/>
        </w:rPr>
        <w:t>&gt;</w:t>
      </w:r>
      <w:r w:rsidRPr="008224FD">
        <w:t xml:space="preserve"> 5 000</w:t>
      </w:r>
      <w:r w:rsidRPr="008224FD">
        <w:tab/>
      </w:r>
      <w:r w:rsidRPr="008224FD">
        <w:rPr>
          <w:i/>
          <w:iCs/>
        </w:rPr>
        <w:t>X</w:t>
      </w:r>
      <w:r w:rsidRPr="008224FD">
        <w:t xml:space="preserve"> = </w:t>
      </w:r>
      <w:r w:rsidRPr="008224FD">
        <w:rPr>
          <w:i/>
          <w:iCs/>
        </w:rPr>
        <w:t>N</w:t>
      </w:r>
      <w:r w:rsidRPr="008224FD">
        <w:t xml:space="preserve"> * 95% − 1 satellite,</w:t>
      </w:r>
    </w:p>
    <w:p w14:paraId="60D9E769" w14:textId="6B9DCB45" w:rsidR="00756C3A" w:rsidRPr="008224FD" w:rsidDel="00E7692C" w:rsidRDefault="00586B89" w:rsidP="00756C3A">
      <w:pPr>
        <w:pStyle w:val="enumlev2"/>
        <w:ind w:left="0" w:firstLine="0"/>
        <w:rPr>
          <w:del w:id="51" w:author="French" w:date="2023-11-09T15:27:00Z"/>
        </w:rPr>
      </w:pPr>
      <w:del w:id="52" w:author="French" w:date="2023-11-09T15:27:00Z">
        <w:r w:rsidRPr="008224FD" w:rsidDel="00E7692C">
          <w:delText>Variante 3</w:delText>
        </w:r>
      </w:del>
    </w:p>
    <w:p w14:paraId="228F972A" w14:textId="0578D25E" w:rsidR="00756C3A" w:rsidRPr="008224FD" w:rsidDel="00E7692C" w:rsidRDefault="00586B89" w:rsidP="00756C3A">
      <w:pPr>
        <w:pStyle w:val="enumlev2"/>
        <w:tabs>
          <w:tab w:val="clear" w:pos="3345"/>
          <w:tab w:val="left" w:pos="4395"/>
        </w:tabs>
        <w:rPr>
          <w:del w:id="53" w:author="French" w:date="2023-11-09T15:27:00Z"/>
        </w:rPr>
      </w:pPr>
      <w:del w:id="54" w:author="French" w:date="2023-11-09T15:27:00Z">
        <w:r w:rsidRPr="008224FD" w:rsidDel="00E7692C">
          <w:tab/>
          <w:delText>pour</w:delText>
        </w:r>
        <w:r w:rsidRPr="008224FD" w:rsidDel="00E7692C">
          <w:rPr>
            <w:i/>
            <w:iCs/>
          </w:rPr>
          <w:delText xml:space="preserve"> N</w:delText>
        </w:r>
        <w:r w:rsidRPr="008224FD" w:rsidDel="00E7692C">
          <w:delText xml:space="preserve"> &lt; 100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50% – 1 satellite</w:delText>
        </w:r>
      </w:del>
    </w:p>
    <w:p w14:paraId="79A6EEEF" w14:textId="464E0BFF" w:rsidR="00756C3A" w:rsidRPr="008224FD" w:rsidDel="00E7692C" w:rsidRDefault="00586B89" w:rsidP="00756C3A">
      <w:pPr>
        <w:pStyle w:val="enumlev2"/>
        <w:tabs>
          <w:tab w:val="clear" w:pos="3345"/>
          <w:tab w:val="left" w:pos="4395"/>
        </w:tabs>
        <w:rPr>
          <w:del w:id="55" w:author="French" w:date="2023-11-09T15:27:00Z"/>
        </w:rPr>
      </w:pPr>
      <w:del w:id="56" w:author="French" w:date="2023-11-09T15:27:00Z">
        <w:r w:rsidRPr="008224FD" w:rsidDel="00E7692C">
          <w:tab/>
          <w:delText xml:space="preserve">pour 100 ≤ </w:delText>
        </w:r>
        <w:r w:rsidRPr="008224FD" w:rsidDel="00E7692C">
          <w:rPr>
            <w:i/>
            <w:iCs/>
          </w:rPr>
          <w:delText>N</w:delText>
        </w:r>
        <w:r w:rsidRPr="008224FD" w:rsidDel="00E7692C">
          <w:delText xml:space="preserve"> &lt; 1 000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65% – 1 satellite</w:delText>
        </w:r>
      </w:del>
    </w:p>
    <w:p w14:paraId="14294E5F" w14:textId="30EC2730" w:rsidR="00756C3A" w:rsidRPr="008224FD" w:rsidDel="00E7692C" w:rsidRDefault="00586B89" w:rsidP="00756C3A">
      <w:pPr>
        <w:pStyle w:val="enumlev2"/>
        <w:tabs>
          <w:tab w:val="clear" w:pos="3345"/>
          <w:tab w:val="left" w:pos="4395"/>
        </w:tabs>
        <w:rPr>
          <w:del w:id="57" w:author="French" w:date="2023-11-09T15:27:00Z"/>
        </w:rPr>
      </w:pPr>
      <w:del w:id="58" w:author="French" w:date="2023-11-09T15:27:00Z">
        <w:r w:rsidRPr="008224FD" w:rsidDel="00E7692C">
          <w:tab/>
          <w:delText xml:space="preserve">pour 1 000 ≤ </w:delText>
        </w:r>
        <w:r w:rsidRPr="008224FD" w:rsidDel="00E7692C">
          <w:rPr>
            <w:i/>
            <w:iCs/>
          </w:rPr>
          <w:delText>N</w:delText>
        </w:r>
        <w:r w:rsidRPr="008224FD" w:rsidDel="00E7692C">
          <w:delText xml:space="preserve"> &lt; 5 000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85% – 1 satellite</w:delText>
        </w:r>
      </w:del>
    </w:p>
    <w:p w14:paraId="0FB05C9E" w14:textId="1FC09B12" w:rsidR="00756C3A" w:rsidRPr="008224FD" w:rsidDel="00E7692C" w:rsidRDefault="00586B89" w:rsidP="00756C3A">
      <w:pPr>
        <w:pStyle w:val="enumlev2"/>
        <w:tabs>
          <w:tab w:val="clear" w:pos="3345"/>
          <w:tab w:val="left" w:pos="4395"/>
        </w:tabs>
        <w:rPr>
          <w:del w:id="59" w:author="French" w:date="2023-11-09T15:27:00Z"/>
        </w:rPr>
      </w:pPr>
      <w:del w:id="60" w:author="French" w:date="2023-11-09T15:27:00Z">
        <w:r w:rsidRPr="008224FD" w:rsidDel="00E7692C">
          <w:tab/>
          <w:delText>pour</w:delText>
        </w:r>
        <w:r w:rsidRPr="008224FD" w:rsidDel="00E7692C">
          <w:rPr>
            <w:i/>
            <w:iCs/>
          </w:rPr>
          <w:delText xml:space="preserve"> N</w:delText>
        </w:r>
        <w:r w:rsidRPr="008224FD" w:rsidDel="00E7692C">
          <w:delText xml:space="preserve"> ≥ 5 000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95% – 1 satellite,</w:delText>
        </w:r>
      </w:del>
    </w:p>
    <w:p w14:paraId="7BDDE586" w14:textId="00B9B1E0" w:rsidR="00756C3A" w:rsidRPr="008224FD" w:rsidDel="00E7692C" w:rsidRDefault="00586B89" w:rsidP="00756C3A">
      <w:pPr>
        <w:pStyle w:val="enumlev2"/>
        <w:ind w:left="0" w:firstLine="0"/>
        <w:rPr>
          <w:del w:id="61" w:author="French" w:date="2023-11-09T15:27:00Z"/>
        </w:rPr>
      </w:pPr>
      <w:del w:id="62" w:author="French" w:date="2023-11-09T15:27:00Z">
        <w:r w:rsidRPr="008224FD" w:rsidDel="00E7692C">
          <w:delText>Variante 4</w:delText>
        </w:r>
      </w:del>
    </w:p>
    <w:p w14:paraId="0ABB3481" w14:textId="78BD7E60" w:rsidR="00756C3A" w:rsidRPr="008224FD" w:rsidDel="00E7692C" w:rsidRDefault="00586B89" w:rsidP="00756C3A">
      <w:pPr>
        <w:pStyle w:val="enumlev2"/>
        <w:tabs>
          <w:tab w:val="clear" w:pos="2608"/>
          <w:tab w:val="clear" w:pos="3345"/>
          <w:tab w:val="left" w:pos="1701"/>
          <w:tab w:val="left" w:pos="2410"/>
          <w:tab w:val="left" w:pos="4395"/>
        </w:tabs>
        <w:rPr>
          <w:del w:id="63" w:author="French" w:date="2023-11-09T15:27:00Z"/>
        </w:rPr>
      </w:pPr>
      <w:del w:id="64" w:author="French" w:date="2023-11-09T15:27:00Z">
        <w:r w:rsidRPr="008224FD" w:rsidDel="00E7692C">
          <w:tab/>
          <w:delText xml:space="preserve">pour </w:delText>
        </w:r>
        <w:r w:rsidRPr="008224FD" w:rsidDel="00E7692C">
          <w:tab/>
          <w:delText xml:space="preserve">2 ≤ </w:delText>
        </w:r>
        <w:r w:rsidRPr="008224FD" w:rsidDel="00E7692C">
          <w:rPr>
            <w:i/>
            <w:iCs/>
          </w:rPr>
          <w:delText>N</w:delText>
        </w:r>
        <w:r w:rsidRPr="008224FD" w:rsidDel="00E7692C">
          <w:delText xml:space="preserve"> &lt;50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50%</w:delText>
        </w:r>
      </w:del>
    </w:p>
    <w:p w14:paraId="4AD9DEDA" w14:textId="26DA507E" w:rsidR="00756C3A" w:rsidRPr="008224FD" w:rsidDel="00E7692C" w:rsidRDefault="00586B89" w:rsidP="00756C3A">
      <w:pPr>
        <w:pStyle w:val="enumlev2"/>
        <w:tabs>
          <w:tab w:val="clear" w:pos="2608"/>
          <w:tab w:val="clear" w:pos="3345"/>
          <w:tab w:val="left" w:pos="1701"/>
          <w:tab w:val="left" w:pos="2410"/>
          <w:tab w:val="left" w:pos="4395"/>
        </w:tabs>
        <w:rPr>
          <w:del w:id="65" w:author="French" w:date="2023-11-09T15:27:00Z"/>
        </w:rPr>
      </w:pPr>
      <w:del w:id="66" w:author="French" w:date="2023-11-09T15:27:00Z">
        <w:r w:rsidRPr="008224FD" w:rsidDel="00E7692C">
          <w:tab/>
          <w:delText xml:space="preserve">pour </w:delText>
        </w:r>
        <w:r w:rsidRPr="008224FD" w:rsidDel="00E7692C">
          <w:tab/>
          <w:delText xml:space="preserve">50 ≤ </w:delText>
        </w:r>
        <w:r w:rsidRPr="008224FD" w:rsidDel="00E7692C">
          <w:rPr>
            <w:i/>
            <w:iCs/>
          </w:rPr>
          <w:delText>N</w:delText>
        </w:r>
        <w:r w:rsidRPr="008224FD" w:rsidDel="00E7692C">
          <w:delText xml:space="preserve"> &lt; 100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65%</w:delText>
        </w:r>
      </w:del>
    </w:p>
    <w:p w14:paraId="23472E8F" w14:textId="072EF449" w:rsidR="00756C3A" w:rsidRPr="008224FD" w:rsidDel="00E7692C" w:rsidRDefault="00586B89" w:rsidP="00756C3A">
      <w:pPr>
        <w:pStyle w:val="enumlev2"/>
        <w:tabs>
          <w:tab w:val="clear" w:pos="2608"/>
          <w:tab w:val="clear" w:pos="3345"/>
          <w:tab w:val="left" w:pos="1701"/>
          <w:tab w:val="left" w:pos="2410"/>
          <w:tab w:val="left" w:pos="4395"/>
        </w:tabs>
        <w:rPr>
          <w:del w:id="67" w:author="French" w:date="2023-11-09T15:27:00Z"/>
        </w:rPr>
      </w:pPr>
      <w:del w:id="68" w:author="French" w:date="2023-11-09T15:27:00Z">
        <w:r w:rsidRPr="008224FD" w:rsidDel="00E7692C">
          <w:tab/>
          <w:delText xml:space="preserve">pour </w:delText>
        </w:r>
        <w:r w:rsidRPr="008224FD" w:rsidDel="00E7692C">
          <w:tab/>
          <w:delText xml:space="preserve">100 ≤ </w:delText>
        </w:r>
        <w:r w:rsidRPr="008224FD" w:rsidDel="00E7692C">
          <w:rPr>
            <w:i/>
            <w:iCs/>
          </w:rPr>
          <w:delText>N</w:delText>
        </w:r>
        <w:r w:rsidRPr="008224FD" w:rsidDel="00E7692C">
          <w:delText xml:space="preserve"> &lt; 550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80%</w:delText>
        </w:r>
      </w:del>
    </w:p>
    <w:p w14:paraId="7CD1E3DC" w14:textId="0A44C887" w:rsidR="00756C3A" w:rsidRPr="008224FD" w:rsidDel="00E7692C" w:rsidRDefault="00586B89" w:rsidP="00756C3A">
      <w:pPr>
        <w:pStyle w:val="enumlev2"/>
        <w:tabs>
          <w:tab w:val="clear" w:pos="2608"/>
          <w:tab w:val="clear" w:pos="3345"/>
          <w:tab w:val="left" w:pos="1701"/>
          <w:tab w:val="left" w:pos="2410"/>
          <w:tab w:val="left" w:pos="4395"/>
        </w:tabs>
        <w:rPr>
          <w:del w:id="69" w:author="French" w:date="2023-11-09T15:27:00Z"/>
        </w:rPr>
      </w:pPr>
      <w:del w:id="70" w:author="French" w:date="2023-11-09T15:27:00Z">
        <w:r w:rsidRPr="008224FD" w:rsidDel="00E7692C">
          <w:tab/>
          <w:delText xml:space="preserve">pour </w:delText>
        </w:r>
        <w:r w:rsidRPr="008224FD" w:rsidDel="00E7692C">
          <w:tab/>
          <w:delText xml:space="preserve">550 ≤ </w:delText>
        </w:r>
        <w:r w:rsidRPr="008224FD" w:rsidDel="00E7692C">
          <w:rPr>
            <w:i/>
            <w:iCs/>
          </w:rPr>
          <w:delText>N</w:delText>
        </w:r>
        <w:r w:rsidRPr="008224FD" w:rsidDel="00E7692C">
          <w:delText xml:space="preserve"> &lt; 5 000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93%</w:delText>
        </w:r>
      </w:del>
    </w:p>
    <w:p w14:paraId="235662EE" w14:textId="3A588F75" w:rsidR="00E7692C" w:rsidRPr="008224FD" w:rsidDel="00E7692C" w:rsidRDefault="00586B89" w:rsidP="00756C3A">
      <w:pPr>
        <w:tabs>
          <w:tab w:val="clear" w:pos="1134"/>
          <w:tab w:val="clear" w:pos="1871"/>
          <w:tab w:val="clear" w:pos="2268"/>
          <w:tab w:val="left" w:pos="1701"/>
          <w:tab w:val="left" w:pos="2410"/>
          <w:tab w:val="left" w:pos="4395"/>
        </w:tabs>
        <w:ind w:left="1134"/>
        <w:rPr>
          <w:del w:id="71" w:author="French" w:date="2023-11-09T15:27:00Z"/>
        </w:rPr>
      </w:pPr>
      <w:del w:id="72" w:author="French" w:date="2023-11-09T15:27:00Z">
        <w:r w:rsidRPr="008224FD" w:rsidDel="00E7692C">
          <w:tab/>
          <w:delText xml:space="preserve">pour </w:delText>
        </w:r>
        <w:r w:rsidRPr="008224FD" w:rsidDel="00E7692C">
          <w:tab/>
        </w:r>
        <w:r w:rsidRPr="008224FD" w:rsidDel="00E7692C">
          <w:rPr>
            <w:i/>
            <w:iCs/>
          </w:rPr>
          <w:delText>N</w:delText>
        </w:r>
        <w:r w:rsidRPr="008224FD" w:rsidDel="00E7692C">
          <w:delText xml:space="preserve"> </w:delText>
        </w:r>
        <w:r w:rsidRPr="008224FD" w:rsidDel="00E7692C">
          <w:rPr>
            <w:bCs/>
            <w:u w:val="single"/>
          </w:rPr>
          <w:delText>&gt;</w:delText>
        </w:r>
        <w:r w:rsidRPr="008224FD" w:rsidDel="00E7692C">
          <w:delText xml:space="preserve"> 5 000</w:delText>
        </w:r>
        <w:r w:rsidRPr="008224FD" w:rsidDel="00E7692C">
          <w:tab/>
        </w:r>
        <w:r w:rsidRPr="008224FD" w:rsidDel="00E7692C">
          <w:rPr>
            <w:i/>
            <w:iCs/>
          </w:rPr>
          <w:delText>X</w:delText>
        </w:r>
        <w:r w:rsidRPr="008224FD" w:rsidDel="00E7692C">
          <w:delText xml:space="preserve"> = </w:delText>
        </w:r>
        <w:r w:rsidRPr="008224FD" w:rsidDel="00E7692C">
          <w:rPr>
            <w:i/>
            <w:iCs/>
          </w:rPr>
          <w:delText>N</w:delText>
        </w:r>
        <w:r w:rsidRPr="008224FD" w:rsidDel="00E7692C">
          <w:delText xml:space="preserve"> * 95%,</w:delText>
        </w:r>
      </w:del>
    </w:p>
    <w:p w14:paraId="57B1A58A" w14:textId="4B28EB64" w:rsidR="00E7692C" w:rsidRPr="008224FD" w:rsidRDefault="00E7692C" w:rsidP="008224FD">
      <w:r w:rsidRPr="008224FD">
        <w:rPr>
          <w:b/>
          <w:bCs/>
        </w:rPr>
        <w:t>Motifs:</w:t>
      </w:r>
      <w:r w:rsidRPr="008224FD">
        <w:tab/>
      </w:r>
      <w:r w:rsidR="00FA44F4" w:rsidRPr="008224FD">
        <w:t>Pour des constellations de tailles différentes, définir des nombres différents pour les divers satellites capables d'émettre et de recevoir en utilisant des assignations de fréquences inscrites.</w:t>
      </w:r>
    </w:p>
    <w:p w14:paraId="1F9DD44F" w14:textId="616AC26C" w:rsidR="00756C3A" w:rsidRPr="008224FD" w:rsidRDefault="00586B89" w:rsidP="00756C3A">
      <w:pPr>
        <w:tabs>
          <w:tab w:val="clear" w:pos="1134"/>
          <w:tab w:val="clear" w:pos="1871"/>
          <w:tab w:val="clear" w:pos="2268"/>
        </w:tabs>
      </w:pPr>
      <w:r w:rsidRPr="008224FD">
        <w:t>3</w:t>
      </w:r>
      <w:r w:rsidRPr="008224FD">
        <w:tab/>
        <w:t xml:space="preserve">que, lorsqu'il reçoit les renseignements soumis conformément au point 2 du </w:t>
      </w:r>
      <w:r w:rsidRPr="008224FD">
        <w:rPr>
          <w:i/>
          <w:iCs/>
        </w:rPr>
        <w:t>décide</w:t>
      </w:r>
      <w:r w:rsidRPr="008224FD">
        <w:t>, le Bureau doit les mettre rapidement à disposition sur le site web de l'UIT;</w:t>
      </w:r>
    </w:p>
    <w:p w14:paraId="04E69A64" w14:textId="5D2D486E" w:rsidR="00756C3A" w:rsidRPr="008224FD" w:rsidRDefault="00586B89" w:rsidP="00756C3A">
      <w:pPr>
        <w:tabs>
          <w:tab w:val="clear" w:pos="1134"/>
          <w:tab w:val="clear" w:pos="1871"/>
          <w:tab w:val="clear" w:pos="2268"/>
        </w:tabs>
      </w:pPr>
      <w:r w:rsidRPr="008224FD">
        <w:t>4</w:t>
      </w:r>
      <w:r w:rsidRPr="008224FD">
        <w:tab/>
        <w:t>que l'administration notificatrice doit dès que possible informer le Bureau de la date à laquelle le nombre de satellites déployés dans les plans orbitaux notifiés et ayant la capacité d'émettre ou de recevoir sur les fréquences assignées inscrites a de nouveau atteint X</w:t>
      </w:r>
      <w:r w:rsidR="00FA00C3" w:rsidRPr="008224FD">
        <w:t>%</w:t>
      </w:r>
      <w:r w:rsidRPr="008224FD">
        <w:t xml:space="preserve"> (arrondi au nombre entier inférieur) du nombre total de satellites indiqué dans le Fichier de référence moins un satellite;</w:t>
      </w:r>
    </w:p>
    <w:p w14:paraId="1DBDB0F1" w14:textId="39022290" w:rsidR="00756C3A" w:rsidRPr="008224FD" w:rsidRDefault="00586B89" w:rsidP="00756C3A">
      <w:pPr>
        <w:tabs>
          <w:tab w:val="clear" w:pos="1134"/>
          <w:tab w:val="clear" w:pos="1871"/>
          <w:tab w:val="clear" w:pos="2268"/>
        </w:tabs>
      </w:pPr>
      <w:r w:rsidRPr="008224FD">
        <w:t>5</w:t>
      </w:r>
      <w:r w:rsidRPr="008224FD">
        <w:tab/>
        <w:t>qu</w:t>
      </w:r>
      <w:r w:rsidR="00FA00C3" w:rsidRPr="008224FD">
        <w:t>e</w:t>
      </w:r>
      <w:r w:rsidRPr="008224FD">
        <w:t xml:space="preserve"> la date à laquelle le nombre de satellites déployés dans les plans orbitaux notifiés et ayant la capacité d'émettre ou de recevoir sur les fréquences assignées inscrites a de nouveau atteint</w:t>
      </w:r>
      <w:r w:rsidR="00FA00C3" w:rsidRPr="008224FD">
        <w:t> </w:t>
      </w:r>
      <w:r w:rsidRPr="008224FD">
        <w:t>X</w:t>
      </w:r>
      <w:r w:rsidR="00FA00C3" w:rsidRPr="008224FD">
        <w:t>%</w:t>
      </w:r>
      <w:r w:rsidRPr="008224FD">
        <w:t xml:space="preserve"> (arrondi au nombre entier inférieur) du nombre total de satellites indiqué dans le Fichier de référence moins un satellite ne doit pas dépasser trois ans à compter de la date de début de la période continue visée au point 2 du </w:t>
      </w:r>
      <w:r w:rsidRPr="008224FD">
        <w:rPr>
          <w:i/>
          <w:iCs/>
        </w:rPr>
        <w:t>décide</w:t>
      </w:r>
      <w:r w:rsidRPr="008224FD">
        <w:t>, à condition que l'administration notificatrice informe le</w:t>
      </w:r>
      <w:r w:rsidR="008224FD" w:rsidRPr="008224FD">
        <w:t xml:space="preserve"> </w:t>
      </w:r>
      <w:r w:rsidRPr="008224FD">
        <w:t xml:space="preserve">Bureau, conformément au point 2 du </w:t>
      </w:r>
      <w:r w:rsidRPr="008224FD">
        <w:rPr>
          <w:i/>
          <w:iCs/>
        </w:rPr>
        <w:t>décide</w:t>
      </w:r>
      <w:r w:rsidRPr="008224FD">
        <w:t>, dans un délai de 6 mois à compter du début de cette période continue;</w:t>
      </w:r>
    </w:p>
    <w:p w14:paraId="1139D363" w14:textId="77777777" w:rsidR="00756C3A" w:rsidRPr="008224FD" w:rsidRDefault="00586B89" w:rsidP="00756C3A">
      <w:pPr>
        <w:tabs>
          <w:tab w:val="clear" w:pos="1134"/>
          <w:tab w:val="clear" w:pos="1871"/>
          <w:tab w:val="clear" w:pos="2268"/>
        </w:tabs>
      </w:pPr>
      <w:r w:rsidRPr="008224FD">
        <w:t>6</w:t>
      </w:r>
      <w:r w:rsidRPr="008224FD">
        <w:tab/>
        <w:t xml:space="preserve">que, si l'administration notificatrice informe le Bureau, conformément au point 2 du </w:t>
      </w:r>
      <w:r w:rsidRPr="008224FD">
        <w:rPr>
          <w:i/>
          <w:iCs/>
        </w:rPr>
        <w:t>décide</w:t>
      </w:r>
      <w:r w:rsidRPr="008224FD">
        <w:t xml:space="preserve">, plus de 6 mois après la date de début de la période continue visée au point 2 du </w:t>
      </w:r>
      <w:r w:rsidRPr="008224FD">
        <w:rPr>
          <w:i/>
          <w:iCs/>
        </w:rPr>
        <w:t>décide</w:t>
      </w:r>
      <w:r w:rsidRPr="008224FD">
        <w:t xml:space="preserve">, le nombre d'années dont il est question au point 5 du </w:t>
      </w:r>
      <w:r w:rsidRPr="008224FD">
        <w:rPr>
          <w:i/>
          <w:iCs/>
        </w:rPr>
        <w:t>décide</w:t>
      </w:r>
      <w:r w:rsidRPr="008224FD">
        <w:t xml:space="preserve"> sera réduit de la durée écoulée entre la fin de la période de 6 mois et la date à laquelle le Bureau est informé au titre du point 2 du </w:t>
      </w:r>
      <w:r w:rsidRPr="008224FD">
        <w:rPr>
          <w:i/>
          <w:iCs/>
        </w:rPr>
        <w:t>décide</w:t>
      </w:r>
      <w:r w:rsidRPr="008224FD">
        <w:t>;</w:t>
      </w:r>
    </w:p>
    <w:p w14:paraId="726F3B87" w14:textId="513112E8" w:rsidR="00756C3A" w:rsidRPr="008224FD" w:rsidRDefault="00586B89" w:rsidP="00756C3A">
      <w:pPr>
        <w:tabs>
          <w:tab w:val="clear" w:pos="1134"/>
          <w:tab w:val="clear" w:pos="1871"/>
          <w:tab w:val="clear" w:pos="2268"/>
        </w:tabs>
      </w:pPr>
      <w:r w:rsidRPr="008224FD">
        <w:t>7</w:t>
      </w:r>
      <w:r w:rsidRPr="008224FD">
        <w:tab/>
        <w:t xml:space="preserve">que, si l'administration notificatrice informe le Bureau plus de </w:t>
      </w:r>
      <w:del w:id="73" w:author="French" w:date="2023-11-09T15:31:00Z">
        <w:r w:rsidRPr="008224FD" w:rsidDel="00FA00C3">
          <w:delText>21 mois</w:delText>
        </w:r>
      </w:del>
      <w:ins w:id="74" w:author="French" w:date="2023-11-09T15:31:00Z">
        <w:r w:rsidR="00FA00C3" w:rsidRPr="008224FD">
          <w:t>[deux ans]</w:t>
        </w:r>
      </w:ins>
      <w:r w:rsidRPr="008224FD">
        <w:t xml:space="preserve"> après la date de début de la période continue visée au point 2 du </w:t>
      </w:r>
      <w:r w:rsidRPr="008224FD">
        <w:rPr>
          <w:i/>
          <w:iCs/>
        </w:rPr>
        <w:t>décide</w:t>
      </w:r>
      <w:r w:rsidRPr="008224FD">
        <w:t>, elle soumettra au BR, dans un délai de 90 jours:</w:t>
      </w:r>
    </w:p>
    <w:p w14:paraId="5815BD5B" w14:textId="77777777" w:rsidR="00556FDE" w:rsidRPr="008224FD" w:rsidRDefault="00586B89" w:rsidP="00556FDE">
      <w:pPr>
        <w:pStyle w:val="enumlev1"/>
        <w:tabs>
          <w:tab w:val="clear" w:pos="1134"/>
          <w:tab w:val="clear" w:pos="1871"/>
          <w:tab w:val="clear" w:pos="2608"/>
          <w:tab w:val="clear" w:pos="3345"/>
        </w:tabs>
        <w:ind w:left="720" w:hanging="720"/>
      </w:pPr>
      <w:r w:rsidRPr="008224FD">
        <w:rPr>
          <w:i/>
          <w:iCs/>
        </w:rPr>
        <w:t>a)</w:t>
      </w:r>
      <w:r w:rsidRPr="008224FD">
        <w:tab/>
        <w:t>le nombre de satellites ayant la capacité d'émettre ou de recevoir sur les fréquences assignées qui sont effectivement déployés dans ce système; et</w:t>
      </w:r>
    </w:p>
    <w:p w14:paraId="5FE93A90" w14:textId="7637DC92" w:rsidR="00756C3A" w:rsidRPr="008224FD" w:rsidRDefault="00586B89" w:rsidP="008224FD">
      <w:pPr>
        <w:pStyle w:val="enumlev1"/>
        <w:keepLines/>
        <w:tabs>
          <w:tab w:val="clear" w:pos="1134"/>
          <w:tab w:val="clear" w:pos="1871"/>
          <w:tab w:val="clear" w:pos="2608"/>
          <w:tab w:val="clear" w:pos="3345"/>
        </w:tabs>
        <w:ind w:left="720" w:hanging="720"/>
      </w:pPr>
      <w:r w:rsidRPr="008224FD">
        <w:rPr>
          <w:i/>
          <w:iCs/>
        </w:rPr>
        <w:lastRenderedPageBreak/>
        <w:t>b)</w:t>
      </w:r>
      <w:r w:rsidRPr="008224FD">
        <w:tab/>
        <w:t xml:space="preserve">les modifications apportées aux caractéristiques des assignations de fréquence notifiées ou inscrites, pour ramener le nombre total de satellites indiqués dans le Fichier de référence à un nombre de satellites ne dépassant pas </w:t>
      </w:r>
      <w:ins w:id="75" w:author="French" w:date="2023-11-09T15:33:00Z">
        <w:r w:rsidR="00FA00C3" w:rsidRPr="008224FD">
          <w:t>[</w:t>
        </w:r>
      </w:ins>
      <w:r w:rsidRPr="008224FD">
        <w:t>(1 + (1 – X</w:t>
      </w:r>
      <w:r w:rsidR="00FA00C3" w:rsidRPr="008224FD">
        <w:t>/100))</w:t>
      </w:r>
      <w:ins w:id="76" w:author="French" w:date="2023-11-09T15:32:00Z">
        <w:r w:rsidR="00FA00C3" w:rsidRPr="008224FD">
          <w:t>]</w:t>
        </w:r>
      </w:ins>
      <w:r w:rsidRPr="008224FD">
        <w:t xml:space="preserve"> fois le nombre de satellites indiqués au point 7</w:t>
      </w:r>
      <w:r w:rsidRPr="008224FD">
        <w:rPr>
          <w:i/>
          <w:iCs/>
        </w:rPr>
        <w:t>a)</w:t>
      </w:r>
      <w:r w:rsidRPr="008224FD">
        <w:t xml:space="preserve"> du </w:t>
      </w:r>
      <w:r w:rsidRPr="008224FD">
        <w:rPr>
          <w:i/>
          <w:iCs/>
        </w:rPr>
        <w:t>décide</w:t>
      </w:r>
      <w:r w:rsidRPr="008224FD">
        <w:t xml:space="preserve"> (arrondi au nombre entier inférieur);</w:t>
      </w:r>
    </w:p>
    <w:p w14:paraId="11789390" w14:textId="77777777" w:rsidR="00756C3A" w:rsidRPr="008224FD" w:rsidRDefault="00586B89" w:rsidP="00756C3A">
      <w:pPr>
        <w:tabs>
          <w:tab w:val="clear" w:pos="1134"/>
          <w:tab w:val="clear" w:pos="1871"/>
          <w:tab w:val="clear" w:pos="2268"/>
        </w:tabs>
      </w:pPr>
      <w:r w:rsidRPr="008224FD">
        <w:t>8</w:t>
      </w:r>
      <w:r w:rsidRPr="008224FD">
        <w:tab/>
        <w:t xml:space="preserve">que, quatre-vingt-dix jours avant la fin de la période visée au point 5 ou 6 du </w:t>
      </w:r>
      <w:r w:rsidRPr="008224FD">
        <w:rPr>
          <w:i/>
          <w:iCs/>
        </w:rPr>
        <w:t>décide</w:t>
      </w:r>
      <w:r w:rsidRPr="008224FD">
        <w:t>, selon le cas, le Bureau enverra un rappel à l'administration notificatrice;</w:t>
      </w:r>
    </w:p>
    <w:p w14:paraId="59C1A858" w14:textId="62FD60E3" w:rsidR="00756C3A" w:rsidRPr="008224FD" w:rsidRDefault="00586B89" w:rsidP="00756C3A">
      <w:pPr>
        <w:tabs>
          <w:tab w:val="clear" w:pos="1134"/>
          <w:tab w:val="clear" w:pos="1871"/>
          <w:tab w:val="clear" w:pos="2268"/>
        </w:tabs>
      </w:pPr>
      <w:r w:rsidRPr="008224FD">
        <w:t>9</w:t>
      </w:r>
      <w:r w:rsidRPr="008224FD">
        <w:tab/>
        <w:t xml:space="preserve">que l'administration notificatrice soumettra au BR, au plus tard </w:t>
      </w:r>
      <w:del w:id="77" w:author="French" w:date="2023-11-09T15:33:00Z">
        <w:r w:rsidRPr="008224FD" w:rsidDel="00FA00C3">
          <w:delText>30</w:delText>
        </w:r>
      </w:del>
      <w:ins w:id="78" w:author="French" w:date="2023-11-09T15:33:00Z">
        <w:r w:rsidR="00FA00C3" w:rsidRPr="008224FD">
          <w:t>[45]</w:t>
        </w:r>
      </w:ins>
      <w:r w:rsidRPr="008224FD">
        <w:t xml:space="preserve"> jours après la fin de la période visée au point 5 ou 6 du </w:t>
      </w:r>
      <w:r w:rsidRPr="008224FD">
        <w:rPr>
          <w:i/>
          <w:iCs/>
        </w:rPr>
        <w:t>décide</w:t>
      </w:r>
      <w:r w:rsidRPr="008224FD">
        <w:t>, selon le cas, le nombre de satellites ayant la capacité d'émettre ou de recevoir sur les fréquences assignées qui sont effectivement déployés dans ce système;</w:t>
      </w:r>
    </w:p>
    <w:p w14:paraId="7564182C" w14:textId="0788CFA9" w:rsidR="00756C3A" w:rsidRPr="008224FD" w:rsidRDefault="00586B89" w:rsidP="00756C3A">
      <w:pPr>
        <w:tabs>
          <w:tab w:val="clear" w:pos="1134"/>
          <w:tab w:val="clear" w:pos="1871"/>
          <w:tab w:val="clear" w:pos="2268"/>
        </w:tabs>
      </w:pPr>
      <w:r w:rsidRPr="008224FD">
        <w:t>10</w:t>
      </w:r>
      <w:r w:rsidRPr="008224FD">
        <w:tab/>
        <w:t xml:space="preserve">que, si le nombre de satellites indiqué au point 9 du </w:t>
      </w:r>
      <w:r w:rsidRPr="008224FD">
        <w:rPr>
          <w:i/>
          <w:iCs/>
        </w:rPr>
        <w:t xml:space="preserve">décide </w:t>
      </w:r>
      <w:r w:rsidRPr="008224FD">
        <w:t>est toujours inférieur à</w:t>
      </w:r>
      <w:r w:rsidR="002773A6" w:rsidRPr="008224FD">
        <w:t> </w:t>
      </w:r>
      <w:r w:rsidRPr="008224FD">
        <w:t>X</w:t>
      </w:r>
      <w:r w:rsidR="00FA00C3" w:rsidRPr="008224FD">
        <w:t>%</w:t>
      </w:r>
      <w:r w:rsidR="002773A6" w:rsidRPr="008224FD">
        <w:t> </w:t>
      </w:r>
      <w:r w:rsidRPr="008224FD">
        <w:t>(arrondi au nombre entier inférieur) du nombre total de satellites indiqué dans l'inscription figurant dans le Fichier de référence moins un satellite, l'administration notificatrice soumettra au</w:t>
      </w:r>
      <w:r w:rsidR="002773A6" w:rsidRPr="008224FD">
        <w:t> </w:t>
      </w:r>
      <w:r w:rsidRPr="008224FD">
        <w:t xml:space="preserve">BR, au plus tard 90 jours après la fin de la période visée au point 5 ou 6 du </w:t>
      </w:r>
      <w:r w:rsidRPr="008224FD">
        <w:rPr>
          <w:i/>
          <w:iCs/>
        </w:rPr>
        <w:t>décide</w:t>
      </w:r>
      <w:r w:rsidRPr="008224FD">
        <w:t xml:space="preserve">, selon le cas, les modifications apportées aux caractéristiques des assignations de fréquence notifiées ou inscrites, pour ramener le nombre total de satellites indiqués dans le Fichier de référence à un nombre de satellites ne dépassant pas </w:t>
      </w:r>
      <w:del w:id="79" w:author="French" w:date="2023-11-09T15:36:00Z">
        <w:r w:rsidR="00FA00C3" w:rsidRPr="008224FD" w:rsidDel="00FA00C3">
          <w:delText>(</w:delText>
        </w:r>
      </w:del>
      <w:ins w:id="80" w:author="French" w:date="2023-11-09T15:36:00Z">
        <w:r w:rsidR="00FA00C3" w:rsidRPr="008224FD">
          <w:t>[</w:t>
        </w:r>
      </w:ins>
      <w:r w:rsidRPr="008224FD">
        <w:t>1 + (1 – X</w:t>
      </w:r>
      <w:r w:rsidR="00FA00C3" w:rsidRPr="008224FD">
        <w:t>/100</w:t>
      </w:r>
      <w:r w:rsidRPr="008224FD">
        <w:t>]</w:t>
      </w:r>
      <w:del w:id="81" w:author="French" w:date="2023-11-09T15:35:00Z">
        <w:r w:rsidRPr="008224FD" w:rsidDel="00FA00C3">
          <w:delText>)</w:delText>
        </w:r>
      </w:del>
      <w:ins w:id="82" w:author="French" w:date="2023-11-09T15:35:00Z">
        <w:r w:rsidR="00FA00C3" w:rsidRPr="008224FD">
          <w:t>]</w:t>
        </w:r>
      </w:ins>
      <w:r w:rsidRPr="008224FD">
        <w:t xml:space="preserve"> fois le nombre de satellites indiqué au point</w:t>
      </w:r>
      <w:r w:rsidR="002773A6" w:rsidRPr="008224FD">
        <w:t> </w:t>
      </w:r>
      <w:r w:rsidRPr="008224FD">
        <w:t>9</w:t>
      </w:r>
      <w:r w:rsidR="002773A6" w:rsidRPr="008224FD">
        <w:t> </w:t>
      </w:r>
      <w:r w:rsidRPr="008224FD">
        <w:t>du </w:t>
      </w:r>
      <w:r w:rsidRPr="008224FD">
        <w:rPr>
          <w:i/>
          <w:iCs/>
        </w:rPr>
        <w:t>décide</w:t>
      </w:r>
      <w:r w:rsidRPr="008224FD">
        <w:t xml:space="preserve"> (arrondi au nombre entier inférieur);</w:t>
      </w:r>
    </w:p>
    <w:p w14:paraId="1C0058E2" w14:textId="77777777" w:rsidR="00756C3A" w:rsidRPr="008224FD" w:rsidRDefault="00586B89" w:rsidP="00756C3A">
      <w:pPr>
        <w:tabs>
          <w:tab w:val="clear" w:pos="1134"/>
          <w:tab w:val="clear" w:pos="1871"/>
          <w:tab w:val="clear" w:pos="2268"/>
        </w:tabs>
        <w:rPr>
          <w:lang w:eastAsia="ar-SA"/>
        </w:rPr>
      </w:pPr>
      <w:r w:rsidRPr="008224FD">
        <w:t>11</w:t>
      </w:r>
      <w:r w:rsidRPr="008224FD">
        <w:tab/>
      </w:r>
      <w:r w:rsidRPr="008224FD">
        <w:rPr>
          <w:lang w:eastAsia="ar-SA"/>
        </w:rPr>
        <w:t xml:space="preserve">que, dès réception des modifications apportées aux caractéristiques des assignations de fréquence notifiées ou inscrites dont il est question au point 7 ou 9 du </w:t>
      </w:r>
      <w:r w:rsidRPr="008224FD">
        <w:rPr>
          <w:i/>
          <w:iCs/>
          <w:lang w:eastAsia="ar-SA"/>
        </w:rPr>
        <w:t>décide</w:t>
      </w:r>
      <w:r w:rsidRPr="008224FD">
        <w:rPr>
          <w:lang w:eastAsia="ar-SA"/>
        </w:rPr>
        <w:t>,</w:t>
      </w:r>
      <w:r w:rsidRPr="008224FD">
        <w:t xml:space="preserve"> selon le cas, </w:t>
      </w:r>
      <w:r w:rsidRPr="008224FD">
        <w:rPr>
          <w:lang w:eastAsia="ar-SA"/>
        </w:rPr>
        <w:t>le BR:</w:t>
      </w:r>
    </w:p>
    <w:p w14:paraId="545E842E" w14:textId="097025B9" w:rsidR="00756C3A" w:rsidRPr="008224FD" w:rsidRDefault="00586B89" w:rsidP="008224FD">
      <w:pPr>
        <w:pStyle w:val="enumlev1"/>
        <w:rPr>
          <w:lang w:eastAsia="ar-SA"/>
        </w:rPr>
      </w:pPr>
      <w:r w:rsidRPr="008224FD">
        <w:rPr>
          <w:i/>
          <w:iCs/>
          <w:lang w:eastAsia="ar-SA"/>
        </w:rPr>
        <w:t>a)</w:t>
      </w:r>
      <w:r w:rsidRPr="008224FD">
        <w:rPr>
          <w:lang w:eastAsia="ar-SA"/>
        </w:rPr>
        <w:tab/>
        <w:t>met rapidement ces renseignements à disposition «tels qu'ils ont été reçus» sur le site web de</w:t>
      </w:r>
      <w:r w:rsidR="008224FD" w:rsidRPr="008224FD">
        <w:rPr>
          <w:lang w:eastAsia="ar-SA"/>
        </w:rPr>
        <w:t xml:space="preserve"> </w:t>
      </w:r>
      <w:r w:rsidRPr="008224FD">
        <w:rPr>
          <w:lang w:eastAsia="ar-SA"/>
        </w:rPr>
        <w:t>l'UIT;</w:t>
      </w:r>
    </w:p>
    <w:p w14:paraId="4901CDC0" w14:textId="77777777" w:rsidR="00756C3A" w:rsidRPr="008224FD" w:rsidRDefault="00586B89" w:rsidP="008224FD">
      <w:pPr>
        <w:pStyle w:val="enumlev1"/>
        <w:rPr>
          <w:lang w:eastAsia="ar-SA"/>
        </w:rPr>
      </w:pPr>
      <w:r w:rsidRPr="008224FD">
        <w:rPr>
          <w:i/>
          <w:iCs/>
          <w:lang w:eastAsia="ar-SA"/>
        </w:rPr>
        <w:t>b)</w:t>
      </w:r>
      <w:r w:rsidRPr="008224FD">
        <w:rPr>
          <w:lang w:eastAsia="ar-SA"/>
        </w:rPr>
        <w:tab/>
        <w:t>procède à un examen du point de vue de la conformité aux numéros </w:t>
      </w:r>
      <w:r w:rsidRPr="008224FD">
        <w:rPr>
          <w:b/>
          <w:bCs/>
          <w:lang w:eastAsia="ar-SA"/>
        </w:rPr>
        <w:t>11.43A</w:t>
      </w:r>
      <w:r w:rsidRPr="008224FD">
        <w:rPr>
          <w:lang w:eastAsia="ar-SA"/>
        </w:rPr>
        <w:t>/</w:t>
      </w:r>
      <w:r w:rsidRPr="008224FD">
        <w:rPr>
          <w:b/>
          <w:bCs/>
          <w:lang w:eastAsia="ar-SA"/>
        </w:rPr>
        <w:t>11.43B</w:t>
      </w:r>
      <w:r w:rsidRPr="008224FD">
        <w:rPr>
          <w:lang w:eastAsia="ar-SA"/>
        </w:rPr>
        <w:t>, selon le cas;</w:t>
      </w:r>
    </w:p>
    <w:p w14:paraId="653F0DF2" w14:textId="77777777" w:rsidR="00756C3A" w:rsidRPr="008224FD" w:rsidRDefault="00586B89" w:rsidP="008224FD">
      <w:pPr>
        <w:pStyle w:val="enumlev1"/>
        <w:rPr>
          <w:lang w:eastAsia="ar-SA"/>
        </w:rPr>
      </w:pPr>
      <w:r w:rsidRPr="008224FD">
        <w:rPr>
          <w:i/>
          <w:iCs/>
          <w:lang w:eastAsia="ar-SA"/>
        </w:rPr>
        <w:t>c)</w:t>
      </w:r>
      <w:r w:rsidRPr="008224FD">
        <w:rPr>
          <w:i/>
          <w:iCs/>
          <w:lang w:eastAsia="ar-SA"/>
        </w:rPr>
        <w:tab/>
      </w:r>
      <w:r w:rsidRPr="008224FD">
        <w:rPr>
          <w:lang w:eastAsia="ar-SA"/>
        </w:rPr>
        <w:t xml:space="preserve">aux fins du numéro </w:t>
      </w:r>
      <w:r w:rsidRPr="008224FD">
        <w:rPr>
          <w:b/>
          <w:bCs/>
          <w:lang w:eastAsia="ar-SA"/>
        </w:rPr>
        <w:t>11.43B</w:t>
      </w:r>
      <w:r w:rsidRPr="008224FD">
        <w:rPr>
          <w:lang w:eastAsia="ar-SA"/>
        </w:rPr>
        <w:t>, maintient les dates initiales d'inscription des assignations de fréquence dans le Fichier de référence si:</w:t>
      </w:r>
    </w:p>
    <w:p w14:paraId="3F06FCE4" w14:textId="77777777" w:rsidR="00756C3A" w:rsidRPr="008224FD" w:rsidRDefault="00586B89" w:rsidP="00756C3A">
      <w:pPr>
        <w:pStyle w:val="enumlev2"/>
        <w:tabs>
          <w:tab w:val="clear" w:pos="1134"/>
          <w:tab w:val="clear" w:pos="1871"/>
          <w:tab w:val="clear" w:pos="2608"/>
          <w:tab w:val="clear" w:pos="3345"/>
        </w:tabs>
      </w:pPr>
      <w:r w:rsidRPr="008224FD">
        <w:t>i)</w:t>
      </w:r>
      <w:r w:rsidRPr="008224FD">
        <w:tab/>
        <w:t>le BR parvient à une conclusion favorable relativement au numéro </w:t>
      </w:r>
      <w:r w:rsidRPr="008224FD">
        <w:rPr>
          <w:b/>
          <w:bCs/>
        </w:rPr>
        <w:t>11.31</w:t>
      </w:r>
      <w:r w:rsidRPr="008224FD">
        <w:t>; et</w:t>
      </w:r>
    </w:p>
    <w:p w14:paraId="0A2099F6" w14:textId="6A2D91AD" w:rsidR="00756C3A" w:rsidRPr="008224FD" w:rsidRDefault="00586B89" w:rsidP="00756C3A">
      <w:pPr>
        <w:pStyle w:val="enumlev2"/>
        <w:tabs>
          <w:tab w:val="clear" w:pos="1134"/>
          <w:tab w:val="clear" w:pos="1871"/>
          <w:tab w:val="clear" w:pos="2608"/>
          <w:tab w:val="clear" w:pos="3345"/>
        </w:tabs>
      </w:pPr>
      <w:r w:rsidRPr="008224FD">
        <w:t>ii)</w:t>
      </w:r>
      <w:r w:rsidRPr="008224FD">
        <w:tab/>
        <w:t>les modifications sont limitées à une réduction du nombre de plans orbitaux</w:t>
      </w:r>
      <w:r w:rsidR="008224FD" w:rsidRPr="008224FD">
        <w:t xml:space="preserve"> </w:t>
      </w:r>
      <w:r w:rsidRPr="008224FD">
        <w:t xml:space="preserve">(élément de données A.4.b.1 de l'Appendice </w:t>
      </w:r>
      <w:r w:rsidRPr="008224FD">
        <w:rPr>
          <w:b/>
          <w:bCs/>
        </w:rPr>
        <w:t>4</w:t>
      </w:r>
      <w:r w:rsidRPr="008224FD">
        <w:t>) et aux modifications de l'ascension droite du nœud ascendant de chaque plan (élément de données</w:t>
      </w:r>
      <w:r w:rsidR="00556FDE" w:rsidRPr="008224FD">
        <w:t> </w:t>
      </w:r>
      <w:r w:rsidRPr="008224FD">
        <w:t xml:space="preserve">A.4.b.5.a/A.4.b.4.g) de l'Appendice </w:t>
      </w:r>
      <w:r w:rsidRPr="008224FD">
        <w:rPr>
          <w:b/>
          <w:bCs/>
        </w:rPr>
        <w:t>4</w:t>
      </w:r>
      <w:r w:rsidRPr="008224FD">
        <w:t xml:space="preserve">), de la longitude du nœud ascendant (élément de données A.4.b.6.g) de l'Appendice </w:t>
      </w:r>
      <w:r w:rsidRPr="008224FD">
        <w:rPr>
          <w:b/>
          <w:bCs/>
        </w:rPr>
        <w:t>4</w:t>
      </w:r>
      <w:r w:rsidRPr="008224FD">
        <w:t>) et des date et heure</w:t>
      </w:r>
      <w:r w:rsidR="008224FD" w:rsidRPr="008224FD">
        <w:t xml:space="preserve"> </w:t>
      </w:r>
      <w:r w:rsidRPr="008224FD">
        <w:t xml:space="preserve">(éléments de données A.4.b.6.h et A.4.b.6.i.a) de l'Appendice </w:t>
      </w:r>
      <w:r w:rsidRPr="008224FD">
        <w:rPr>
          <w:b/>
          <w:bCs/>
        </w:rPr>
        <w:t>4</w:t>
      </w:r>
      <w:r w:rsidRPr="008224FD">
        <w:t>) associées aux plans orbitaux restants, ou à la réduction du nombre de stations spatiales par plan (élément de données A.4.b.4.b de l'Appendice </w:t>
      </w:r>
      <w:r w:rsidRPr="008224FD">
        <w:rPr>
          <w:b/>
          <w:bCs/>
        </w:rPr>
        <w:t>4</w:t>
      </w:r>
      <w:r w:rsidRPr="008224FD">
        <w:t xml:space="preserve">) ainsi qu'aux modifications de l'angle de phase initial des stations spatiales (élément de données A.4.b.5.b/h de l'Appendice </w:t>
      </w:r>
      <w:r w:rsidRPr="008224FD">
        <w:rPr>
          <w:b/>
          <w:bCs/>
        </w:rPr>
        <w:t>4</w:t>
      </w:r>
      <w:r w:rsidRPr="008224FD">
        <w:t>) à l'intérieur des plans; et</w:t>
      </w:r>
    </w:p>
    <w:p w14:paraId="1FBF31C2" w14:textId="705A14B6" w:rsidR="00756C3A" w:rsidRPr="008224FD" w:rsidRDefault="00586B89" w:rsidP="00756C3A">
      <w:pPr>
        <w:pStyle w:val="enumlev2"/>
        <w:tabs>
          <w:tab w:val="clear" w:pos="1134"/>
          <w:tab w:val="clear" w:pos="1871"/>
          <w:tab w:val="clear" w:pos="2608"/>
          <w:tab w:val="clear" w:pos="3345"/>
        </w:tabs>
        <w:rPr>
          <w:lang w:eastAsia="ar-SA"/>
        </w:rPr>
      </w:pPr>
      <w:r w:rsidRPr="008224FD">
        <w:t>iii)</w:t>
      </w:r>
      <w:r w:rsidRPr="008224FD">
        <w:tab/>
        <w:t>l'administration notificatrice fournit un engagement indiquant que les caractéristiques modifiées ne causeront pas plus de brouillages ni n'exigeront une plus grande protection que les caractéristiques fournies dans les renseignements de notification les plus récents publiés dans la Partie I-S de la</w:t>
      </w:r>
      <w:r w:rsidR="008224FD" w:rsidRPr="008224FD">
        <w:t xml:space="preserve"> </w:t>
      </w:r>
      <w:r w:rsidRPr="008224FD">
        <w:t xml:space="preserve">BR IFIC pour les assignations de fréquence (voir l'élément de données A.23.a de l'Appendice </w:t>
      </w:r>
      <w:r w:rsidRPr="008224FD">
        <w:rPr>
          <w:b/>
          <w:bCs/>
        </w:rPr>
        <w:t>4</w:t>
      </w:r>
      <w:r w:rsidRPr="008224FD">
        <w:t>);</w:t>
      </w:r>
    </w:p>
    <w:p w14:paraId="04E4AC95" w14:textId="77777777" w:rsidR="00756C3A" w:rsidRPr="008224FD" w:rsidRDefault="00586B89" w:rsidP="008224FD">
      <w:pPr>
        <w:pStyle w:val="enumlev1"/>
      </w:pPr>
      <w:r w:rsidRPr="008224FD">
        <w:rPr>
          <w:i/>
          <w:iCs/>
        </w:rPr>
        <w:t>d)</w:t>
      </w:r>
      <w:r w:rsidRPr="008224FD">
        <w:tab/>
        <w:t>publie les renseignements fournis et ses conclusions dans la BR IFIC;</w:t>
      </w:r>
    </w:p>
    <w:p w14:paraId="53BD8015" w14:textId="1F19DCEF" w:rsidR="00756C3A" w:rsidRPr="008224FD" w:rsidRDefault="00586B89" w:rsidP="008224FD">
      <w:pPr>
        <w:keepLines/>
        <w:tabs>
          <w:tab w:val="clear" w:pos="1134"/>
          <w:tab w:val="clear" w:pos="1871"/>
          <w:tab w:val="clear" w:pos="2268"/>
        </w:tabs>
        <w:rPr>
          <w:lang w:eastAsia="zh-CN"/>
        </w:rPr>
      </w:pPr>
      <w:r w:rsidRPr="008224FD">
        <w:rPr>
          <w:rFonts w:asciiTheme="majorBidi" w:hAnsiTheme="majorBidi" w:cstheme="majorBidi"/>
          <w:lang w:eastAsia="ar-SA"/>
        </w:rPr>
        <w:lastRenderedPageBreak/>
        <w:t>12</w:t>
      </w:r>
      <w:r w:rsidRPr="008224FD">
        <w:rPr>
          <w:rFonts w:asciiTheme="majorBidi" w:hAnsiTheme="majorBidi" w:cstheme="majorBidi"/>
          <w:lang w:eastAsia="ar-SA"/>
        </w:rPr>
        <w:tab/>
      </w:r>
      <w:r w:rsidRPr="008224FD">
        <w:rPr>
          <w:lang w:eastAsia="zh-CN"/>
        </w:rPr>
        <w:t xml:space="preserve">que, si une administration notificatrice ne fournit pas les renseignements requis au titre du </w:t>
      </w:r>
      <w:r w:rsidRPr="008224FD">
        <w:t xml:space="preserve">point 7 ou 9 </w:t>
      </w:r>
      <w:r w:rsidRPr="008224FD">
        <w:rPr>
          <w:iCs/>
        </w:rPr>
        <w:t>du</w:t>
      </w:r>
      <w:r w:rsidRPr="008224FD">
        <w:rPr>
          <w:i/>
          <w:iCs/>
        </w:rPr>
        <w:t xml:space="preserve"> décide</w:t>
      </w:r>
      <w:r w:rsidRPr="008224FD">
        <w:rPr>
          <w:iCs/>
        </w:rPr>
        <w:t>, selon le cas</w:t>
      </w:r>
      <w:r w:rsidRPr="008224FD">
        <w:t xml:space="preserve">, </w:t>
      </w:r>
      <w:r w:rsidRPr="008224FD">
        <w:rPr>
          <w:lang w:eastAsia="zh-CN"/>
        </w:rPr>
        <w:t xml:space="preserve">le BR lui enverra dans les meilleurs délais un rappel lui demandant de fournir les renseignements requis dans un délai de </w:t>
      </w:r>
      <w:del w:id="83" w:author="French" w:date="2023-11-09T15:36:00Z">
        <w:r w:rsidRPr="008224FD" w:rsidDel="00FA00C3">
          <w:rPr>
            <w:lang w:eastAsia="zh-CN"/>
          </w:rPr>
          <w:delText>30</w:delText>
        </w:r>
      </w:del>
      <w:ins w:id="84" w:author="French" w:date="2023-11-09T15:36:00Z">
        <w:r w:rsidR="00FA00C3" w:rsidRPr="008224FD">
          <w:rPr>
            <w:lang w:eastAsia="zh-CN"/>
          </w:rPr>
          <w:t>[45]</w:t>
        </w:r>
      </w:ins>
      <w:r w:rsidRPr="008224FD">
        <w:rPr>
          <w:lang w:eastAsia="zh-CN"/>
        </w:rPr>
        <w:t xml:space="preserve"> jours à compter de la date de ce rappel du BR;</w:t>
      </w:r>
    </w:p>
    <w:p w14:paraId="27E7890F" w14:textId="1349F781" w:rsidR="00756C3A" w:rsidRPr="008224FD" w:rsidRDefault="00586B89" w:rsidP="00756C3A">
      <w:pPr>
        <w:tabs>
          <w:tab w:val="clear" w:pos="1134"/>
          <w:tab w:val="clear" w:pos="1871"/>
          <w:tab w:val="clear" w:pos="2268"/>
        </w:tabs>
        <w:rPr>
          <w:lang w:eastAsia="zh-CN"/>
        </w:rPr>
      </w:pPr>
      <w:r w:rsidRPr="008224FD">
        <w:rPr>
          <w:lang w:eastAsia="zh-CN"/>
        </w:rPr>
        <w:t>13</w:t>
      </w:r>
      <w:r w:rsidRPr="008224FD">
        <w:rPr>
          <w:i/>
          <w:iCs/>
          <w:lang w:eastAsia="zh-CN"/>
        </w:rPr>
        <w:tab/>
      </w:r>
      <w:r w:rsidRPr="008224FD">
        <w:t xml:space="preserve">que, si une administration notificatrice ne fournit pas les renseignements après l'envoi du rappel au titre du point 12 du </w:t>
      </w:r>
      <w:r w:rsidRPr="008224FD">
        <w:rPr>
          <w:i/>
          <w:iCs/>
        </w:rPr>
        <w:t>décide</w:t>
      </w:r>
      <w:r w:rsidRPr="008224FD">
        <w:t xml:space="preserve">, le BR lui enverra un second rappel lui demandant de fournir les renseignements requis dans un délai de </w:t>
      </w:r>
      <w:del w:id="85" w:author="French" w:date="2023-11-09T15:36:00Z">
        <w:r w:rsidRPr="008224FD" w:rsidDel="00FA00C3">
          <w:delText>15</w:delText>
        </w:r>
      </w:del>
      <w:ins w:id="86" w:author="French" w:date="2023-11-09T15:36:00Z">
        <w:r w:rsidR="00FA00C3" w:rsidRPr="008224FD">
          <w:t>[30]</w:t>
        </w:r>
      </w:ins>
      <w:r w:rsidRPr="008224FD">
        <w:t xml:space="preserve"> jours à compter de la date du second rappel</w:t>
      </w:r>
      <w:r w:rsidRPr="008224FD">
        <w:rPr>
          <w:lang w:eastAsia="zh-CN"/>
        </w:rPr>
        <w:t>;</w:t>
      </w:r>
    </w:p>
    <w:p w14:paraId="7881DFB5" w14:textId="5241E4DA" w:rsidR="00756C3A" w:rsidRPr="008224FD" w:rsidRDefault="00586B89" w:rsidP="00556FDE">
      <w:pPr>
        <w:tabs>
          <w:tab w:val="clear" w:pos="1134"/>
          <w:tab w:val="clear" w:pos="1871"/>
          <w:tab w:val="clear" w:pos="2268"/>
        </w:tabs>
        <w:rPr>
          <w:szCs w:val="24"/>
        </w:rPr>
      </w:pPr>
      <w:r w:rsidRPr="008224FD">
        <w:rPr>
          <w:szCs w:val="24"/>
          <w:lang w:eastAsia="zh-CN"/>
        </w:rPr>
        <w:t>14</w:t>
      </w:r>
      <w:r w:rsidRPr="008224FD">
        <w:rPr>
          <w:i/>
          <w:iCs/>
          <w:szCs w:val="24"/>
          <w:lang w:eastAsia="zh-CN"/>
        </w:rPr>
        <w:tab/>
      </w:r>
      <w:r w:rsidRPr="008224FD">
        <w:t xml:space="preserve">que, si une administration notificatrice ne fournit pas les renseignements requis au titre du point 7 ou 9 du </w:t>
      </w:r>
      <w:r w:rsidRPr="008224FD">
        <w:rPr>
          <w:i/>
        </w:rPr>
        <w:t>décide</w:t>
      </w:r>
      <w:r w:rsidRPr="008224FD">
        <w:t xml:space="preserve">, selon le cas, </w:t>
      </w:r>
      <w:ins w:id="87" w:author="French" w:date="2023-11-13T16:33:00Z">
        <w:r w:rsidR="00FA44F4" w:rsidRPr="008224FD">
          <w:t xml:space="preserve">dans un délai de 45 jours, </w:t>
        </w:r>
      </w:ins>
      <w:r w:rsidRPr="008224FD">
        <w:t xml:space="preserve">après l'envoi des rappels visés aux points 12 et 13 du </w:t>
      </w:r>
      <w:r w:rsidRPr="008224FD">
        <w:rPr>
          <w:i/>
          <w:iCs/>
        </w:rPr>
        <w:t>décide</w:t>
      </w:r>
      <w:r w:rsidRPr="008224FD">
        <w:t xml:space="preserve">, le BR </w:t>
      </w:r>
      <w:r w:rsidRPr="008224FD">
        <w:rPr>
          <w:szCs w:val="24"/>
        </w:rPr>
        <w:t xml:space="preserve">ne prendra plus en considération les assignations de fréquence dans le cadre des examens ultérieurs au titre du numéro </w:t>
      </w:r>
      <w:r w:rsidRPr="008224FD">
        <w:rPr>
          <w:rStyle w:val="Artref"/>
          <w:b/>
          <w:szCs w:val="24"/>
        </w:rPr>
        <w:t>9.36</w:t>
      </w:r>
      <w:r w:rsidRPr="008224FD">
        <w:rPr>
          <w:bCs/>
          <w:szCs w:val="24"/>
        </w:rPr>
        <w:t>,</w:t>
      </w:r>
      <w:r w:rsidRPr="008224FD">
        <w:rPr>
          <w:b/>
          <w:szCs w:val="24"/>
        </w:rPr>
        <w:t xml:space="preserve"> </w:t>
      </w:r>
      <w:r w:rsidRPr="008224FD">
        <w:rPr>
          <w:rStyle w:val="Artref"/>
          <w:b/>
          <w:szCs w:val="24"/>
        </w:rPr>
        <w:t>11.32</w:t>
      </w:r>
      <w:r w:rsidRPr="008224FD">
        <w:rPr>
          <w:b/>
          <w:szCs w:val="24"/>
        </w:rPr>
        <w:t xml:space="preserve"> </w:t>
      </w:r>
      <w:r w:rsidRPr="008224FD">
        <w:rPr>
          <w:szCs w:val="24"/>
        </w:rPr>
        <w:t xml:space="preserve">ou </w:t>
      </w:r>
      <w:r w:rsidRPr="008224FD">
        <w:rPr>
          <w:rStyle w:val="Artref"/>
          <w:b/>
          <w:szCs w:val="24"/>
        </w:rPr>
        <w:t>11.32A</w:t>
      </w:r>
      <w:r w:rsidRPr="008224FD">
        <w:rPr>
          <w:b/>
          <w:szCs w:val="24"/>
        </w:rPr>
        <w:t xml:space="preserve"> </w:t>
      </w:r>
      <w:r w:rsidRPr="008224FD">
        <w:rPr>
          <w:bCs/>
          <w:szCs w:val="24"/>
        </w:rPr>
        <w:t>et informera les administrations dont des assignations de fréquence sont assujetties à la</w:t>
      </w:r>
      <w:r w:rsidRPr="008224FD">
        <w:rPr>
          <w:szCs w:val="24"/>
        </w:rPr>
        <w:t xml:space="preserve"> sous-section IA de l'Article</w:t>
      </w:r>
      <w:r w:rsidR="00556FDE" w:rsidRPr="008224FD">
        <w:rPr>
          <w:szCs w:val="24"/>
        </w:rPr>
        <w:t> </w:t>
      </w:r>
      <w:r w:rsidRPr="008224FD">
        <w:rPr>
          <w:rStyle w:val="Artref"/>
          <w:b/>
          <w:szCs w:val="24"/>
        </w:rPr>
        <w:t>9</w:t>
      </w:r>
      <w:r w:rsidRPr="008224FD">
        <w:rPr>
          <w:b/>
          <w:szCs w:val="24"/>
        </w:rPr>
        <w:t xml:space="preserve"> </w:t>
      </w:r>
      <w:r w:rsidRPr="008224FD">
        <w:rPr>
          <w:bCs/>
          <w:szCs w:val="24"/>
        </w:rPr>
        <w:t xml:space="preserve">que ces assignations ne doivent pas causer de brouillages préjudiciables aux autres assignations inscrites dans le Fichier de référence avec une conclusion favorable relativement au </w:t>
      </w:r>
      <w:r w:rsidRPr="008224FD">
        <w:rPr>
          <w:szCs w:val="24"/>
        </w:rPr>
        <w:t xml:space="preserve">numéro </w:t>
      </w:r>
      <w:r w:rsidRPr="008224FD">
        <w:rPr>
          <w:rStyle w:val="Artref"/>
          <w:b/>
          <w:szCs w:val="24"/>
        </w:rPr>
        <w:t>11.31</w:t>
      </w:r>
      <w:r w:rsidRPr="008224FD">
        <w:rPr>
          <w:rStyle w:val="Artref"/>
          <w:bCs/>
          <w:szCs w:val="24"/>
        </w:rPr>
        <w:t>,</w:t>
      </w:r>
      <w:r w:rsidRPr="008224FD">
        <w:rPr>
          <w:color w:val="000000"/>
        </w:rPr>
        <w:t xml:space="preserve"> ni demander à être protégées vis-à-vis de ces assignations</w:t>
      </w:r>
      <w:r w:rsidRPr="008224FD">
        <w:rPr>
          <w:bCs/>
          <w:szCs w:val="24"/>
        </w:rPr>
        <w:t>,</w:t>
      </w:r>
    </w:p>
    <w:p w14:paraId="29702C19" w14:textId="77777777" w:rsidR="00756C3A" w:rsidRPr="008224FD" w:rsidRDefault="00586B89" w:rsidP="00756C3A">
      <w:pPr>
        <w:pStyle w:val="Call"/>
      </w:pPr>
      <w:r w:rsidRPr="008224FD">
        <w:t>charge le Bureau des radiocommunications</w:t>
      </w:r>
    </w:p>
    <w:p w14:paraId="4F5892F9" w14:textId="77777777" w:rsidR="00756C3A" w:rsidRPr="008224FD" w:rsidRDefault="00586B89" w:rsidP="00756C3A">
      <w:r w:rsidRPr="008224FD">
        <w:t>1</w:t>
      </w:r>
      <w:r w:rsidRPr="008224FD">
        <w:tab/>
        <w:t>de prendre les mesures nécessaires pour mettre en œuvre la présente Résolution;</w:t>
      </w:r>
    </w:p>
    <w:p w14:paraId="140B36C6" w14:textId="77777777" w:rsidR="00756C3A" w:rsidRPr="008224FD" w:rsidRDefault="00586B89" w:rsidP="00756C3A">
      <w:r w:rsidRPr="008224FD">
        <w:t>2</w:t>
      </w:r>
      <w:r w:rsidRPr="008224FD">
        <w:tab/>
        <w:t>de présenter à la CMR-27 un rapport sur les difficultés éventuelles rencontrées dans la mise en œuvre de la présente Résolution;</w:t>
      </w:r>
    </w:p>
    <w:p w14:paraId="0D40F504" w14:textId="77777777" w:rsidR="00756C3A" w:rsidRPr="008224FD" w:rsidRDefault="00586B89" w:rsidP="00756C3A">
      <w:r w:rsidRPr="008224FD">
        <w:t>3</w:t>
      </w:r>
      <w:r w:rsidRPr="008224FD">
        <w:tab/>
        <w:t xml:space="preserve">de publier la liste des systèmes à satellites non OSG dont les assignations ne doivent pas causer de brouillages préjudiciables aux autres assignations de fréquence inscrites dans le Fichier de référence avec une conclusion favorable relativement au numéro </w:t>
      </w:r>
      <w:r w:rsidRPr="008224FD">
        <w:rPr>
          <w:b/>
          <w:bCs/>
        </w:rPr>
        <w:t>11.31</w:t>
      </w:r>
      <w:r w:rsidRPr="008224FD">
        <w:t xml:space="preserve">, ni demander à être protégées vis-à-vis de ces assignations, conformément au point 14 du </w:t>
      </w:r>
      <w:r w:rsidRPr="008224FD">
        <w:rPr>
          <w:i/>
          <w:iCs/>
        </w:rPr>
        <w:t xml:space="preserve">décide </w:t>
      </w:r>
      <w:r w:rsidRPr="008224FD">
        <w:t>ci-dessus.</w:t>
      </w:r>
    </w:p>
    <w:p w14:paraId="0537F56C" w14:textId="0115F3AE" w:rsidR="00FA44F4" w:rsidRPr="008224FD" w:rsidRDefault="00586B89" w:rsidP="00411C49">
      <w:pPr>
        <w:pStyle w:val="Reasons"/>
      </w:pPr>
      <w:r w:rsidRPr="008224FD">
        <w:rPr>
          <w:b/>
        </w:rPr>
        <w:t>Motifs:</w:t>
      </w:r>
      <w:r w:rsidRPr="008224FD">
        <w:tab/>
      </w:r>
      <w:r w:rsidR="00FA44F4" w:rsidRPr="008224FD">
        <w:t>Modifications à examiner plus avant.</w:t>
      </w:r>
    </w:p>
    <w:p w14:paraId="10045EF1" w14:textId="0B19B7E3" w:rsidR="002C723A" w:rsidRPr="008224FD" w:rsidRDefault="00FA00C3" w:rsidP="00FA00C3">
      <w:pPr>
        <w:jc w:val="center"/>
      </w:pPr>
      <w:r w:rsidRPr="008224FD">
        <w:t>______________</w:t>
      </w:r>
    </w:p>
    <w:sectPr w:rsidR="002C723A" w:rsidRPr="008224FD">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01CF" w14:textId="77777777" w:rsidR="00CB685A" w:rsidRDefault="00CB685A">
      <w:r>
        <w:separator/>
      </w:r>
    </w:p>
  </w:endnote>
  <w:endnote w:type="continuationSeparator" w:id="0">
    <w:p w14:paraId="38F7BBC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7AB2" w14:textId="2A1DCBD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B6B5C">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D040" w14:textId="227D818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F3ACE">
      <w:rPr>
        <w:lang w:val="en-US"/>
      </w:rPr>
      <w:t>P:\FRA\ITU-R\CONF-R\CMR23\100\111ADD22ADD2F.docx</w:t>
    </w:r>
    <w:r>
      <w:fldChar w:fldCharType="end"/>
    </w:r>
    <w:r w:rsidR="00586B89">
      <w:t xml:space="preserve"> (530271)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324A" w14:textId="0D64F241" w:rsidR="00936D25" w:rsidRPr="00586B89" w:rsidRDefault="00586B89" w:rsidP="00586B89">
    <w:pPr>
      <w:pStyle w:val="Footer"/>
      <w:rPr>
        <w:lang w:val="en-US"/>
      </w:rPr>
    </w:pPr>
    <w:r>
      <w:fldChar w:fldCharType="begin"/>
    </w:r>
    <w:r>
      <w:rPr>
        <w:lang w:val="en-US"/>
      </w:rPr>
      <w:instrText xml:space="preserve"> FILENAME \p  \* MERGEFORMAT </w:instrText>
    </w:r>
    <w:r>
      <w:fldChar w:fldCharType="separate"/>
    </w:r>
    <w:r w:rsidR="008F3ACE">
      <w:rPr>
        <w:lang w:val="en-US"/>
      </w:rPr>
      <w:t>P:\FRA\ITU-R\CONF-R\CMR23\100\111ADD22ADD2F.docx</w:t>
    </w:r>
    <w:r>
      <w:fldChar w:fldCharType="end"/>
    </w:r>
    <w:r>
      <w:t xml:space="preserve"> (530271)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361A" w14:textId="77777777" w:rsidR="00CB685A" w:rsidRDefault="00CB685A">
      <w:r>
        <w:rPr>
          <w:b/>
        </w:rPr>
        <w:t>_______________</w:t>
      </w:r>
    </w:p>
  </w:footnote>
  <w:footnote w:type="continuationSeparator" w:id="0">
    <w:p w14:paraId="223D597A" w14:textId="77777777" w:rsidR="00CB685A" w:rsidRDefault="00CB685A">
      <w:r>
        <w:continuationSeparator/>
      </w:r>
    </w:p>
  </w:footnote>
  <w:footnote w:id="1">
    <w:p w14:paraId="32734F41" w14:textId="695ED95D" w:rsidR="00756C3A" w:rsidRPr="00B4091C" w:rsidRDefault="00586B89" w:rsidP="00756C3A">
      <w:pPr>
        <w:pStyle w:val="FootnoteText"/>
        <w:spacing w:line="480" w:lineRule="auto"/>
        <w:rPr>
          <w:ins w:id="28" w:author="French" w:date="2022-11-04T12:38:00Z"/>
          <w:lang w:val="fr-CH"/>
        </w:rPr>
      </w:pPr>
      <w:ins w:id="29" w:author="French" w:date="2023-01-17T08:08:00Z">
        <w:r>
          <w:rPr>
            <w:rStyle w:val="FootnoteReference"/>
          </w:rPr>
          <w:t>1</w:t>
        </w:r>
      </w:ins>
      <w:ins w:id="30" w:author="French" w:date="2022-11-04T12:38:00Z">
        <w:r w:rsidRPr="00B4091C">
          <w:rPr>
            <w:lang w:val="fr-CH"/>
          </w:rPr>
          <w:tab/>
        </w:r>
        <w:r>
          <w:rPr>
            <w:lang w:val="fr-CH"/>
          </w:rPr>
          <w:t>Voir</w:t>
        </w:r>
        <w:r w:rsidRPr="003D67B1">
          <w:rPr>
            <w:lang w:val="fr-CH"/>
          </w:rPr>
          <w:t xml:space="preserve"> </w:t>
        </w:r>
        <w:r w:rsidRPr="00B4091C">
          <w:rPr>
            <w:lang w:val="fr-CH"/>
          </w:rPr>
          <w:t xml:space="preserve">également la Résolution </w:t>
        </w:r>
        <w:r w:rsidRPr="00B4091C">
          <w:rPr>
            <w:b/>
            <w:bCs/>
            <w:lang w:val="fr-CH"/>
          </w:rPr>
          <w:t>[</w:t>
        </w:r>
      </w:ins>
      <w:ins w:id="31" w:author="French" w:date="2023-11-09T15:20:00Z">
        <w:r w:rsidR="00896841">
          <w:rPr>
            <w:b/>
            <w:bCs/>
            <w:lang w:val="fr-CH"/>
          </w:rPr>
          <w:t>CHN/</w:t>
        </w:r>
      </w:ins>
      <w:ins w:id="32" w:author="French" w:date="2022-11-04T12:38:00Z">
        <w:r w:rsidRPr="00B4091C">
          <w:rPr>
            <w:b/>
            <w:bCs/>
            <w:lang w:val="fr-CH"/>
          </w:rPr>
          <w:t>A7(B)] (</w:t>
        </w:r>
        <w:r w:rsidRPr="009A06B3">
          <w:rPr>
            <w:b/>
            <w:bCs/>
            <w:lang w:val="fr-CH"/>
          </w:rPr>
          <w:t>CMR</w:t>
        </w:r>
        <w:r w:rsidRPr="00B4091C">
          <w:rPr>
            <w:b/>
            <w:bCs/>
            <w:lang w:val="fr-CH"/>
          </w:rPr>
          <w:t>-23)</w:t>
        </w:r>
        <w:r w:rsidRPr="00B4091C">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E5D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12F01A2" w14:textId="77777777" w:rsidR="004F1F8E" w:rsidRDefault="00225CF2" w:rsidP="00FD7AA3">
    <w:pPr>
      <w:pStyle w:val="Header"/>
    </w:pPr>
    <w:r>
      <w:t>WRC</w:t>
    </w:r>
    <w:r w:rsidR="00D3426F">
      <w:t>23</w:t>
    </w:r>
    <w:r w:rsidR="004F1F8E">
      <w:t>/</w:t>
    </w:r>
    <w:r w:rsidR="006A4B45">
      <w:t>111(Add.22)(Add.2)-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6461719">
    <w:abstractNumId w:val="0"/>
  </w:num>
  <w:num w:numId="2" w16cid:durableId="6271224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B95"/>
    <w:rsid w:val="00056715"/>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3FE6"/>
    <w:rsid w:val="00204306"/>
    <w:rsid w:val="00225CF2"/>
    <w:rsid w:val="00232F98"/>
    <w:rsid w:val="00232FD2"/>
    <w:rsid w:val="0026554E"/>
    <w:rsid w:val="002773A6"/>
    <w:rsid w:val="002A4622"/>
    <w:rsid w:val="002A6F8F"/>
    <w:rsid w:val="002B17E5"/>
    <w:rsid w:val="002C0EBF"/>
    <w:rsid w:val="002C28A4"/>
    <w:rsid w:val="002C723A"/>
    <w:rsid w:val="002D7E0A"/>
    <w:rsid w:val="00315AFE"/>
    <w:rsid w:val="003411F6"/>
    <w:rsid w:val="003606A6"/>
    <w:rsid w:val="0036650C"/>
    <w:rsid w:val="00392B78"/>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56FDE"/>
    <w:rsid w:val="00560874"/>
    <w:rsid w:val="00586B89"/>
    <w:rsid w:val="00586CF2"/>
    <w:rsid w:val="005A7C75"/>
    <w:rsid w:val="005C3768"/>
    <w:rsid w:val="005C6C3F"/>
    <w:rsid w:val="00613635"/>
    <w:rsid w:val="0062093D"/>
    <w:rsid w:val="00637ECF"/>
    <w:rsid w:val="00647B59"/>
    <w:rsid w:val="00690C7B"/>
    <w:rsid w:val="006A4B45"/>
    <w:rsid w:val="006B6B5C"/>
    <w:rsid w:val="006D4724"/>
    <w:rsid w:val="006F5FA2"/>
    <w:rsid w:val="0070076C"/>
    <w:rsid w:val="00701BAE"/>
    <w:rsid w:val="00721F04"/>
    <w:rsid w:val="00730E95"/>
    <w:rsid w:val="0074196B"/>
    <w:rsid w:val="007426B9"/>
    <w:rsid w:val="00764342"/>
    <w:rsid w:val="00774362"/>
    <w:rsid w:val="00786598"/>
    <w:rsid w:val="00790C74"/>
    <w:rsid w:val="007A04E8"/>
    <w:rsid w:val="007B2C34"/>
    <w:rsid w:val="007D04CE"/>
    <w:rsid w:val="007F282B"/>
    <w:rsid w:val="008224FD"/>
    <w:rsid w:val="00825C3F"/>
    <w:rsid w:val="00830086"/>
    <w:rsid w:val="00851625"/>
    <w:rsid w:val="00863C0A"/>
    <w:rsid w:val="00896841"/>
    <w:rsid w:val="008A3120"/>
    <w:rsid w:val="008A4B97"/>
    <w:rsid w:val="008C5B8E"/>
    <w:rsid w:val="008C5DD5"/>
    <w:rsid w:val="008C7123"/>
    <w:rsid w:val="008D41BE"/>
    <w:rsid w:val="008D58D3"/>
    <w:rsid w:val="008E3BC9"/>
    <w:rsid w:val="008F3ACE"/>
    <w:rsid w:val="00923064"/>
    <w:rsid w:val="00926961"/>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0B68"/>
    <w:rsid w:val="00BB1D82"/>
    <w:rsid w:val="00BC217E"/>
    <w:rsid w:val="00BD51C5"/>
    <w:rsid w:val="00BF26E7"/>
    <w:rsid w:val="00C1305F"/>
    <w:rsid w:val="00C53FCA"/>
    <w:rsid w:val="00C71DEB"/>
    <w:rsid w:val="00C76BAF"/>
    <w:rsid w:val="00C814B9"/>
    <w:rsid w:val="00CA042A"/>
    <w:rsid w:val="00CA1703"/>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7692C"/>
    <w:rsid w:val="00EA3F38"/>
    <w:rsid w:val="00EA5AB6"/>
    <w:rsid w:val="00EC7615"/>
    <w:rsid w:val="00ED16AA"/>
    <w:rsid w:val="00ED6B8D"/>
    <w:rsid w:val="00EE06FE"/>
    <w:rsid w:val="00EE3D7B"/>
    <w:rsid w:val="00EF662E"/>
    <w:rsid w:val="00F10064"/>
    <w:rsid w:val="00F148F1"/>
    <w:rsid w:val="00F321D8"/>
    <w:rsid w:val="00F711A7"/>
    <w:rsid w:val="00FA00C3"/>
    <w:rsid w:val="00FA3BBF"/>
    <w:rsid w:val="00FA44F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DAA39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4196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0C9DF-992F-41BB-89C6-AB5A8701A1B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5DD17E1-36B3-407C-9E99-17C3765C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64C8F82-5EFC-438F-A9DE-D2DFB2DC07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2155</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R23-WRC23-C-0111!A22-A2!MSW-F</vt:lpstr>
    </vt:vector>
  </TitlesOfParts>
  <Manager>Secrétariat général - Pool</Manager>
  <Company>Union internationale des télécommunications (UIT)</Company>
  <LinksUpToDate>false</LinksUpToDate>
  <CharactersWithSpaces>15133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R23-WRC23-C-0111!A22-A2!MSW-F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2023-11-14T07:04:00Z</dcterms:created>
  <dcterms:modified xsi:type="dcterms:W3CDTF">2023-11-14T08:42:00Z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