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6B23A2" w14:paraId="7B804E66" w14:textId="77777777" w:rsidTr="00F320AA">
        <w:trPr>
          <w:cantSplit/>
        </w:trPr>
        <w:tc>
          <w:tcPr>
            <w:tcW w:w="1418" w:type="dxa"/>
            <w:vAlign w:val="center"/>
          </w:tcPr>
          <w:p w14:paraId="7DD2E9A9" w14:textId="77777777" w:rsidR="00F320AA" w:rsidRPr="006B23A2" w:rsidRDefault="00F320AA" w:rsidP="00F320AA">
            <w:pPr>
              <w:spacing w:before="0"/>
              <w:rPr>
                <w:rFonts w:ascii="Verdana" w:hAnsi="Verdana"/>
                <w:position w:val="6"/>
              </w:rPr>
            </w:pPr>
            <w:r w:rsidRPr="006B23A2">
              <w:rPr>
                <w:noProof/>
              </w:rPr>
              <w:drawing>
                <wp:inline distT="0" distB="0" distL="0" distR="0" wp14:anchorId="3D063CB4" wp14:editId="3353A30D">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1F5AF2C1" w14:textId="77777777" w:rsidR="00F320AA" w:rsidRPr="006B23A2" w:rsidRDefault="00F320AA" w:rsidP="00F320AA">
            <w:pPr>
              <w:spacing w:before="400" w:after="48" w:line="240" w:lineRule="atLeast"/>
              <w:rPr>
                <w:rFonts w:ascii="Verdana" w:hAnsi="Verdana"/>
                <w:position w:val="6"/>
              </w:rPr>
            </w:pPr>
            <w:r w:rsidRPr="006B23A2">
              <w:rPr>
                <w:rFonts w:ascii="Verdana" w:hAnsi="Verdana" w:cs="Times"/>
                <w:b/>
                <w:position w:val="6"/>
                <w:sz w:val="22"/>
                <w:szCs w:val="22"/>
              </w:rPr>
              <w:t>World Radiocommunication Conference (WRC-23)</w:t>
            </w:r>
            <w:r w:rsidRPr="006B23A2">
              <w:rPr>
                <w:rFonts w:ascii="Verdana" w:hAnsi="Verdana" w:cs="Times"/>
                <w:b/>
                <w:position w:val="6"/>
                <w:sz w:val="26"/>
                <w:szCs w:val="26"/>
              </w:rPr>
              <w:br/>
            </w:r>
            <w:r w:rsidRPr="006B23A2">
              <w:rPr>
                <w:rFonts w:ascii="Verdana" w:hAnsi="Verdana"/>
                <w:b/>
                <w:bCs/>
                <w:position w:val="6"/>
                <w:sz w:val="18"/>
                <w:szCs w:val="18"/>
              </w:rPr>
              <w:t>Dubai, 20 November - 15 December 2023</w:t>
            </w:r>
          </w:p>
        </w:tc>
        <w:tc>
          <w:tcPr>
            <w:tcW w:w="1951" w:type="dxa"/>
            <w:vAlign w:val="center"/>
          </w:tcPr>
          <w:p w14:paraId="7F1FA16A" w14:textId="77777777" w:rsidR="00F320AA" w:rsidRPr="006B23A2" w:rsidRDefault="00EB0812" w:rsidP="00F320AA">
            <w:pPr>
              <w:spacing w:before="0" w:line="240" w:lineRule="atLeast"/>
            </w:pPr>
            <w:r w:rsidRPr="006B23A2">
              <w:rPr>
                <w:noProof/>
              </w:rPr>
              <w:drawing>
                <wp:inline distT="0" distB="0" distL="0" distR="0" wp14:anchorId="2AA30583" wp14:editId="4B17399F">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6B23A2" w14:paraId="7B9DCB2F" w14:textId="77777777">
        <w:trPr>
          <w:cantSplit/>
        </w:trPr>
        <w:tc>
          <w:tcPr>
            <w:tcW w:w="6911" w:type="dxa"/>
            <w:gridSpan w:val="2"/>
            <w:tcBorders>
              <w:bottom w:val="single" w:sz="12" w:space="0" w:color="auto"/>
            </w:tcBorders>
          </w:tcPr>
          <w:p w14:paraId="044C98AB" w14:textId="77777777" w:rsidR="00A066F1" w:rsidRPr="006B23A2"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0989841C" w14:textId="77777777" w:rsidR="00A066F1" w:rsidRPr="006B23A2" w:rsidRDefault="00A066F1" w:rsidP="00A066F1">
            <w:pPr>
              <w:spacing w:before="0" w:line="240" w:lineRule="atLeast"/>
              <w:rPr>
                <w:rFonts w:ascii="Verdana" w:hAnsi="Verdana"/>
                <w:szCs w:val="24"/>
              </w:rPr>
            </w:pPr>
          </w:p>
        </w:tc>
      </w:tr>
      <w:tr w:rsidR="00A066F1" w:rsidRPr="006B23A2" w14:paraId="419894A7" w14:textId="77777777">
        <w:trPr>
          <w:cantSplit/>
        </w:trPr>
        <w:tc>
          <w:tcPr>
            <w:tcW w:w="6911" w:type="dxa"/>
            <w:gridSpan w:val="2"/>
            <w:tcBorders>
              <w:top w:val="single" w:sz="12" w:space="0" w:color="auto"/>
            </w:tcBorders>
          </w:tcPr>
          <w:p w14:paraId="6F88BFEF" w14:textId="77777777" w:rsidR="00A066F1" w:rsidRPr="006B23A2"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6C382962" w14:textId="77777777" w:rsidR="00A066F1" w:rsidRPr="006B23A2" w:rsidRDefault="00A066F1" w:rsidP="00A066F1">
            <w:pPr>
              <w:spacing w:before="0" w:line="240" w:lineRule="atLeast"/>
              <w:rPr>
                <w:rFonts w:ascii="Verdana" w:hAnsi="Verdana"/>
                <w:sz w:val="20"/>
              </w:rPr>
            </w:pPr>
          </w:p>
        </w:tc>
      </w:tr>
      <w:tr w:rsidR="00A066F1" w:rsidRPr="006B23A2" w14:paraId="07E0DD1D" w14:textId="77777777">
        <w:trPr>
          <w:cantSplit/>
          <w:trHeight w:val="23"/>
        </w:trPr>
        <w:tc>
          <w:tcPr>
            <w:tcW w:w="6911" w:type="dxa"/>
            <w:gridSpan w:val="2"/>
            <w:shd w:val="clear" w:color="auto" w:fill="auto"/>
          </w:tcPr>
          <w:p w14:paraId="158BB4D8" w14:textId="77777777" w:rsidR="00A066F1" w:rsidRPr="006B23A2"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6B23A2">
              <w:rPr>
                <w:rFonts w:ascii="Verdana" w:hAnsi="Verdana"/>
                <w:sz w:val="20"/>
                <w:szCs w:val="20"/>
              </w:rPr>
              <w:t>PLENARY MEETING</w:t>
            </w:r>
          </w:p>
        </w:tc>
        <w:tc>
          <w:tcPr>
            <w:tcW w:w="3120" w:type="dxa"/>
            <w:gridSpan w:val="2"/>
          </w:tcPr>
          <w:p w14:paraId="2BA584B5" w14:textId="77777777" w:rsidR="00A066F1" w:rsidRPr="006B23A2" w:rsidRDefault="00E55816" w:rsidP="00AA666F">
            <w:pPr>
              <w:tabs>
                <w:tab w:val="left" w:pos="851"/>
              </w:tabs>
              <w:spacing w:before="0" w:line="240" w:lineRule="atLeast"/>
              <w:rPr>
                <w:rFonts w:ascii="Verdana" w:hAnsi="Verdana"/>
                <w:sz w:val="20"/>
              </w:rPr>
            </w:pPr>
            <w:r w:rsidRPr="006B23A2">
              <w:rPr>
                <w:rFonts w:ascii="Verdana" w:hAnsi="Verdana"/>
                <w:b/>
                <w:sz w:val="20"/>
              </w:rPr>
              <w:t>Addendum 1 to</w:t>
            </w:r>
            <w:r w:rsidRPr="006B23A2">
              <w:rPr>
                <w:rFonts w:ascii="Verdana" w:hAnsi="Verdana"/>
                <w:b/>
                <w:sz w:val="20"/>
              </w:rPr>
              <w:br/>
              <w:t>Document 111(Add.22)</w:t>
            </w:r>
            <w:r w:rsidR="00A066F1" w:rsidRPr="006B23A2">
              <w:rPr>
                <w:rFonts w:ascii="Verdana" w:hAnsi="Verdana"/>
                <w:b/>
                <w:sz w:val="20"/>
              </w:rPr>
              <w:t>-</w:t>
            </w:r>
            <w:r w:rsidR="005E10C9" w:rsidRPr="006B23A2">
              <w:rPr>
                <w:rFonts w:ascii="Verdana" w:hAnsi="Verdana"/>
                <w:b/>
                <w:sz w:val="20"/>
              </w:rPr>
              <w:t>E</w:t>
            </w:r>
          </w:p>
        </w:tc>
      </w:tr>
      <w:tr w:rsidR="00A066F1" w:rsidRPr="006B23A2" w14:paraId="55E3B2F6" w14:textId="77777777">
        <w:trPr>
          <w:cantSplit/>
          <w:trHeight w:val="23"/>
        </w:trPr>
        <w:tc>
          <w:tcPr>
            <w:tcW w:w="6911" w:type="dxa"/>
            <w:gridSpan w:val="2"/>
            <w:shd w:val="clear" w:color="auto" w:fill="auto"/>
          </w:tcPr>
          <w:p w14:paraId="588F4E57" w14:textId="77777777" w:rsidR="00A066F1" w:rsidRPr="006B23A2"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0CBD5146" w14:textId="77777777" w:rsidR="00A066F1" w:rsidRPr="006B23A2" w:rsidRDefault="00420873" w:rsidP="00A066F1">
            <w:pPr>
              <w:tabs>
                <w:tab w:val="left" w:pos="993"/>
              </w:tabs>
              <w:spacing w:before="0"/>
              <w:rPr>
                <w:rFonts w:ascii="Verdana" w:hAnsi="Verdana"/>
                <w:sz w:val="20"/>
              </w:rPr>
            </w:pPr>
            <w:r w:rsidRPr="006B23A2">
              <w:rPr>
                <w:rFonts w:ascii="Verdana" w:hAnsi="Verdana"/>
                <w:b/>
                <w:sz w:val="20"/>
              </w:rPr>
              <w:t>29 October 2023</w:t>
            </w:r>
          </w:p>
        </w:tc>
      </w:tr>
      <w:tr w:rsidR="00A066F1" w:rsidRPr="006B23A2" w14:paraId="7BF89A1B" w14:textId="77777777">
        <w:trPr>
          <w:cantSplit/>
          <w:trHeight w:val="23"/>
        </w:trPr>
        <w:tc>
          <w:tcPr>
            <w:tcW w:w="6911" w:type="dxa"/>
            <w:gridSpan w:val="2"/>
            <w:shd w:val="clear" w:color="auto" w:fill="auto"/>
          </w:tcPr>
          <w:p w14:paraId="1B555A9D" w14:textId="77777777" w:rsidR="00A066F1" w:rsidRPr="006B23A2"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34820B4F" w14:textId="77777777" w:rsidR="00A066F1" w:rsidRPr="006B23A2" w:rsidRDefault="00E55816" w:rsidP="00A066F1">
            <w:pPr>
              <w:tabs>
                <w:tab w:val="left" w:pos="993"/>
              </w:tabs>
              <w:spacing w:before="0"/>
              <w:rPr>
                <w:rFonts w:ascii="Verdana" w:hAnsi="Verdana"/>
                <w:b/>
                <w:sz w:val="20"/>
              </w:rPr>
            </w:pPr>
            <w:r w:rsidRPr="006B23A2">
              <w:rPr>
                <w:rFonts w:ascii="Verdana" w:hAnsi="Verdana"/>
                <w:b/>
                <w:sz w:val="20"/>
              </w:rPr>
              <w:t>Original: Chinese</w:t>
            </w:r>
          </w:p>
        </w:tc>
      </w:tr>
      <w:tr w:rsidR="00A066F1" w:rsidRPr="006B23A2" w14:paraId="3CFAF57F" w14:textId="77777777" w:rsidTr="00025864">
        <w:trPr>
          <w:cantSplit/>
          <w:trHeight w:val="23"/>
        </w:trPr>
        <w:tc>
          <w:tcPr>
            <w:tcW w:w="10031" w:type="dxa"/>
            <w:gridSpan w:val="4"/>
            <w:shd w:val="clear" w:color="auto" w:fill="auto"/>
          </w:tcPr>
          <w:p w14:paraId="0B3CF7CC" w14:textId="77777777" w:rsidR="00A066F1" w:rsidRPr="006B23A2" w:rsidRDefault="00A066F1" w:rsidP="00A066F1">
            <w:pPr>
              <w:tabs>
                <w:tab w:val="left" w:pos="993"/>
              </w:tabs>
              <w:spacing w:before="0"/>
              <w:rPr>
                <w:rFonts w:ascii="Verdana" w:hAnsi="Verdana"/>
                <w:b/>
                <w:sz w:val="20"/>
              </w:rPr>
            </w:pPr>
          </w:p>
        </w:tc>
      </w:tr>
      <w:tr w:rsidR="00E55816" w:rsidRPr="006B23A2" w14:paraId="238B88D5" w14:textId="77777777" w:rsidTr="00025864">
        <w:trPr>
          <w:cantSplit/>
          <w:trHeight w:val="23"/>
        </w:trPr>
        <w:tc>
          <w:tcPr>
            <w:tcW w:w="10031" w:type="dxa"/>
            <w:gridSpan w:val="4"/>
            <w:shd w:val="clear" w:color="auto" w:fill="auto"/>
          </w:tcPr>
          <w:p w14:paraId="02A8DF4F" w14:textId="77777777" w:rsidR="00E55816" w:rsidRPr="006B23A2" w:rsidRDefault="00884D60" w:rsidP="00E55816">
            <w:pPr>
              <w:pStyle w:val="Source"/>
            </w:pPr>
            <w:r w:rsidRPr="006B23A2">
              <w:t>China (People's Republic of)</w:t>
            </w:r>
          </w:p>
        </w:tc>
      </w:tr>
      <w:tr w:rsidR="00E55816" w:rsidRPr="006B23A2" w14:paraId="7F3FB78C" w14:textId="77777777" w:rsidTr="00025864">
        <w:trPr>
          <w:cantSplit/>
          <w:trHeight w:val="23"/>
        </w:trPr>
        <w:tc>
          <w:tcPr>
            <w:tcW w:w="10031" w:type="dxa"/>
            <w:gridSpan w:val="4"/>
            <w:shd w:val="clear" w:color="auto" w:fill="auto"/>
          </w:tcPr>
          <w:p w14:paraId="3B0D1086" w14:textId="3461EA4C" w:rsidR="00E55816" w:rsidRPr="006B23A2" w:rsidRDefault="00907FEC" w:rsidP="00E55816">
            <w:pPr>
              <w:pStyle w:val="Title1"/>
            </w:pPr>
            <w:r w:rsidRPr="006B23A2">
              <w:t>Proposals for the work of the Conference</w:t>
            </w:r>
          </w:p>
        </w:tc>
      </w:tr>
      <w:tr w:rsidR="00E55816" w:rsidRPr="006B23A2" w14:paraId="7D2FDC8A" w14:textId="77777777" w:rsidTr="00025864">
        <w:trPr>
          <w:cantSplit/>
          <w:trHeight w:val="23"/>
        </w:trPr>
        <w:tc>
          <w:tcPr>
            <w:tcW w:w="10031" w:type="dxa"/>
            <w:gridSpan w:val="4"/>
            <w:shd w:val="clear" w:color="auto" w:fill="auto"/>
          </w:tcPr>
          <w:p w14:paraId="4A717204" w14:textId="77777777" w:rsidR="00E55816" w:rsidRPr="006B23A2" w:rsidRDefault="00E55816" w:rsidP="00E55816">
            <w:pPr>
              <w:pStyle w:val="Title2"/>
            </w:pPr>
          </w:p>
        </w:tc>
      </w:tr>
      <w:tr w:rsidR="00A538A6" w:rsidRPr="006B23A2" w14:paraId="39FE88DB" w14:textId="77777777" w:rsidTr="00025864">
        <w:trPr>
          <w:cantSplit/>
          <w:trHeight w:val="23"/>
        </w:trPr>
        <w:tc>
          <w:tcPr>
            <w:tcW w:w="10031" w:type="dxa"/>
            <w:gridSpan w:val="4"/>
            <w:shd w:val="clear" w:color="auto" w:fill="auto"/>
          </w:tcPr>
          <w:p w14:paraId="302C9936" w14:textId="77777777" w:rsidR="00A538A6" w:rsidRPr="006B23A2" w:rsidRDefault="004B13CB" w:rsidP="004B13CB">
            <w:pPr>
              <w:pStyle w:val="Agendaitem"/>
              <w:rPr>
                <w:lang w:val="en-GB"/>
              </w:rPr>
            </w:pPr>
            <w:r w:rsidRPr="006B23A2">
              <w:rPr>
                <w:lang w:val="en-GB"/>
              </w:rPr>
              <w:t>Agenda item 7(A)</w:t>
            </w:r>
          </w:p>
        </w:tc>
      </w:tr>
    </w:tbl>
    <w:bookmarkEnd w:id="4"/>
    <w:bookmarkEnd w:id="5"/>
    <w:p w14:paraId="74D50409" w14:textId="77777777" w:rsidR="00187BD9" w:rsidRPr="006B23A2" w:rsidRDefault="00A35035" w:rsidP="007341B9">
      <w:r w:rsidRPr="006B23A2">
        <w:t>7</w:t>
      </w:r>
      <w:r w:rsidRPr="006B23A2">
        <w:tab/>
        <w:t>to consider possible changes, in response to Resolution 86 (Rev. Marrakesh, 2002) of the Plenipotentiary Conference, on advance publication, coordination, notification and recording procedures for frequency assignments pertaining to satellite networks, in accordance with Resolution </w:t>
      </w:r>
      <w:r w:rsidRPr="006B23A2">
        <w:rPr>
          <w:b/>
        </w:rPr>
        <w:t>86</w:t>
      </w:r>
      <w:r w:rsidRPr="006B23A2">
        <w:t xml:space="preserve"> </w:t>
      </w:r>
      <w:r w:rsidRPr="006B23A2">
        <w:rPr>
          <w:b/>
        </w:rPr>
        <w:t>(Rev.WRC</w:t>
      </w:r>
      <w:r w:rsidRPr="006B23A2">
        <w:rPr>
          <w:b/>
        </w:rPr>
        <w:noBreakHyphen/>
        <w:t>07)</w:t>
      </w:r>
      <w:r w:rsidRPr="006B23A2">
        <w:rPr>
          <w:bCs/>
        </w:rPr>
        <w:t>, in order to facilitate the rational, efficient and economical use of radio frequencies and any associated orbits, including the geostationary-satellite orbit;</w:t>
      </w:r>
    </w:p>
    <w:p w14:paraId="2B08BC3D" w14:textId="77777777" w:rsidR="00187BD9" w:rsidRPr="006B23A2" w:rsidRDefault="00A35035" w:rsidP="00AD530F">
      <w:r w:rsidRPr="006B23A2">
        <w:t xml:space="preserve">7(A) </w:t>
      </w:r>
      <w:r w:rsidRPr="006B23A2">
        <w:tab/>
        <w:t>Topic A - Tolerances for certain orbital characteristics of non-GSO space stations in the FSS, BSS or MSS</w:t>
      </w:r>
    </w:p>
    <w:p w14:paraId="56D9600F" w14:textId="77777777" w:rsidR="00907FEC" w:rsidRPr="006B23A2" w:rsidRDefault="00907FEC" w:rsidP="00907FEC"/>
    <w:p w14:paraId="6C46FCF5" w14:textId="63C5944A" w:rsidR="00907FEC" w:rsidRPr="006B23A2" w:rsidRDefault="007F7ED5" w:rsidP="00903AAB">
      <w:pPr>
        <w:pStyle w:val="Headingb"/>
        <w:rPr>
          <w:lang w:val="en-GB"/>
        </w:rPr>
      </w:pPr>
      <w:r w:rsidRPr="006B23A2">
        <w:rPr>
          <w:lang w:val="en-GB"/>
        </w:rPr>
        <w:t>Introduction</w:t>
      </w:r>
    </w:p>
    <w:p w14:paraId="7A633737" w14:textId="581ED3DE" w:rsidR="00907FEC" w:rsidRPr="006B23A2" w:rsidRDefault="007F7ED5" w:rsidP="00903AAB">
      <w:r w:rsidRPr="006B23A2">
        <w:t>This proposal is based on Method A2, Option A in the CPM Report, which proposes to draft a new Resolution</w:t>
      </w:r>
      <w:bookmarkStart w:id="6" w:name="_Hlk148084334"/>
      <w:r w:rsidRPr="006B23A2">
        <w:rPr>
          <w:b/>
          <w:bCs/>
        </w:rPr>
        <w:t xml:space="preserve"> [A7(A)-NGSO-FSS-BSS-MSS-Tolerance]</w:t>
      </w:r>
      <w:bookmarkEnd w:id="6"/>
      <w:r w:rsidR="003549BA" w:rsidRPr="006B23A2">
        <w:rPr>
          <w:b/>
          <w:bCs/>
        </w:rPr>
        <w:t xml:space="preserve"> (WRC-23)</w:t>
      </w:r>
      <w:r w:rsidRPr="006B23A2">
        <w:t xml:space="preserve">. </w:t>
      </w:r>
    </w:p>
    <w:p w14:paraId="4B4A2EB1" w14:textId="782768B0" w:rsidR="00907FEC" w:rsidRPr="006B23A2" w:rsidRDefault="007F7ED5" w:rsidP="00903AAB">
      <w:pPr>
        <w:pStyle w:val="Headingb"/>
        <w:rPr>
          <w:lang w:val="en-GB"/>
        </w:rPr>
      </w:pPr>
      <w:r w:rsidRPr="006B23A2">
        <w:rPr>
          <w:lang w:val="en-GB"/>
        </w:rPr>
        <w:t>Proposal</w:t>
      </w:r>
      <w:r w:rsidR="00A81B0F" w:rsidRPr="006B23A2">
        <w:rPr>
          <w:lang w:val="en-GB"/>
        </w:rPr>
        <w:t>s</w:t>
      </w:r>
    </w:p>
    <w:p w14:paraId="77EE23EC" w14:textId="4911F04A" w:rsidR="00907FEC" w:rsidRPr="006B23A2" w:rsidRDefault="007F7ED5" w:rsidP="00903AAB">
      <w:r w:rsidRPr="006B23A2">
        <w:t>Based on the corresponding APT common proposal, China proposes the following major modifications:</w:t>
      </w:r>
    </w:p>
    <w:p w14:paraId="0F856B98" w14:textId="6EF889A2" w:rsidR="007F7ED5" w:rsidRPr="006B23A2" w:rsidRDefault="00903AAB" w:rsidP="00903AAB">
      <w:pPr>
        <w:pStyle w:val="enumlev1"/>
      </w:pPr>
      <w:r w:rsidRPr="006B23A2">
        <w:t>1)</w:t>
      </w:r>
      <w:r w:rsidRPr="006B23A2">
        <w:tab/>
      </w:r>
      <w:r w:rsidR="007F7ED5" w:rsidRPr="006B23A2">
        <w:t xml:space="preserve">Reference to the new Resolution in RR Nos. </w:t>
      </w:r>
      <w:r w:rsidR="007F7ED5" w:rsidRPr="006B23A2">
        <w:rPr>
          <w:b/>
          <w:bCs/>
        </w:rPr>
        <w:t>11.44C</w:t>
      </w:r>
      <w:r w:rsidR="007F7ED5" w:rsidRPr="006B23A2">
        <w:t xml:space="preserve">, </w:t>
      </w:r>
      <w:r w:rsidR="007F7ED5" w:rsidRPr="006B23A2">
        <w:rPr>
          <w:b/>
          <w:bCs/>
        </w:rPr>
        <w:t>11.44D</w:t>
      </w:r>
      <w:r w:rsidR="007F7ED5" w:rsidRPr="006B23A2">
        <w:t xml:space="preserve">, </w:t>
      </w:r>
      <w:r w:rsidR="007F7ED5" w:rsidRPr="006B23A2">
        <w:rPr>
          <w:b/>
          <w:bCs/>
        </w:rPr>
        <w:t>11.49</w:t>
      </w:r>
      <w:r w:rsidR="007F7ED5" w:rsidRPr="006B23A2">
        <w:t xml:space="preserve"> and </w:t>
      </w:r>
      <w:r w:rsidR="007F7ED5" w:rsidRPr="006B23A2">
        <w:rPr>
          <w:b/>
          <w:bCs/>
        </w:rPr>
        <w:t>11.51</w:t>
      </w:r>
      <w:r w:rsidR="007F7ED5" w:rsidRPr="006B23A2">
        <w:t>;</w:t>
      </w:r>
    </w:p>
    <w:p w14:paraId="0C7D5B92" w14:textId="6D573772" w:rsidR="007F7ED5" w:rsidRPr="006B23A2" w:rsidRDefault="00903AAB" w:rsidP="00903AAB">
      <w:pPr>
        <w:pStyle w:val="enumlev1"/>
      </w:pPr>
      <w:r w:rsidRPr="006B23A2">
        <w:t>2)</w:t>
      </w:r>
      <w:r w:rsidRPr="006B23A2">
        <w:tab/>
      </w:r>
      <w:r w:rsidR="007F7ED5" w:rsidRPr="006B23A2">
        <w:t xml:space="preserve">The new Resolution applies to space stations with an orbital eccentricity less than 0.5 </w:t>
      </w:r>
      <w:r w:rsidR="00026792" w:rsidRPr="006B23A2">
        <w:t xml:space="preserve">and </w:t>
      </w:r>
      <w:r w:rsidR="007F7ED5" w:rsidRPr="006B23A2">
        <w:t xml:space="preserve">subject to Resolution </w:t>
      </w:r>
      <w:r w:rsidR="007F7ED5" w:rsidRPr="006B23A2">
        <w:rPr>
          <w:b/>
          <w:bCs/>
        </w:rPr>
        <w:t>35 (WRC-19)</w:t>
      </w:r>
      <w:r w:rsidR="007F7ED5" w:rsidRPr="006B23A2">
        <w:t xml:space="preserve"> with an apogee altitude less than 15 000 km;</w:t>
      </w:r>
    </w:p>
    <w:p w14:paraId="402EB01A" w14:textId="6113C65C" w:rsidR="007F7ED5" w:rsidRPr="006B23A2" w:rsidRDefault="00903AAB" w:rsidP="00903AAB">
      <w:pPr>
        <w:pStyle w:val="enumlev1"/>
      </w:pPr>
      <w:r w:rsidRPr="006B23A2">
        <w:t>3)</w:t>
      </w:r>
      <w:r w:rsidRPr="006B23A2">
        <w:tab/>
      </w:r>
      <w:r w:rsidR="000A5E3A" w:rsidRPr="006B23A2">
        <w:t xml:space="preserve">Introducing </w:t>
      </w:r>
      <w:r w:rsidR="007F7ED5" w:rsidRPr="006B23A2">
        <w:t xml:space="preserve">a </w:t>
      </w:r>
      <w:r w:rsidR="000A5E3A" w:rsidRPr="006B23A2">
        <w:t>tiered</w:t>
      </w:r>
      <w:r w:rsidR="007F7ED5" w:rsidRPr="006B23A2">
        <w:t xml:space="preserve"> option for tolerances of orbit altitude</w:t>
      </w:r>
      <w:r w:rsidR="000A5E3A" w:rsidRPr="006B23A2">
        <w:t>:</w:t>
      </w:r>
      <w:r w:rsidR="007F7ED5" w:rsidRPr="006B23A2">
        <w:t xml:space="preserve"> when the notified orbit altitude </w:t>
      </w:r>
      <w:r w:rsidR="00026792" w:rsidRPr="006B23A2">
        <w:t xml:space="preserve">is </w:t>
      </w:r>
      <w:r w:rsidR="007F7ED5" w:rsidRPr="006B23A2">
        <w:t>lower than or equal to 1</w:t>
      </w:r>
      <w:r w:rsidR="00770EE1" w:rsidRPr="006B23A2">
        <w:t> </w:t>
      </w:r>
      <w:r w:rsidR="007F7ED5" w:rsidRPr="006B23A2">
        <w:t>500 km</w:t>
      </w:r>
      <w:r w:rsidR="000A5E3A" w:rsidRPr="006B23A2">
        <w:t>,</w:t>
      </w:r>
      <w:r w:rsidR="007F7ED5" w:rsidRPr="006B23A2">
        <w:t xml:space="preserve"> the tolerance is fixed </w:t>
      </w:r>
      <w:r w:rsidR="000A5E3A" w:rsidRPr="006B23A2">
        <w:t xml:space="preserve">at a </w:t>
      </w:r>
      <w:r w:rsidR="007F7ED5" w:rsidRPr="006B23A2">
        <w:t>percentage of 5%</w:t>
      </w:r>
      <w:r w:rsidR="000A5E3A" w:rsidRPr="006B23A2">
        <w:t>;</w:t>
      </w:r>
      <w:r w:rsidR="007F7ED5" w:rsidRPr="006B23A2">
        <w:t xml:space="preserve"> when the notified orbit altitude </w:t>
      </w:r>
      <w:r w:rsidR="00026792" w:rsidRPr="006B23A2">
        <w:t xml:space="preserve">is </w:t>
      </w:r>
      <w:r w:rsidR="000A5E3A" w:rsidRPr="006B23A2">
        <w:t>greater</w:t>
      </w:r>
      <w:r w:rsidR="007F7ED5" w:rsidRPr="006B23A2">
        <w:t xml:space="preserve"> than 1</w:t>
      </w:r>
      <w:r w:rsidR="00770EE1" w:rsidRPr="006B23A2">
        <w:t> </w:t>
      </w:r>
      <w:r w:rsidR="007F7ED5" w:rsidRPr="006B23A2">
        <w:t>500 km</w:t>
      </w:r>
      <w:r w:rsidR="000A5E3A" w:rsidRPr="006B23A2">
        <w:t>,</w:t>
      </w:r>
      <w:r w:rsidR="007F7ED5" w:rsidRPr="006B23A2">
        <w:t xml:space="preserve"> the tolerance is fixed </w:t>
      </w:r>
      <w:r w:rsidR="000A5E3A" w:rsidRPr="006B23A2">
        <w:t xml:space="preserve">at a </w:t>
      </w:r>
      <w:r w:rsidR="007F7ED5" w:rsidRPr="006B23A2">
        <w:t>value of 100 km;</w:t>
      </w:r>
    </w:p>
    <w:p w14:paraId="2E21707E" w14:textId="10076979" w:rsidR="007F7ED5" w:rsidRPr="006B23A2" w:rsidRDefault="00903AAB" w:rsidP="00903AAB">
      <w:pPr>
        <w:pStyle w:val="enumlev1"/>
      </w:pPr>
      <w:r w:rsidRPr="006B23A2">
        <w:t>4)</w:t>
      </w:r>
      <w:r w:rsidRPr="006B23A2">
        <w:tab/>
      </w:r>
      <w:r w:rsidR="007F7ED5" w:rsidRPr="006B23A2">
        <w:t>Some editorial modifications.</w:t>
      </w:r>
    </w:p>
    <w:p w14:paraId="092A4A74" w14:textId="77777777" w:rsidR="00241FA2" w:rsidRPr="006B23A2" w:rsidRDefault="00241FA2" w:rsidP="00903AAB"/>
    <w:p w14:paraId="3676F2E6" w14:textId="77777777" w:rsidR="00187BD9" w:rsidRPr="006B23A2" w:rsidRDefault="00187BD9" w:rsidP="00187BD9">
      <w:pPr>
        <w:tabs>
          <w:tab w:val="clear" w:pos="1134"/>
          <w:tab w:val="clear" w:pos="1871"/>
          <w:tab w:val="clear" w:pos="2268"/>
        </w:tabs>
        <w:overflowPunct/>
        <w:autoSpaceDE/>
        <w:autoSpaceDN/>
        <w:adjustRightInd/>
        <w:spacing w:before="0"/>
        <w:textAlignment w:val="auto"/>
      </w:pPr>
      <w:r w:rsidRPr="006B23A2">
        <w:br w:type="page"/>
      </w:r>
    </w:p>
    <w:p w14:paraId="1F9A8ED2" w14:textId="77777777" w:rsidR="00A35035" w:rsidRPr="006B23A2" w:rsidRDefault="00A35035" w:rsidP="007F1392">
      <w:pPr>
        <w:pStyle w:val="ArtNo"/>
      </w:pPr>
      <w:bookmarkStart w:id="7" w:name="_Toc327956595"/>
      <w:bookmarkStart w:id="8" w:name="_Toc35789193"/>
      <w:bookmarkStart w:id="9" w:name="_Toc35856890"/>
      <w:bookmarkStart w:id="10" w:name="_Toc35877524"/>
      <w:bookmarkStart w:id="11" w:name="_Toc35963465"/>
      <w:bookmarkStart w:id="12" w:name="_Toc42842396"/>
      <w:r w:rsidRPr="006B23A2">
        <w:lastRenderedPageBreak/>
        <w:t xml:space="preserve">ARTICLE </w:t>
      </w:r>
      <w:r w:rsidRPr="006B23A2">
        <w:rPr>
          <w:rStyle w:val="href"/>
        </w:rPr>
        <w:t>11</w:t>
      </w:r>
      <w:bookmarkEnd w:id="7"/>
      <w:bookmarkEnd w:id="8"/>
      <w:bookmarkEnd w:id="9"/>
      <w:bookmarkEnd w:id="10"/>
      <w:bookmarkEnd w:id="11"/>
      <w:bookmarkEnd w:id="12"/>
    </w:p>
    <w:p w14:paraId="0765C4EA" w14:textId="77777777" w:rsidR="00A35035" w:rsidRPr="006B23A2" w:rsidRDefault="00A35035" w:rsidP="007F1392">
      <w:pPr>
        <w:pStyle w:val="Arttitle"/>
        <w:spacing w:before="120"/>
        <w:rPr>
          <w:sz w:val="16"/>
          <w:szCs w:val="16"/>
        </w:rPr>
      </w:pPr>
      <w:bookmarkStart w:id="13" w:name="_Toc327956596"/>
      <w:bookmarkStart w:id="14" w:name="_Toc35789194"/>
      <w:bookmarkStart w:id="15" w:name="_Toc35856891"/>
      <w:bookmarkStart w:id="16" w:name="_Toc35877525"/>
      <w:bookmarkStart w:id="17" w:name="_Toc35963466"/>
      <w:bookmarkStart w:id="18" w:name="_Toc42842397"/>
      <w:r w:rsidRPr="006B23A2">
        <w:t xml:space="preserve">Notification and recording of frequency </w:t>
      </w:r>
      <w:r w:rsidRPr="006B23A2">
        <w:br/>
        <w:t>assignments</w:t>
      </w:r>
      <w:r w:rsidRPr="006B23A2">
        <w:rPr>
          <w:rStyle w:val="FootnoteReference"/>
          <w:b w:val="0"/>
          <w:bCs/>
        </w:rPr>
        <w:t>1, 2, 3, 4, 5, 6, 7</w:t>
      </w:r>
      <w:r w:rsidRPr="006B23A2">
        <w:rPr>
          <w:b w:val="0"/>
          <w:bCs/>
          <w:sz w:val="16"/>
          <w:szCs w:val="16"/>
        </w:rPr>
        <w:t>    (WRC</w:t>
      </w:r>
      <w:r w:rsidRPr="006B23A2">
        <w:rPr>
          <w:b w:val="0"/>
          <w:bCs/>
          <w:sz w:val="16"/>
          <w:szCs w:val="16"/>
        </w:rPr>
        <w:noBreakHyphen/>
        <w:t>19)</w:t>
      </w:r>
      <w:bookmarkEnd w:id="13"/>
      <w:bookmarkEnd w:id="14"/>
      <w:bookmarkEnd w:id="15"/>
      <w:bookmarkEnd w:id="16"/>
      <w:bookmarkEnd w:id="17"/>
      <w:bookmarkEnd w:id="18"/>
    </w:p>
    <w:p w14:paraId="699C4CF1" w14:textId="77777777" w:rsidR="00A35035" w:rsidRPr="006B23A2" w:rsidRDefault="00A35035" w:rsidP="007F1392">
      <w:pPr>
        <w:pStyle w:val="Section1"/>
        <w:keepNext/>
      </w:pPr>
      <w:r w:rsidRPr="006B23A2">
        <w:t xml:space="preserve">Section II − Examination of notices and recording of frequency assignments </w:t>
      </w:r>
      <w:r w:rsidRPr="006B23A2">
        <w:br/>
        <w:t>in the Master Register</w:t>
      </w:r>
    </w:p>
    <w:p w14:paraId="48DB4187" w14:textId="0BB6A18A" w:rsidR="008E05F4" w:rsidRPr="006B23A2" w:rsidRDefault="00A35035">
      <w:pPr>
        <w:pStyle w:val="Proposal"/>
      </w:pPr>
      <w:r w:rsidRPr="006B23A2">
        <w:t>MOD</w:t>
      </w:r>
      <w:r w:rsidRPr="006B23A2">
        <w:tab/>
      </w:r>
      <w:r w:rsidR="0088493D">
        <w:t>CHN/111A22A1/1</w:t>
      </w:r>
      <w:r w:rsidR="0088493D">
        <w:rPr>
          <w:vanish/>
          <w:color w:val="7F7F7F" w:themeColor="text1" w:themeTint="80"/>
          <w:vertAlign w:val="superscript"/>
        </w:rPr>
        <w:t>#2418</w:t>
      </w:r>
    </w:p>
    <w:p w14:paraId="1E6DBAE0" w14:textId="3FC5BA13" w:rsidR="00A35035" w:rsidRPr="006B23A2" w:rsidRDefault="00A35035" w:rsidP="007F1392">
      <w:pPr>
        <w:rPr>
          <w:sz w:val="16"/>
          <w:szCs w:val="16"/>
        </w:rPr>
      </w:pPr>
      <w:r w:rsidRPr="006B23A2">
        <w:rPr>
          <w:rStyle w:val="Artdef"/>
        </w:rPr>
        <w:t>11.44C</w:t>
      </w:r>
      <w:r w:rsidRPr="006B23A2">
        <w:tab/>
      </w:r>
      <w:r w:rsidRPr="006B23A2">
        <w:tab/>
      </w:r>
      <w:r w:rsidR="00011D63" w:rsidRPr="00F775ED">
        <w:rPr>
          <w:noProof/>
        </w:rPr>
        <w:t>A frequency assignment to a space station in a non-geostationary-satellite orbit network or system in the fixed-satellite service, the mobile-satellite service or the broadcasting-satellite service shall be considered as having been brought into use when a space station with the capability of transmitting or receiving that frequency assignment has been deployed and maintained on one of the notified orbital plane(s)</w:t>
      </w:r>
      <w:ins w:id="19" w:author="Canada" w:date="2022-08-31T16:36:00Z">
        <w:r w:rsidR="00011D63" w:rsidRPr="00F775ED">
          <w:rPr>
            <w:rStyle w:val="FootnoteReference"/>
            <w:noProof/>
          </w:rPr>
          <w:t>MOD</w:t>
        </w:r>
      </w:ins>
      <w:ins w:id="20" w:author="Turnbull, Karen" w:date="2022-10-17T16:09:00Z">
        <w:r w:rsidR="00011D63" w:rsidRPr="00F775ED">
          <w:rPr>
            <w:rStyle w:val="FootnoteReference"/>
            <w:noProof/>
          </w:rPr>
          <w:t> </w:t>
        </w:r>
      </w:ins>
      <w:r w:rsidR="00011D63" w:rsidRPr="00F775ED">
        <w:rPr>
          <w:rStyle w:val="FootnoteReference"/>
          <w:noProof/>
        </w:rPr>
        <w:t>27</w:t>
      </w:r>
      <w:r w:rsidR="00011D63" w:rsidRPr="00F775ED">
        <w:rPr>
          <w:noProof/>
        </w:rPr>
        <w:t xml:space="preserve"> of the non</w:t>
      </w:r>
      <w:r w:rsidR="00011D63" w:rsidRPr="00F775ED">
        <w:rPr>
          <w:noProof/>
        </w:rPr>
        <w:noBreakHyphen/>
        <w:t>geostationary satellite network or system for a continuous period of 90 days, irrespective of the notified number of orbital planes and satellites per orbital plane in the network or system. The notifying administration shall so inform the Bureau within 30 days from the end of the 90</w:t>
      </w:r>
      <w:r w:rsidR="00011D63" w:rsidRPr="00F775ED">
        <w:rPr>
          <w:noProof/>
        </w:rPr>
        <w:noBreakHyphen/>
        <w:t>day period</w:t>
      </w:r>
      <w:r w:rsidR="00011D63" w:rsidRPr="00F775ED">
        <w:rPr>
          <w:rStyle w:val="FootnoteReference"/>
          <w:noProof/>
        </w:rPr>
        <w:t>25, 28, 29</w:t>
      </w:r>
      <w:r w:rsidR="00011D63" w:rsidRPr="00F775ED">
        <w:rPr>
          <w:noProof/>
        </w:rPr>
        <w:t>. On receipt of the information sent under this provision, the Bureau shall make that information available on the ITU website as soon as possible and shall publish it in the BR IFIC subsequently.</w:t>
      </w:r>
      <w:r w:rsidR="00011D63" w:rsidRPr="00F775ED">
        <w:rPr>
          <w:noProof/>
          <w:sz w:val="16"/>
          <w:szCs w:val="16"/>
        </w:rPr>
        <w:t>     (WRC</w:t>
      </w:r>
      <w:r w:rsidR="00011D63" w:rsidRPr="00F775ED">
        <w:rPr>
          <w:noProof/>
          <w:sz w:val="16"/>
          <w:szCs w:val="16"/>
        </w:rPr>
        <w:noBreakHyphen/>
      </w:r>
      <w:del w:id="21" w:author="Canada" w:date="2022-08-31T16:36:00Z">
        <w:r w:rsidR="00011D63" w:rsidRPr="00F775ED" w:rsidDel="001D7BA2">
          <w:rPr>
            <w:noProof/>
            <w:sz w:val="16"/>
            <w:szCs w:val="16"/>
          </w:rPr>
          <w:delText>19</w:delText>
        </w:r>
      </w:del>
      <w:ins w:id="22" w:author="Canada" w:date="2022-08-31T16:36:00Z">
        <w:r w:rsidR="00011D63" w:rsidRPr="00F775ED">
          <w:rPr>
            <w:noProof/>
            <w:sz w:val="16"/>
            <w:szCs w:val="16"/>
          </w:rPr>
          <w:t>23</w:t>
        </w:r>
      </w:ins>
      <w:r w:rsidR="00011D63" w:rsidRPr="00F775ED">
        <w:rPr>
          <w:noProof/>
          <w:sz w:val="16"/>
          <w:szCs w:val="16"/>
        </w:rPr>
        <w:t>)</w:t>
      </w:r>
    </w:p>
    <w:p w14:paraId="72A6ED40" w14:textId="6D2CA1E8" w:rsidR="008E05F4" w:rsidRPr="006B23A2" w:rsidRDefault="00A35035">
      <w:pPr>
        <w:pStyle w:val="Reasons"/>
      </w:pPr>
      <w:r w:rsidRPr="006B23A2">
        <w:rPr>
          <w:b/>
        </w:rPr>
        <w:t>Reasons:</w:t>
      </w:r>
      <w:r w:rsidRPr="006B23A2">
        <w:tab/>
      </w:r>
      <w:r w:rsidR="000A5E3A" w:rsidRPr="006B23A2">
        <w:rPr>
          <w:bCs/>
          <w:lang w:eastAsia="zh-CN"/>
        </w:rPr>
        <w:t xml:space="preserve">Modifications to related provisions to provide </w:t>
      </w:r>
      <w:r w:rsidR="00770EE1" w:rsidRPr="006B23A2">
        <w:rPr>
          <w:bCs/>
          <w:lang w:eastAsia="zh-CN"/>
        </w:rPr>
        <w:t>a</w:t>
      </w:r>
      <w:r w:rsidR="000A5E3A" w:rsidRPr="006B23A2">
        <w:rPr>
          <w:bCs/>
          <w:lang w:eastAsia="zh-CN"/>
        </w:rPr>
        <w:t xml:space="preserve"> reference to the new Resolution. </w:t>
      </w:r>
    </w:p>
    <w:p w14:paraId="08E8B434" w14:textId="395C08C5" w:rsidR="008E05F4" w:rsidRPr="006B23A2" w:rsidRDefault="00A35035">
      <w:pPr>
        <w:pStyle w:val="Proposal"/>
      </w:pPr>
      <w:r w:rsidRPr="006B23A2">
        <w:t>MOD</w:t>
      </w:r>
      <w:r w:rsidRPr="006B23A2">
        <w:tab/>
        <w:t>CHN/111A22A1/</w:t>
      </w:r>
      <w:r w:rsidR="009E1C5A" w:rsidRPr="006B23A2">
        <w:t>2</w:t>
      </w:r>
      <w:r w:rsidRPr="006B23A2">
        <w:rPr>
          <w:vanish/>
          <w:color w:val="7F7F7F" w:themeColor="text1" w:themeTint="80"/>
          <w:vertAlign w:val="superscript"/>
        </w:rPr>
        <w:t>#1968</w:t>
      </w:r>
    </w:p>
    <w:p w14:paraId="2994097F" w14:textId="77777777" w:rsidR="00903AAB" w:rsidRPr="006B23A2" w:rsidRDefault="00903AAB" w:rsidP="00903AAB">
      <w:pPr>
        <w:keepNext/>
      </w:pPr>
      <w:r w:rsidRPr="006B23A2">
        <w:t>_______________</w:t>
      </w:r>
    </w:p>
    <w:p w14:paraId="131C4A5C" w14:textId="14B5A64F" w:rsidR="00A35035" w:rsidRPr="006B23A2" w:rsidRDefault="00A35035" w:rsidP="004E394A">
      <w:pPr>
        <w:pStyle w:val="FootnoteText"/>
      </w:pPr>
      <w:r w:rsidRPr="006B23A2">
        <w:rPr>
          <w:rStyle w:val="EndnoteReference"/>
        </w:rPr>
        <w:t>27</w:t>
      </w:r>
      <w:r w:rsidRPr="006B23A2">
        <w:t xml:space="preserve"> </w:t>
      </w:r>
      <w:r w:rsidRPr="006B23A2">
        <w:tab/>
      </w:r>
      <w:r w:rsidRPr="006B23A2">
        <w:rPr>
          <w:rStyle w:val="Artdef"/>
        </w:rPr>
        <w:t>11.44C.1</w:t>
      </w:r>
      <w:r w:rsidRPr="006B23A2">
        <w:rPr>
          <w:bCs/>
        </w:rPr>
        <w:t xml:space="preserve"> and</w:t>
      </w:r>
      <w:r w:rsidRPr="006B23A2">
        <w:rPr>
          <w:b/>
          <w:bCs/>
        </w:rPr>
        <w:t xml:space="preserve"> </w:t>
      </w:r>
      <w:r w:rsidRPr="006B23A2">
        <w:rPr>
          <w:b/>
        </w:rPr>
        <w:t>11.44D.1</w:t>
      </w:r>
      <w:r w:rsidRPr="006B23A2">
        <w:tab/>
        <w:t>For the purposes of</w:t>
      </w:r>
      <w:r w:rsidRPr="006B23A2">
        <w:rPr>
          <w:b/>
        </w:rPr>
        <w:t xml:space="preserve"> </w:t>
      </w:r>
      <w:r w:rsidRPr="006B23A2">
        <w:t>No. </w:t>
      </w:r>
      <w:r w:rsidRPr="006B23A2">
        <w:rPr>
          <w:rStyle w:val="Artref"/>
          <w:b/>
          <w:bCs/>
        </w:rPr>
        <w:t>11.44C</w:t>
      </w:r>
      <w:r w:rsidRPr="006B23A2">
        <w:rPr>
          <w:bCs/>
        </w:rPr>
        <w:t xml:space="preserve"> or No. </w:t>
      </w:r>
      <w:r w:rsidRPr="006B23A2">
        <w:rPr>
          <w:rStyle w:val="Artref"/>
          <w:b/>
          <w:bCs/>
        </w:rPr>
        <w:t>11.44D</w:t>
      </w:r>
      <w:r w:rsidRPr="006B23A2">
        <w:t>, the term “notified orbital plane” means an orbital plane of the non-geostationary-satellite system, as provided to the Bureau in the most recent notification information for the system’s frequency assignments, that corresponds to Items A.4.b.4.a, A.4.b.4.d, A.4.b.4.e and A.4.b.5.c (only for orbits whose altitudes of the apogee and perigee are different) in Table A of Annex 2 to Appendix </w:t>
      </w:r>
      <w:r w:rsidRPr="006B23A2">
        <w:rPr>
          <w:rStyle w:val="Appref"/>
          <w:b/>
          <w:bCs/>
        </w:rPr>
        <w:t>4</w:t>
      </w:r>
      <w:r w:rsidRPr="006B23A2">
        <w:t>.</w:t>
      </w:r>
      <w:ins w:id="23" w:author="Canada" w:date="2022-04-03T15:37:00Z">
        <w:r w:rsidRPr="006B23A2">
          <w:t xml:space="preserve"> </w:t>
        </w:r>
      </w:ins>
      <w:ins w:id="24" w:author="Tao, Yingsheng" w:date="2023-11-03T11:36:00Z">
        <w:r w:rsidR="0028180D" w:rsidRPr="006B23A2">
          <w:t>U</w:t>
        </w:r>
      </w:ins>
      <w:ins w:id="25" w:author="Tao, Yingsheng" w:date="2023-11-03T11:37:00Z">
        <w:r w:rsidR="0028180D" w:rsidRPr="006B23A2">
          <w:t xml:space="preserve">nder </w:t>
        </w:r>
      </w:ins>
      <w:ins w:id="26" w:author="Canada" w:date="2022-04-03T15:37:00Z">
        <w:r w:rsidRPr="006B23A2">
          <w:t>No.</w:t>
        </w:r>
      </w:ins>
      <w:ins w:id="27" w:author="Turnbull, Karen" w:date="2022-10-17T16:13:00Z">
        <w:r w:rsidRPr="006B23A2">
          <w:t> </w:t>
        </w:r>
      </w:ins>
      <w:ins w:id="28" w:author="Canada" w:date="2022-04-03T15:37:00Z">
        <w:r w:rsidRPr="006B23A2">
          <w:rPr>
            <w:rStyle w:val="Artref"/>
            <w:b/>
            <w:bCs/>
          </w:rPr>
          <w:t>11.44</w:t>
        </w:r>
      </w:ins>
      <w:ins w:id="29" w:author="Canada" w:date="2022-04-03T15:38:00Z">
        <w:r w:rsidRPr="006B23A2">
          <w:rPr>
            <w:rStyle w:val="Artref"/>
            <w:b/>
            <w:bCs/>
          </w:rPr>
          <w:t>C</w:t>
        </w:r>
        <w:r w:rsidRPr="006B23A2">
          <w:t xml:space="preserve">, Resolution </w:t>
        </w:r>
        <w:r w:rsidRPr="006B23A2">
          <w:rPr>
            <w:b/>
            <w:bCs/>
          </w:rPr>
          <w:t>[</w:t>
        </w:r>
      </w:ins>
      <w:ins w:id="30" w:author="ITU" w:date="2022-09-21T00:53:00Z">
        <w:r w:rsidRPr="006B23A2">
          <w:rPr>
            <w:b/>
            <w:bCs/>
          </w:rPr>
          <w:t>A7(A)-</w:t>
        </w:r>
      </w:ins>
      <w:ins w:id="31" w:author="Canada" w:date="2022-04-03T15:38:00Z">
        <w:r w:rsidRPr="006B23A2">
          <w:rPr>
            <w:b/>
            <w:bCs/>
          </w:rPr>
          <w:t>NGSO-</w:t>
        </w:r>
      </w:ins>
      <w:ins w:id="32" w:author="LUX" w:date="2022-09-06T14:20:00Z">
        <w:r w:rsidRPr="006B23A2">
          <w:rPr>
            <w:b/>
            <w:bCs/>
          </w:rPr>
          <w:t>FSS-BSS-MSS</w:t>
        </w:r>
        <w:r w:rsidRPr="006B23A2">
          <w:t>-</w:t>
        </w:r>
      </w:ins>
      <w:ins w:id="33" w:author="Canada" w:date="2022-04-03T15:38:00Z">
        <w:r w:rsidRPr="006B23A2">
          <w:rPr>
            <w:b/>
            <w:bCs/>
          </w:rPr>
          <w:t>Tolerance</w:t>
        </w:r>
      </w:ins>
      <w:ins w:id="34" w:author="ITU" w:date="2023-11-06T16:11:00Z">
        <w:r w:rsidR="00B0339D" w:rsidRPr="006B23A2">
          <w:rPr>
            <w:b/>
            <w:bCs/>
          </w:rPr>
          <w:t>-Option A</w:t>
        </w:r>
      </w:ins>
      <w:ins w:id="35" w:author="Canada" w:date="2022-04-03T15:38:00Z">
        <w:r w:rsidRPr="006B23A2">
          <w:rPr>
            <w:b/>
            <w:bCs/>
          </w:rPr>
          <w:t xml:space="preserve">] </w:t>
        </w:r>
      </w:ins>
      <w:ins w:id="36" w:author="Canada" w:date="2022-04-03T15:40:00Z">
        <w:r w:rsidRPr="006B23A2">
          <w:rPr>
            <w:b/>
            <w:bCs/>
          </w:rPr>
          <w:t>(</w:t>
        </w:r>
      </w:ins>
      <w:ins w:id="37" w:author="Canada" w:date="2022-04-03T15:39:00Z">
        <w:r w:rsidRPr="006B23A2">
          <w:rPr>
            <w:b/>
            <w:bCs/>
          </w:rPr>
          <w:t>WRC</w:t>
        </w:r>
      </w:ins>
      <w:ins w:id="38" w:author="Turnbull, Karen" w:date="2022-10-17T16:13:00Z">
        <w:r w:rsidRPr="006B23A2">
          <w:rPr>
            <w:b/>
            <w:bCs/>
          </w:rPr>
          <w:noBreakHyphen/>
        </w:r>
      </w:ins>
      <w:ins w:id="39" w:author="Canada" w:date="2022-04-03T15:39:00Z">
        <w:r w:rsidRPr="006B23A2">
          <w:rPr>
            <w:b/>
            <w:bCs/>
          </w:rPr>
          <w:t>23</w:t>
        </w:r>
      </w:ins>
      <w:ins w:id="40" w:author="Canada" w:date="2022-04-03T15:40:00Z">
        <w:r w:rsidRPr="006B23A2">
          <w:rPr>
            <w:b/>
            <w:bCs/>
          </w:rPr>
          <w:t>)</w:t>
        </w:r>
      </w:ins>
      <w:ins w:id="41" w:author="Canada" w:date="2022-04-03T15:39:00Z">
        <w:r w:rsidRPr="006B23A2">
          <w:t xml:space="preserve"> </w:t>
        </w:r>
      </w:ins>
      <w:ins w:id="42" w:author="Canada" w:date="2022-04-03T15:38:00Z">
        <w:r w:rsidRPr="006B23A2">
          <w:t xml:space="preserve">also </w:t>
        </w:r>
      </w:ins>
      <w:ins w:id="43" w:author="Canada" w:date="2022-04-03T15:39:00Z">
        <w:r w:rsidRPr="006B23A2">
          <w:t>applies</w:t>
        </w:r>
      </w:ins>
      <w:ins w:id="44" w:author="Canada" w:date="2022-04-03T15:38:00Z">
        <w:r w:rsidRPr="006B23A2">
          <w:t xml:space="preserve"> </w:t>
        </w:r>
      </w:ins>
      <w:ins w:id="45" w:author="Tao, Yingsheng" w:date="2023-11-03T14:26:00Z">
        <w:r w:rsidR="007250D0" w:rsidRPr="006B23A2">
          <w:t>t</w:t>
        </w:r>
      </w:ins>
      <w:ins w:id="46" w:author="LUX" w:date="2022-07-13T09:12:00Z">
        <w:r w:rsidRPr="006B23A2">
          <w:t xml:space="preserve">o space stations of a non-GSO FSS, BSS </w:t>
        </w:r>
      </w:ins>
      <w:ins w:id="47" w:author="Tao, Yingsheng" w:date="2023-11-03T11:37:00Z">
        <w:r w:rsidR="0028180D" w:rsidRPr="006B23A2">
          <w:t>and</w:t>
        </w:r>
      </w:ins>
      <w:ins w:id="48" w:author="LUX" w:date="2022-07-13T09:12:00Z">
        <w:r w:rsidRPr="006B23A2">
          <w:t xml:space="preserve"> MSS system</w:t>
        </w:r>
      </w:ins>
      <w:ins w:id="49" w:author="Turnbull, Karen" w:date="2022-10-17T16:13:00Z">
        <w:r w:rsidRPr="006B23A2">
          <w:t>.</w:t>
        </w:r>
      </w:ins>
      <w:r w:rsidRPr="006B23A2">
        <w:rPr>
          <w:sz w:val="16"/>
          <w:szCs w:val="16"/>
        </w:rPr>
        <w:t>     (WRC</w:t>
      </w:r>
      <w:r w:rsidR="00903AAB" w:rsidRPr="006B23A2">
        <w:rPr>
          <w:sz w:val="16"/>
          <w:szCs w:val="16"/>
        </w:rPr>
        <w:noBreakHyphen/>
      </w:r>
      <w:del w:id="50" w:author="Canada" w:date="2022-04-03T15:38:00Z">
        <w:r w:rsidRPr="006B23A2" w:rsidDel="000163FF">
          <w:rPr>
            <w:sz w:val="16"/>
            <w:szCs w:val="16"/>
          </w:rPr>
          <w:delText>19</w:delText>
        </w:r>
      </w:del>
      <w:ins w:id="51" w:author="Canada" w:date="2022-04-03T15:38:00Z">
        <w:r w:rsidRPr="006B23A2">
          <w:rPr>
            <w:sz w:val="16"/>
            <w:szCs w:val="16"/>
          </w:rPr>
          <w:t>23</w:t>
        </w:r>
      </w:ins>
      <w:r w:rsidRPr="006B23A2">
        <w:rPr>
          <w:sz w:val="16"/>
          <w:szCs w:val="16"/>
        </w:rPr>
        <w:t>)</w:t>
      </w:r>
    </w:p>
    <w:p w14:paraId="3F5D61E5" w14:textId="5BEF0A00" w:rsidR="008E05F4" w:rsidRPr="006B23A2" w:rsidRDefault="00A35035">
      <w:pPr>
        <w:pStyle w:val="Reasons"/>
      </w:pPr>
      <w:r w:rsidRPr="006B23A2">
        <w:rPr>
          <w:b/>
        </w:rPr>
        <w:t>Reasons:</w:t>
      </w:r>
      <w:r w:rsidRPr="006B23A2">
        <w:tab/>
      </w:r>
      <w:r w:rsidR="000A5E3A" w:rsidRPr="006B23A2">
        <w:rPr>
          <w:bCs/>
          <w:lang w:eastAsia="zh-CN"/>
        </w:rPr>
        <w:t xml:space="preserve">Modifications to related provisions to provide </w:t>
      </w:r>
      <w:r w:rsidR="00770EE1" w:rsidRPr="006B23A2">
        <w:rPr>
          <w:bCs/>
          <w:lang w:eastAsia="zh-CN"/>
        </w:rPr>
        <w:t>a</w:t>
      </w:r>
      <w:r w:rsidR="000A5E3A" w:rsidRPr="006B23A2">
        <w:rPr>
          <w:bCs/>
          <w:lang w:eastAsia="zh-CN"/>
        </w:rPr>
        <w:t xml:space="preserve"> reference to the new Resolution. </w:t>
      </w:r>
    </w:p>
    <w:p w14:paraId="7C816A0D" w14:textId="2E5D4886" w:rsidR="008E05F4" w:rsidRPr="006B23A2" w:rsidRDefault="00A35035">
      <w:pPr>
        <w:pStyle w:val="Proposal"/>
      </w:pPr>
      <w:r w:rsidRPr="006B23A2">
        <w:t>MOD</w:t>
      </w:r>
      <w:r w:rsidRPr="006B23A2">
        <w:tab/>
        <w:t>CHN/111A22A1/</w:t>
      </w:r>
      <w:r w:rsidR="009E1C5A" w:rsidRPr="006B23A2">
        <w:t>3</w:t>
      </w:r>
      <w:r w:rsidRPr="006B23A2">
        <w:rPr>
          <w:vanish/>
          <w:color w:val="7F7F7F" w:themeColor="text1" w:themeTint="80"/>
          <w:vertAlign w:val="superscript"/>
        </w:rPr>
        <w:t>#1984</w:t>
      </w:r>
    </w:p>
    <w:p w14:paraId="0BCE6917" w14:textId="42FB5367" w:rsidR="00A35035" w:rsidRPr="006B23A2" w:rsidRDefault="00A35035" w:rsidP="004E394A">
      <w:pPr>
        <w:rPr>
          <w:color w:val="000000" w:themeColor="text1"/>
          <w:sz w:val="16"/>
          <w:szCs w:val="16"/>
        </w:rPr>
      </w:pPr>
      <w:r w:rsidRPr="006B23A2">
        <w:rPr>
          <w:rStyle w:val="Artdef"/>
        </w:rPr>
        <w:t>11.44D</w:t>
      </w:r>
      <w:r w:rsidRPr="006B23A2">
        <w:tab/>
      </w:r>
      <w:r w:rsidRPr="006B23A2">
        <w:tab/>
      </w:r>
      <w:r w:rsidRPr="006B23A2">
        <w:rPr>
          <w:rFonts w:eastAsia="Batang"/>
        </w:rPr>
        <w:t>A frequency assignment to a space station in a non-geostationary satellite orbit network or system with “Earth” as the reference body, other than a frequency assignment to which No. </w:t>
      </w:r>
      <w:r w:rsidRPr="006B23A2">
        <w:rPr>
          <w:rStyle w:val="Artref"/>
          <w:rFonts w:eastAsia="Batang"/>
          <w:b/>
          <w:bCs/>
        </w:rPr>
        <w:t>11.44C</w:t>
      </w:r>
      <w:r w:rsidRPr="006B23A2">
        <w:rPr>
          <w:rFonts w:eastAsia="Batang"/>
        </w:rPr>
        <w:t xml:space="preserve"> applies, shall be considered as having been brought into use when a space station with the capability of transmitting or receiving that frequency assignment has been deployed on one of the notified orbital plane(s)</w:t>
      </w:r>
      <w:r w:rsidR="003C7433" w:rsidRPr="006B23A2">
        <w:rPr>
          <w:rStyle w:val="FootnoteReference"/>
        </w:rPr>
        <w:t xml:space="preserve"> </w:t>
      </w:r>
      <w:ins w:id="52" w:author="lei zhang" w:date="2023-10-06T15:25:00Z">
        <w:r w:rsidR="003C7433" w:rsidRPr="006B23A2">
          <w:rPr>
            <w:rStyle w:val="FootnoteReference"/>
          </w:rPr>
          <w:t>MOD</w:t>
        </w:r>
      </w:ins>
      <w:ins w:id="53" w:author="TPU E kt" w:date="2023-11-06T10:23:00Z">
        <w:r w:rsidR="003C7433" w:rsidRPr="006B23A2">
          <w:rPr>
            <w:rStyle w:val="FootnoteReference"/>
          </w:rPr>
          <w:t> </w:t>
        </w:r>
      </w:ins>
      <w:r w:rsidRPr="006B23A2">
        <w:rPr>
          <w:rStyle w:val="FootnoteReference"/>
        </w:rPr>
        <w:t>27</w:t>
      </w:r>
      <w:r w:rsidRPr="006B23A2">
        <w:rPr>
          <w:rFonts w:eastAsia="Batang"/>
        </w:rPr>
        <w:t xml:space="preserve"> of the non-geostationary satellite network or system, irrespective of the notified number of orbital planes and satellites per orbital plane in the network or system. The notifying administration shall so inform the Bureau as soon as possible, but not later than 30 days after the end of the period referred to in No.</w:t>
      </w:r>
      <w:r w:rsidRPr="006B23A2">
        <w:t> </w:t>
      </w:r>
      <w:r w:rsidRPr="006B23A2">
        <w:rPr>
          <w:rStyle w:val="Artref"/>
          <w:rFonts w:eastAsia="Batang"/>
          <w:b/>
          <w:bCs/>
        </w:rPr>
        <w:t>11.44</w:t>
      </w:r>
      <w:r w:rsidRPr="006B23A2">
        <w:rPr>
          <w:rFonts w:eastAsia="Batang"/>
        </w:rPr>
        <w:t>.</w:t>
      </w:r>
      <w:r w:rsidRPr="006B23A2">
        <w:rPr>
          <w:color w:val="000000" w:themeColor="text1"/>
          <w:vertAlign w:val="superscript"/>
        </w:rPr>
        <w:t>25, 29</w:t>
      </w:r>
      <w:r w:rsidRPr="006B23A2">
        <w:rPr>
          <w:rFonts w:eastAsia="Batang"/>
        </w:rPr>
        <w:t xml:space="preserve"> On receipt of the information sent under this provision, the Bureau shall make that information available on the ITU website as soon as possible and shall publish it in the BR</w:t>
      </w:r>
      <w:r w:rsidRPr="006B23A2">
        <w:t> </w:t>
      </w:r>
      <w:r w:rsidRPr="006B23A2">
        <w:rPr>
          <w:rFonts w:eastAsia="Batang"/>
        </w:rPr>
        <w:t>IFIC subsequently.</w:t>
      </w:r>
      <w:r w:rsidRPr="006B23A2">
        <w:rPr>
          <w:color w:val="000000" w:themeColor="text1"/>
          <w:sz w:val="16"/>
          <w:szCs w:val="16"/>
        </w:rPr>
        <w:t>     (WRC</w:t>
      </w:r>
      <w:r w:rsidRPr="006B23A2">
        <w:rPr>
          <w:color w:val="000000" w:themeColor="text1"/>
          <w:sz w:val="16"/>
          <w:szCs w:val="16"/>
        </w:rPr>
        <w:noBreakHyphen/>
        <w:t>19)</w:t>
      </w:r>
    </w:p>
    <w:p w14:paraId="08A24E48" w14:textId="77FEC32D" w:rsidR="008E05F4" w:rsidRPr="006B23A2" w:rsidRDefault="00A35035">
      <w:pPr>
        <w:pStyle w:val="Reasons"/>
      </w:pPr>
      <w:r w:rsidRPr="006B23A2">
        <w:rPr>
          <w:b/>
        </w:rPr>
        <w:t>Reasons:</w:t>
      </w:r>
      <w:r w:rsidRPr="006B23A2">
        <w:tab/>
      </w:r>
      <w:r w:rsidR="000A5E3A" w:rsidRPr="006B23A2">
        <w:rPr>
          <w:bCs/>
          <w:lang w:eastAsia="zh-CN"/>
        </w:rPr>
        <w:t xml:space="preserve">Modifications to related provisions to provide </w:t>
      </w:r>
      <w:r w:rsidR="00770EE1" w:rsidRPr="006B23A2">
        <w:rPr>
          <w:bCs/>
          <w:lang w:eastAsia="zh-CN"/>
        </w:rPr>
        <w:t>a</w:t>
      </w:r>
      <w:r w:rsidR="000A5E3A" w:rsidRPr="006B23A2">
        <w:rPr>
          <w:bCs/>
          <w:lang w:eastAsia="zh-CN"/>
        </w:rPr>
        <w:t xml:space="preserve"> reference to the new Resolution. </w:t>
      </w:r>
    </w:p>
    <w:p w14:paraId="55A1D91A" w14:textId="13F201E9" w:rsidR="008E05F4" w:rsidRPr="006B23A2" w:rsidRDefault="00A35035">
      <w:pPr>
        <w:pStyle w:val="Proposal"/>
      </w:pPr>
      <w:r w:rsidRPr="006B23A2">
        <w:lastRenderedPageBreak/>
        <w:t>MOD</w:t>
      </w:r>
      <w:r w:rsidRPr="006B23A2">
        <w:tab/>
        <w:t>CHN/111A22A1/</w:t>
      </w:r>
      <w:r w:rsidR="009E1C5A" w:rsidRPr="006B23A2">
        <w:t>4</w:t>
      </w:r>
      <w:r w:rsidRPr="006B23A2">
        <w:rPr>
          <w:vanish/>
          <w:color w:val="7F7F7F" w:themeColor="text1" w:themeTint="80"/>
          <w:vertAlign w:val="superscript"/>
        </w:rPr>
        <w:t>#1969</w:t>
      </w:r>
    </w:p>
    <w:p w14:paraId="3D129615" w14:textId="7B0F9340" w:rsidR="00A35035" w:rsidRPr="006B23A2" w:rsidRDefault="00A35035" w:rsidP="004E394A">
      <w:pPr>
        <w:rPr>
          <w:sz w:val="16"/>
        </w:rPr>
      </w:pPr>
      <w:r w:rsidRPr="006B23A2">
        <w:rPr>
          <w:rStyle w:val="Artdef"/>
        </w:rPr>
        <w:t>11.49</w:t>
      </w:r>
      <w:r w:rsidRPr="006B23A2">
        <w:tab/>
      </w:r>
      <w:r w:rsidRPr="006B23A2">
        <w:tab/>
        <w:t>Wherever the use of a recorded frequency assignment to a space station of a satellite network or to all space stations of a non-geostationary-satellite system is suspended for a period exceeding six months, the notifying administration shall inform the Bureau of the date on which such use was suspended. When the recorded assignment is brought back into use, the notifying administration shall, subject to the provisions of Nos. </w:t>
      </w:r>
      <w:r w:rsidRPr="006B23A2">
        <w:rPr>
          <w:rStyle w:val="Artref"/>
          <w:b/>
          <w:bCs/>
        </w:rPr>
        <w:t>11.49.1</w:t>
      </w:r>
      <w:r w:rsidRPr="006B23A2">
        <w:t xml:space="preserve">, </w:t>
      </w:r>
      <w:r w:rsidRPr="006B23A2">
        <w:rPr>
          <w:rStyle w:val="Artref"/>
          <w:b/>
          <w:bCs/>
        </w:rPr>
        <w:t>11.49.2</w:t>
      </w:r>
      <w:r w:rsidRPr="006B23A2">
        <w:rPr>
          <w:bCs/>
        </w:rPr>
        <w:t xml:space="preserve">, </w:t>
      </w:r>
      <w:r w:rsidRPr="006B23A2">
        <w:rPr>
          <w:rStyle w:val="Artref"/>
          <w:b/>
          <w:bCs/>
        </w:rPr>
        <w:t>11.49.3</w:t>
      </w:r>
      <w:r w:rsidRPr="006B23A2">
        <w:rPr>
          <w:b/>
          <w:bCs/>
        </w:rPr>
        <w:t xml:space="preserve"> </w:t>
      </w:r>
      <w:r w:rsidRPr="006B23A2">
        <w:t>or </w:t>
      </w:r>
      <w:r w:rsidRPr="006B23A2">
        <w:rPr>
          <w:rStyle w:val="Artref"/>
          <w:b/>
          <w:bCs/>
        </w:rPr>
        <w:t>11.49.4</w:t>
      </w:r>
      <w:r w:rsidRPr="006B23A2">
        <w:t>, as applicable, so inform the Bureau, as soon as possible. On receipt of the information sent under this provision, the Bureau shall make that information available as soon as possible on the ITU website and shall publish it in the BR IFIC. The date on which the recorded assignment is brought back into use</w:t>
      </w:r>
      <w:r w:rsidRPr="006B23A2">
        <w:rPr>
          <w:rStyle w:val="FootnoteReference"/>
        </w:rPr>
        <w:t xml:space="preserve">32, 33, 34, 35, </w:t>
      </w:r>
      <w:ins w:id="54" w:author="lei zhang" w:date="2023-10-06T15:25:00Z">
        <w:r w:rsidR="003C7433" w:rsidRPr="006B23A2">
          <w:rPr>
            <w:rStyle w:val="FootnoteReference"/>
          </w:rPr>
          <w:t>MOD</w:t>
        </w:r>
      </w:ins>
      <w:ins w:id="55" w:author="TPU E kt" w:date="2023-11-06T10:23:00Z">
        <w:r w:rsidR="003C7433" w:rsidRPr="006B23A2">
          <w:rPr>
            <w:rStyle w:val="FootnoteReference"/>
          </w:rPr>
          <w:t> </w:t>
        </w:r>
      </w:ins>
      <w:r w:rsidRPr="006B23A2">
        <w:rPr>
          <w:rStyle w:val="FootnoteReference"/>
        </w:rPr>
        <w:t>36</w:t>
      </w:r>
      <w:r w:rsidRPr="006B23A2">
        <w:rPr>
          <w:vertAlign w:val="superscript"/>
        </w:rPr>
        <w:t xml:space="preserve"> </w:t>
      </w:r>
      <w:r w:rsidRPr="006B23A2">
        <w:t>shall be not later than three years from the date on which the use of the frequency assignment was suspended, provided that the notifying administration informs the Bureau of the suspension within six months from the date on which the use was suspended. If the notifying administration informs the Bureau of the suspension more than six months after the date on which the use of the frequency assignment was suspended, this three-year time period shall be reduced. In this case, the amount by which the three-year period shall be reduced shall be equal to the amount of time that has elapsed between the end of the six-month period and the date that the Bureau is informed of the suspension.</w:t>
      </w:r>
      <w:r w:rsidR="003C7433" w:rsidRPr="006B23A2">
        <w:t xml:space="preserve"> </w:t>
      </w:r>
      <w:r w:rsidRPr="006B23A2">
        <w:t>If the notifying administration informs the Bureau of the suspension more than 21 months after the date on which the use of the frequency assignment was suspended, the frequency assignment shall be cancelled. Ninety days before the end of the period of suspension, the Bureau shall send a reminder to the notifying administration. If the Bureau does not receive the declaration of the commencement of the bringing back into use period within thirty days following the limit date of the period of suspension established in accordance with this provision, it shall cancel the entry in the Master Register. The Bureau shall, however, inform the administration concerned before taking such action.</w:t>
      </w:r>
      <w:r w:rsidRPr="006B23A2">
        <w:rPr>
          <w:sz w:val="16"/>
        </w:rPr>
        <w:t>     (WRC</w:t>
      </w:r>
      <w:bookmarkStart w:id="56" w:name="_Hlk114604407"/>
      <w:r w:rsidR="003C7433" w:rsidRPr="006B23A2">
        <w:rPr>
          <w:sz w:val="16"/>
        </w:rPr>
        <w:noBreakHyphen/>
      </w:r>
      <w:del w:id="57" w:author="TPU E kt" w:date="2023-11-06T10:29:00Z">
        <w:r w:rsidRPr="006B23A2" w:rsidDel="003C7433">
          <w:rPr>
            <w:sz w:val="16"/>
          </w:rPr>
          <w:delText>19</w:delText>
        </w:r>
      </w:del>
      <w:bookmarkEnd w:id="56"/>
      <w:ins w:id="58" w:author="Xue, Kun" w:date="2023-10-31T13:38:00Z">
        <w:r w:rsidR="003C7433" w:rsidRPr="006B23A2">
          <w:rPr>
            <w:sz w:val="16"/>
            <w:szCs w:val="12"/>
          </w:rPr>
          <w:t>23</w:t>
        </w:r>
      </w:ins>
      <w:r w:rsidRPr="006B23A2">
        <w:rPr>
          <w:sz w:val="16"/>
        </w:rPr>
        <w:t>)</w:t>
      </w:r>
      <w:r w:rsidR="003C7433" w:rsidRPr="006B23A2">
        <w:t xml:space="preserve"> </w:t>
      </w:r>
    </w:p>
    <w:p w14:paraId="0D148317" w14:textId="29CAD09C" w:rsidR="008E05F4" w:rsidRPr="006B23A2" w:rsidRDefault="00A35035">
      <w:pPr>
        <w:pStyle w:val="Reasons"/>
      </w:pPr>
      <w:r w:rsidRPr="006B23A2">
        <w:rPr>
          <w:b/>
        </w:rPr>
        <w:t>Reasons:</w:t>
      </w:r>
      <w:r w:rsidRPr="006B23A2">
        <w:tab/>
      </w:r>
      <w:r w:rsidR="000A5E3A" w:rsidRPr="006B23A2">
        <w:rPr>
          <w:bCs/>
          <w:lang w:eastAsia="zh-CN"/>
        </w:rPr>
        <w:t xml:space="preserve">Modifications to related provisions to provide </w:t>
      </w:r>
      <w:r w:rsidR="00770EE1" w:rsidRPr="006B23A2">
        <w:rPr>
          <w:bCs/>
          <w:lang w:eastAsia="zh-CN"/>
        </w:rPr>
        <w:t>a</w:t>
      </w:r>
      <w:r w:rsidR="000A5E3A" w:rsidRPr="006B23A2">
        <w:rPr>
          <w:bCs/>
          <w:lang w:eastAsia="zh-CN"/>
        </w:rPr>
        <w:t xml:space="preserve"> reference to the new Resolution. </w:t>
      </w:r>
    </w:p>
    <w:p w14:paraId="66F5CC90" w14:textId="16B52609" w:rsidR="008E05F4" w:rsidRPr="006B23A2" w:rsidRDefault="00A35035">
      <w:pPr>
        <w:pStyle w:val="Proposal"/>
      </w:pPr>
      <w:r w:rsidRPr="006B23A2">
        <w:t>MOD</w:t>
      </w:r>
      <w:r w:rsidRPr="006B23A2">
        <w:tab/>
        <w:t>CHN/111A22A1/</w:t>
      </w:r>
      <w:r w:rsidR="009E1C5A" w:rsidRPr="006B23A2">
        <w:t>5</w:t>
      </w:r>
      <w:r w:rsidRPr="006B23A2">
        <w:rPr>
          <w:vanish/>
          <w:color w:val="7F7F7F" w:themeColor="text1" w:themeTint="80"/>
          <w:vertAlign w:val="superscript"/>
        </w:rPr>
        <w:t>#1970</w:t>
      </w:r>
    </w:p>
    <w:p w14:paraId="7EB5ADE4" w14:textId="77777777" w:rsidR="00A35035" w:rsidRPr="006B23A2" w:rsidRDefault="00A35035" w:rsidP="00E66996">
      <w:pPr>
        <w:keepNext/>
      </w:pPr>
      <w:r w:rsidRPr="006B23A2">
        <w:t>_______________</w:t>
      </w:r>
    </w:p>
    <w:p w14:paraId="1ADCEE27" w14:textId="189D9371" w:rsidR="00A35035" w:rsidRPr="006B23A2" w:rsidRDefault="00A35035" w:rsidP="004E394A">
      <w:pPr>
        <w:pStyle w:val="FootnoteText"/>
      </w:pPr>
      <w:r w:rsidRPr="006B23A2">
        <w:rPr>
          <w:rStyle w:val="FootnoteReference"/>
        </w:rPr>
        <w:t xml:space="preserve">36 </w:t>
      </w:r>
      <w:r w:rsidRPr="006B23A2">
        <w:tab/>
      </w:r>
      <w:r w:rsidRPr="006B23A2">
        <w:rPr>
          <w:rStyle w:val="Artdef"/>
        </w:rPr>
        <w:t>11.49.5</w:t>
      </w:r>
      <w:r w:rsidRPr="006B23A2">
        <w:tab/>
        <w:t>For the purposes of Nos. </w:t>
      </w:r>
      <w:r w:rsidRPr="006B23A2">
        <w:rPr>
          <w:rStyle w:val="Artref"/>
          <w:b/>
          <w:bCs/>
        </w:rPr>
        <w:t>11.49.2</w:t>
      </w:r>
      <w:r w:rsidRPr="006B23A2">
        <w:t xml:space="preserve"> and </w:t>
      </w:r>
      <w:r w:rsidRPr="006B23A2">
        <w:rPr>
          <w:rStyle w:val="Artref"/>
          <w:b/>
          <w:bCs/>
        </w:rPr>
        <w:t>11.49.3</w:t>
      </w:r>
      <w:r w:rsidRPr="006B23A2">
        <w:t>, the term “notified orbital plane” means an orbital plane of the non-geostationary-satellite system, as provided to the Bureau in the most recent notification information for the system’s frequency assignments, that corresponds to Items A.4.b.4.a, A.4.b.4.d, A.4.b.4.e and A.4.b.5.c (only for orbits whose altitudes of the apogee and perigee are different) in Table A of Annex 2 to Appendix </w:t>
      </w:r>
      <w:r w:rsidRPr="006B23A2">
        <w:rPr>
          <w:rStyle w:val="Appref"/>
          <w:b/>
          <w:bCs/>
        </w:rPr>
        <w:t>4</w:t>
      </w:r>
      <w:r w:rsidRPr="006B23A2">
        <w:t>.</w:t>
      </w:r>
      <w:ins w:id="59" w:author="Canada" w:date="2022-04-03T15:39:00Z">
        <w:r w:rsidRPr="006B23A2">
          <w:rPr>
            <w:b/>
            <w:bCs/>
          </w:rPr>
          <w:t xml:space="preserve"> </w:t>
        </w:r>
      </w:ins>
      <w:ins w:id="60" w:author="Tao, Yingsheng" w:date="2023-11-03T11:38:00Z">
        <w:r w:rsidR="0028180D" w:rsidRPr="006B23A2">
          <w:t>Under</w:t>
        </w:r>
      </w:ins>
      <w:ins w:id="61" w:author="Canada" w:date="2022-04-03T15:39:00Z">
        <w:r w:rsidRPr="006B23A2">
          <w:t xml:space="preserve"> No.</w:t>
        </w:r>
      </w:ins>
      <w:ins w:id="62" w:author="Turnbull, Karen" w:date="2022-10-17T16:33:00Z">
        <w:r w:rsidRPr="006B23A2">
          <w:t> </w:t>
        </w:r>
      </w:ins>
      <w:ins w:id="63" w:author="Canada" w:date="2022-04-03T15:39:00Z">
        <w:r w:rsidRPr="006B23A2">
          <w:rPr>
            <w:rStyle w:val="Artref"/>
            <w:b/>
            <w:bCs/>
          </w:rPr>
          <w:t>11.49.2</w:t>
        </w:r>
        <w:r w:rsidRPr="006B23A2">
          <w:t>, Resolution</w:t>
        </w:r>
      </w:ins>
      <w:ins w:id="64" w:author="English71" w:date="2023-04-14T12:02:00Z">
        <w:r w:rsidRPr="006B23A2">
          <w:t> </w:t>
        </w:r>
      </w:ins>
      <w:ins w:id="65" w:author="Canada" w:date="2022-04-03T15:39:00Z">
        <w:r w:rsidRPr="006B23A2">
          <w:rPr>
            <w:b/>
            <w:bCs/>
          </w:rPr>
          <w:t>[</w:t>
        </w:r>
      </w:ins>
      <w:ins w:id="66" w:author="ITU" w:date="2022-09-21T00:54:00Z">
        <w:r w:rsidRPr="006B23A2">
          <w:rPr>
            <w:b/>
            <w:bCs/>
          </w:rPr>
          <w:t>A7(A)-</w:t>
        </w:r>
      </w:ins>
      <w:ins w:id="67" w:author="Canada" w:date="2022-04-03T15:39:00Z">
        <w:r w:rsidRPr="006B23A2">
          <w:rPr>
            <w:b/>
            <w:bCs/>
          </w:rPr>
          <w:t>NGSO-</w:t>
        </w:r>
      </w:ins>
      <w:ins w:id="68" w:author="LUX" w:date="2022-09-06T14:21:00Z">
        <w:r w:rsidRPr="006B23A2">
          <w:rPr>
            <w:b/>
            <w:bCs/>
          </w:rPr>
          <w:t>FSS-BSS-MSS</w:t>
        </w:r>
        <w:r w:rsidRPr="006B23A2">
          <w:t>-</w:t>
        </w:r>
      </w:ins>
      <w:ins w:id="69" w:author="Canada" w:date="2022-04-03T15:39:00Z">
        <w:r w:rsidRPr="006B23A2">
          <w:rPr>
            <w:b/>
            <w:bCs/>
          </w:rPr>
          <w:t>Tolerance</w:t>
        </w:r>
      </w:ins>
      <w:ins w:id="70" w:author="ITU" w:date="2023-11-06T16:10:00Z">
        <w:r w:rsidR="00B0339D" w:rsidRPr="006B23A2">
          <w:rPr>
            <w:b/>
            <w:bCs/>
          </w:rPr>
          <w:t>-Option A</w:t>
        </w:r>
      </w:ins>
      <w:ins w:id="71" w:author="Canada" w:date="2022-04-03T15:39:00Z">
        <w:r w:rsidRPr="006B23A2">
          <w:rPr>
            <w:b/>
            <w:bCs/>
          </w:rPr>
          <w:t xml:space="preserve">] </w:t>
        </w:r>
      </w:ins>
      <w:ins w:id="72" w:author="Canada" w:date="2022-04-03T15:40:00Z">
        <w:r w:rsidRPr="006B23A2">
          <w:rPr>
            <w:b/>
            <w:bCs/>
          </w:rPr>
          <w:t>(</w:t>
        </w:r>
      </w:ins>
      <w:ins w:id="73" w:author="Canada" w:date="2022-04-03T15:39:00Z">
        <w:r w:rsidRPr="006B23A2">
          <w:rPr>
            <w:b/>
            <w:bCs/>
          </w:rPr>
          <w:t>WRC</w:t>
        </w:r>
      </w:ins>
      <w:ins w:id="74" w:author="Turnbull, Karen" w:date="2022-10-17T16:33:00Z">
        <w:r w:rsidRPr="006B23A2">
          <w:rPr>
            <w:b/>
            <w:bCs/>
          </w:rPr>
          <w:noBreakHyphen/>
        </w:r>
      </w:ins>
      <w:ins w:id="75" w:author="Canada" w:date="2022-04-03T15:39:00Z">
        <w:r w:rsidRPr="006B23A2">
          <w:rPr>
            <w:b/>
            <w:bCs/>
          </w:rPr>
          <w:t>23</w:t>
        </w:r>
      </w:ins>
      <w:ins w:id="76" w:author="Canada" w:date="2022-04-03T15:40:00Z">
        <w:r w:rsidRPr="006B23A2">
          <w:rPr>
            <w:b/>
            <w:bCs/>
          </w:rPr>
          <w:t>)</w:t>
        </w:r>
      </w:ins>
      <w:ins w:id="77" w:author="Canada" w:date="2022-04-03T15:39:00Z">
        <w:r w:rsidRPr="006B23A2">
          <w:t xml:space="preserve"> also applies</w:t>
        </w:r>
      </w:ins>
      <w:ins w:id="78" w:author="Canada" w:date="2022-04-03T15:38:00Z">
        <w:r w:rsidRPr="006B23A2">
          <w:t xml:space="preserve"> </w:t>
        </w:r>
      </w:ins>
      <w:ins w:id="79" w:author="Tao, Yingsheng" w:date="2023-11-03T14:26:00Z">
        <w:r w:rsidR="007250D0" w:rsidRPr="006B23A2">
          <w:t>to</w:t>
        </w:r>
      </w:ins>
      <w:ins w:id="80" w:author="LUX" w:date="2022-07-13T09:12:00Z">
        <w:r w:rsidRPr="006B23A2">
          <w:t xml:space="preserve"> space stations of a non-GSO FSS, BSS </w:t>
        </w:r>
      </w:ins>
      <w:ins w:id="81" w:author="Tao, Yingsheng" w:date="2023-11-03T11:39:00Z">
        <w:r w:rsidR="0028180D" w:rsidRPr="006B23A2">
          <w:t>and</w:t>
        </w:r>
      </w:ins>
      <w:ins w:id="82" w:author="LUX" w:date="2022-07-13T09:12:00Z">
        <w:r w:rsidRPr="006B23A2">
          <w:t xml:space="preserve"> MSS system</w:t>
        </w:r>
      </w:ins>
      <w:ins w:id="83" w:author="Canada" w:date="2022-04-03T15:39:00Z">
        <w:r w:rsidRPr="006B23A2">
          <w:t>.</w:t>
        </w:r>
      </w:ins>
      <w:r w:rsidRPr="006B23A2">
        <w:rPr>
          <w:sz w:val="16"/>
          <w:szCs w:val="16"/>
        </w:rPr>
        <w:t>     (WRC</w:t>
      </w:r>
      <w:r w:rsidR="003C7433" w:rsidRPr="006B23A2">
        <w:rPr>
          <w:sz w:val="16"/>
          <w:szCs w:val="16"/>
        </w:rPr>
        <w:noBreakHyphen/>
      </w:r>
      <w:del w:id="84" w:author="Canada" w:date="2022-04-03T15:40:00Z">
        <w:r w:rsidRPr="006B23A2" w:rsidDel="000163FF">
          <w:rPr>
            <w:sz w:val="16"/>
            <w:szCs w:val="16"/>
          </w:rPr>
          <w:delText>19</w:delText>
        </w:r>
      </w:del>
      <w:ins w:id="85" w:author="Canada" w:date="2022-04-03T15:40:00Z">
        <w:r w:rsidRPr="006B23A2">
          <w:rPr>
            <w:sz w:val="16"/>
            <w:szCs w:val="16"/>
          </w:rPr>
          <w:t>23</w:t>
        </w:r>
      </w:ins>
      <w:r w:rsidRPr="006B23A2">
        <w:rPr>
          <w:sz w:val="16"/>
          <w:szCs w:val="16"/>
        </w:rPr>
        <w:t>)</w:t>
      </w:r>
    </w:p>
    <w:p w14:paraId="28A91E6B" w14:textId="101DDE85" w:rsidR="008E05F4" w:rsidRPr="006B23A2" w:rsidRDefault="00A35035">
      <w:pPr>
        <w:pStyle w:val="Reasons"/>
      </w:pPr>
      <w:r w:rsidRPr="006B23A2">
        <w:rPr>
          <w:b/>
        </w:rPr>
        <w:t>Reasons:</w:t>
      </w:r>
      <w:r w:rsidRPr="006B23A2">
        <w:tab/>
      </w:r>
      <w:r w:rsidR="000A5E3A" w:rsidRPr="006B23A2">
        <w:rPr>
          <w:bCs/>
          <w:lang w:eastAsia="zh-CN"/>
        </w:rPr>
        <w:t xml:space="preserve">Modifications to related provisions to provide </w:t>
      </w:r>
      <w:r w:rsidR="00770EE1" w:rsidRPr="006B23A2">
        <w:rPr>
          <w:bCs/>
          <w:lang w:eastAsia="zh-CN"/>
        </w:rPr>
        <w:t>a</w:t>
      </w:r>
      <w:r w:rsidR="000A5E3A" w:rsidRPr="006B23A2">
        <w:rPr>
          <w:bCs/>
          <w:lang w:eastAsia="zh-CN"/>
        </w:rPr>
        <w:t xml:space="preserve"> reference to the new Resolution. </w:t>
      </w:r>
    </w:p>
    <w:p w14:paraId="65777E70" w14:textId="77777777" w:rsidR="00A35035" w:rsidRPr="006B23A2" w:rsidRDefault="00A35035" w:rsidP="007F1392">
      <w:pPr>
        <w:pStyle w:val="Section1"/>
      </w:pPr>
      <w:r w:rsidRPr="006B23A2">
        <w:t>Section III – Maintenance of the recording of frequency assignments to non-geostationary-satellite systems in the Master Register</w:t>
      </w:r>
      <w:r w:rsidRPr="006B23A2">
        <w:rPr>
          <w:b w:val="0"/>
          <w:bCs/>
          <w:sz w:val="16"/>
          <w:szCs w:val="16"/>
        </w:rPr>
        <w:t>     (WRC</w:t>
      </w:r>
      <w:r w:rsidRPr="006B23A2">
        <w:rPr>
          <w:b w:val="0"/>
          <w:bCs/>
          <w:sz w:val="16"/>
          <w:szCs w:val="16"/>
        </w:rPr>
        <w:noBreakHyphen/>
        <w:t>19)</w:t>
      </w:r>
    </w:p>
    <w:p w14:paraId="425DF6F8" w14:textId="37EF7FC2" w:rsidR="008E05F4" w:rsidRPr="006B23A2" w:rsidRDefault="00A35035">
      <w:pPr>
        <w:pStyle w:val="Proposal"/>
      </w:pPr>
      <w:r w:rsidRPr="006B23A2">
        <w:t>MOD</w:t>
      </w:r>
      <w:r w:rsidRPr="006B23A2">
        <w:tab/>
        <w:t>CHN/111A22A1/</w:t>
      </w:r>
      <w:r w:rsidR="009E1C5A" w:rsidRPr="006B23A2">
        <w:t>6</w:t>
      </w:r>
      <w:r w:rsidRPr="006B23A2">
        <w:rPr>
          <w:vanish/>
          <w:color w:val="7F7F7F" w:themeColor="text1" w:themeTint="80"/>
          <w:vertAlign w:val="superscript"/>
        </w:rPr>
        <w:t>#1971</w:t>
      </w:r>
    </w:p>
    <w:p w14:paraId="29D86CB9" w14:textId="3567A469" w:rsidR="00A35035" w:rsidRPr="006B23A2" w:rsidRDefault="00A35035" w:rsidP="004E394A">
      <w:pPr>
        <w:pStyle w:val="Normalaftertitle0"/>
        <w:rPr>
          <w:bCs/>
          <w:sz w:val="16"/>
          <w:szCs w:val="12"/>
        </w:rPr>
      </w:pPr>
      <w:r w:rsidRPr="006B23A2">
        <w:rPr>
          <w:rStyle w:val="Artdef"/>
        </w:rPr>
        <w:t>11.51</w:t>
      </w:r>
      <w:r w:rsidRPr="006B23A2">
        <w:tab/>
      </w:r>
      <w:r w:rsidRPr="006B23A2">
        <w:tab/>
        <w:t>For frequency assignments to some non-geostationary-satellite systems in specific frequency bands and services, Resolution</w:t>
      </w:r>
      <w:r w:rsidRPr="006B23A2">
        <w:rPr>
          <w:b/>
          <w:bCs/>
        </w:rPr>
        <w:t xml:space="preserve"> 35 (WRC</w:t>
      </w:r>
      <w:r w:rsidRPr="006B23A2">
        <w:rPr>
          <w:b/>
          <w:bCs/>
        </w:rPr>
        <w:noBreakHyphen/>
        <w:t>19)</w:t>
      </w:r>
      <w:ins w:id="86" w:author="Canada" w:date="2022-04-03T15:40:00Z">
        <w:r w:rsidRPr="006B23A2">
          <w:rPr>
            <w:b/>
            <w:bCs/>
          </w:rPr>
          <w:t xml:space="preserve"> </w:t>
        </w:r>
        <w:r w:rsidRPr="006B23A2">
          <w:t>and</w:t>
        </w:r>
        <w:r w:rsidRPr="006B23A2">
          <w:rPr>
            <w:b/>
            <w:bCs/>
          </w:rPr>
          <w:t xml:space="preserve"> </w:t>
        </w:r>
      </w:ins>
      <w:ins w:id="87" w:author="Turnbull, Karen" w:date="2022-10-17T16:37:00Z">
        <w:r w:rsidRPr="006B23A2">
          <w:t>Resolution</w:t>
        </w:r>
      </w:ins>
      <w:ins w:id="88" w:author="English71" w:date="2023-04-14T12:02:00Z">
        <w:r w:rsidRPr="006B23A2">
          <w:t> </w:t>
        </w:r>
      </w:ins>
      <w:ins w:id="89" w:author="Turnbull, Karen" w:date="2022-10-17T16:37:00Z">
        <w:r w:rsidRPr="006B23A2">
          <w:rPr>
            <w:b/>
            <w:bCs/>
          </w:rPr>
          <w:t>[</w:t>
        </w:r>
      </w:ins>
      <w:ins w:id="90" w:author="ITU" w:date="2022-09-21T00:54:00Z">
        <w:r w:rsidRPr="006B23A2">
          <w:rPr>
            <w:b/>
            <w:bCs/>
          </w:rPr>
          <w:t>A7(A)-</w:t>
        </w:r>
      </w:ins>
      <w:ins w:id="91" w:author="Canada" w:date="2022-04-03T15:40:00Z">
        <w:r w:rsidRPr="006B23A2">
          <w:rPr>
            <w:b/>
            <w:bCs/>
          </w:rPr>
          <w:t>NGSO-</w:t>
        </w:r>
      </w:ins>
      <w:ins w:id="92" w:author="LUX" w:date="2022-09-06T14:21:00Z">
        <w:r w:rsidRPr="006B23A2">
          <w:rPr>
            <w:b/>
            <w:bCs/>
          </w:rPr>
          <w:t>FSS-BSS-MSS</w:t>
        </w:r>
        <w:r w:rsidRPr="006B23A2">
          <w:t>-</w:t>
        </w:r>
      </w:ins>
      <w:ins w:id="93" w:author="Canada" w:date="2022-04-03T15:40:00Z">
        <w:r w:rsidRPr="006B23A2">
          <w:rPr>
            <w:b/>
            <w:bCs/>
          </w:rPr>
          <w:t>Tolerance</w:t>
        </w:r>
      </w:ins>
      <w:ins w:id="94" w:author="ITU" w:date="2023-11-06T16:10:00Z">
        <w:r w:rsidR="00B0339D" w:rsidRPr="006B23A2">
          <w:rPr>
            <w:b/>
            <w:bCs/>
          </w:rPr>
          <w:t>-Option A</w:t>
        </w:r>
      </w:ins>
      <w:ins w:id="95" w:author="Canada" w:date="2022-04-03T15:40:00Z">
        <w:r w:rsidRPr="006B23A2">
          <w:rPr>
            <w:b/>
            <w:bCs/>
          </w:rPr>
          <w:t>] (WRC</w:t>
        </w:r>
      </w:ins>
      <w:ins w:id="96" w:author="Turnbull, Karen" w:date="2022-10-17T16:41:00Z">
        <w:r w:rsidRPr="006B23A2">
          <w:rPr>
            <w:b/>
            <w:bCs/>
          </w:rPr>
          <w:noBreakHyphen/>
        </w:r>
      </w:ins>
      <w:ins w:id="97" w:author="Canada" w:date="2022-04-03T15:40:00Z">
        <w:r w:rsidRPr="006B23A2">
          <w:rPr>
            <w:b/>
            <w:bCs/>
          </w:rPr>
          <w:t xml:space="preserve">23) </w:t>
        </w:r>
      </w:ins>
      <w:r w:rsidRPr="006B23A2">
        <w:t>shall apply.</w:t>
      </w:r>
      <w:r w:rsidRPr="006B23A2">
        <w:rPr>
          <w:sz w:val="16"/>
          <w:szCs w:val="16"/>
        </w:rPr>
        <w:t>     </w:t>
      </w:r>
      <w:r w:rsidRPr="006B23A2">
        <w:rPr>
          <w:bCs/>
          <w:sz w:val="16"/>
          <w:szCs w:val="12"/>
        </w:rPr>
        <w:t>(WRC</w:t>
      </w:r>
      <w:r w:rsidR="00122455" w:rsidRPr="006B23A2">
        <w:rPr>
          <w:bCs/>
          <w:sz w:val="16"/>
          <w:szCs w:val="12"/>
        </w:rPr>
        <w:noBreakHyphen/>
      </w:r>
      <w:del w:id="98" w:author="Canada" w:date="2022-04-03T15:41:00Z">
        <w:r w:rsidRPr="006B23A2" w:rsidDel="000163FF">
          <w:rPr>
            <w:bCs/>
            <w:sz w:val="16"/>
            <w:szCs w:val="12"/>
          </w:rPr>
          <w:delText>19</w:delText>
        </w:r>
      </w:del>
      <w:ins w:id="99" w:author="Canada" w:date="2022-04-03T15:41:00Z">
        <w:r w:rsidRPr="006B23A2">
          <w:rPr>
            <w:bCs/>
            <w:sz w:val="16"/>
            <w:szCs w:val="12"/>
          </w:rPr>
          <w:t>23</w:t>
        </w:r>
      </w:ins>
      <w:r w:rsidRPr="006B23A2">
        <w:rPr>
          <w:bCs/>
          <w:sz w:val="16"/>
          <w:szCs w:val="12"/>
        </w:rPr>
        <w:t>)</w:t>
      </w:r>
    </w:p>
    <w:p w14:paraId="6ECFCCDF" w14:textId="57494520" w:rsidR="008E05F4" w:rsidRPr="006B23A2" w:rsidRDefault="00A35035">
      <w:pPr>
        <w:pStyle w:val="Reasons"/>
      </w:pPr>
      <w:r w:rsidRPr="006B23A2">
        <w:rPr>
          <w:b/>
        </w:rPr>
        <w:t>Reasons:</w:t>
      </w:r>
      <w:r w:rsidRPr="006B23A2">
        <w:tab/>
      </w:r>
      <w:r w:rsidR="000A5E3A" w:rsidRPr="006B23A2">
        <w:rPr>
          <w:bCs/>
          <w:lang w:eastAsia="zh-CN"/>
        </w:rPr>
        <w:t xml:space="preserve">Modifications to related provisions to provide </w:t>
      </w:r>
      <w:r w:rsidR="00770EE1" w:rsidRPr="006B23A2">
        <w:rPr>
          <w:bCs/>
          <w:lang w:eastAsia="zh-CN"/>
        </w:rPr>
        <w:t>a</w:t>
      </w:r>
      <w:r w:rsidR="000A5E3A" w:rsidRPr="006B23A2">
        <w:rPr>
          <w:bCs/>
          <w:lang w:eastAsia="zh-CN"/>
        </w:rPr>
        <w:t xml:space="preserve"> reference to the new Resolution. </w:t>
      </w:r>
    </w:p>
    <w:p w14:paraId="34F374C8" w14:textId="1D49DB3D" w:rsidR="008E05F4" w:rsidRPr="006B23A2" w:rsidRDefault="00A35035">
      <w:pPr>
        <w:pStyle w:val="Proposal"/>
      </w:pPr>
      <w:r w:rsidRPr="006B23A2">
        <w:lastRenderedPageBreak/>
        <w:t>ADD</w:t>
      </w:r>
      <w:r w:rsidRPr="006B23A2">
        <w:tab/>
        <w:t>CHN/111A22A1/</w:t>
      </w:r>
      <w:r w:rsidR="009E1C5A" w:rsidRPr="006B23A2">
        <w:t>7</w:t>
      </w:r>
      <w:r w:rsidRPr="006B23A2">
        <w:rPr>
          <w:vanish/>
          <w:color w:val="7F7F7F" w:themeColor="text1" w:themeTint="80"/>
          <w:vertAlign w:val="superscript"/>
        </w:rPr>
        <w:t>#1972</w:t>
      </w:r>
    </w:p>
    <w:p w14:paraId="7AD3FA8A" w14:textId="77777777" w:rsidR="00A35035" w:rsidRPr="006B23A2" w:rsidRDefault="00A35035" w:rsidP="004E394A">
      <w:pPr>
        <w:pStyle w:val="ResNo"/>
      </w:pPr>
      <w:r w:rsidRPr="006B23A2">
        <w:t>Draft New Resolution [A7(A)-NGSO-FSS-BSS-MSS-Tolerance-Option A] (WRC</w:t>
      </w:r>
      <w:r w:rsidRPr="006B23A2">
        <w:noBreakHyphen/>
        <w:t>23)</w:t>
      </w:r>
    </w:p>
    <w:p w14:paraId="313F70D4" w14:textId="77777777" w:rsidR="00A35035" w:rsidRPr="006B23A2" w:rsidRDefault="00A35035" w:rsidP="004E394A">
      <w:pPr>
        <w:pStyle w:val="Restitle"/>
      </w:pPr>
      <w:r w:rsidRPr="006B23A2">
        <w:t xml:space="preserve">Tolerances for certain orbital characteristics of space stations </w:t>
      </w:r>
      <w:r w:rsidRPr="006B23A2">
        <w:br/>
        <w:t>deployed as part of non-GSO FSS, BSS or MSS systems</w:t>
      </w:r>
    </w:p>
    <w:p w14:paraId="69D82FAF" w14:textId="77777777" w:rsidR="00A35035" w:rsidRPr="006B23A2" w:rsidRDefault="00A35035" w:rsidP="004E394A">
      <w:pPr>
        <w:pStyle w:val="Normalaftertitle1"/>
        <w:keepNext/>
      </w:pPr>
      <w:r w:rsidRPr="006B23A2">
        <w:t>The World Radiocommunication Conference (</w:t>
      </w:r>
      <w:r w:rsidRPr="006B23A2">
        <w:rPr>
          <w:szCs w:val="24"/>
        </w:rPr>
        <w:t>Dubai</w:t>
      </w:r>
      <w:r w:rsidRPr="006B23A2">
        <w:t>, 2023),</w:t>
      </w:r>
    </w:p>
    <w:p w14:paraId="25AA2F08" w14:textId="77777777" w:rsidR="00A35035" w:rsidRPr="006B23A2" w:rsidRDefault="00A35035" w:rsidP="004E394A">
      <w:pPr>
        <w:pStyle w:val="Call"/>
      </w:pPr>
      <w:r w:rsidRPr="006B23A2">
        <w:t>considering</w:t>
      </w:r>
    </w:p>
    <w:p w14:paraId="0CDB1350" w14:textId="359A4B99" w:rsidR="00A35035" w:rsidRPr="006B23A2" w:rsidRDefault="00A35035" w:rsidP="00CA2DED">
      <w:r w:rsidRPr="006B23A2">
        <w:t>that WRC</w:t>
      </w:r>
      <w:r w:rsidRPr="006B23A2">
        <w:noBreakHyphen/>
        <w:t xml:space="preserve">19 invited </w:t>
      </w:r>
      <w:r w:rsidR="00122455" w:rsidRPr="006B23A2">
        <w:t>the ITU Radiocommunication Sector (</w:t>
      </w:r>
      <w:r w:rsidRPr="006B23A2">
        <w:t>ITU</w:t>
      </w:r>
      <w:r w:rsidRPr="006B23A2">
        <w:noBreakHyphen/>
        <w:t>R</w:t>
      </w:r>
      <w:r w:rsidR="00122455" w:rsidRPr="006B23A2">
        <w:t>)</w:t>
      </w:r>
      <w:r w:rsidRPr="006B23A2">
        <w:t xml:space="preserve"> to study, as a matter of urgency, tolerances for certain orbital characteristics of the non-geostationary-satellite orbit (non-GSO) space stations of the fixed-satellite service (FSS), the broadcasting-satellite service (BSS) and the mobile-satellite service (MSS) to account for the potential differences between the notified and deployed orbital characteristics for the inclination of the orbital plane, the altitude of the apogee of the space station, the altitude of the perigee of the space station and the argument of the perigee of the orbital plane,</w:t>
      </w:r>
    </w:p>
    <w:p w14:paraId="4B808987" w14:textId="77777777" w:rsidR="00A35035" w:rsidRPr="006B23A2" w:rsidRDefault="00A35035" w:rsidP="004E394A">
      <w:pPr>
        <w:pStyle w:val="Call"/>
      </w:pPr>
      <w:r w:rsidRPr="006B23A2">
        <w:t xml:space="preserve">noting </w:t>
      </w:r>
    </w:p>
    <w:p w14:paraId="1D28D2FE" w14:textId="77777777" w:rsidR="00A35035" w:rsidRPr="006B23A2" w:rsidRDefault="00A35035" w:rsidP="00CA2DED">
      <w:r w:rsidRPr="006B23A2">
        <w:t xml:space="preserve">that, for the purposes of this Resolution, tolerances refer to the maximum variations allowed between the value notified and/or recorded for the orbital characteristics referred to in the </w:t>
      </w:r>
      <w:r w:rsidRPr="006B23A2">
        <w:rPr>
          <w:i/>
          <w:iCs/>
        </w:rPr>
        <w:t>considering</w:t>
      </w:r>
      <w:r w:rsidRPr="006B23A2">
        <w:t xml:space="preserve"> above and those associated with the actual deployment of satellites of the non-GSO FSS, BSS or MSS under consideration,</w:t>
      </w:r>
    </w:p>
    <w:p w14:paraId="423310AC" w14:textId="77777777" w:rsidR="00A35035" w:rsidRPr="006B23A2" w:rsidRDefault="00A35035" w:rsidP="004E394A">
      <w:pPr>
        <w:pStyle w:val="Call"/>
      </w:pPr>
      <w:r w:rsidRPr="006B23A2">
        <w:t>recognizing</w:t>
      </w:r>
    </w:p>
    <w:p w14:paraId="3C136B61" w14:textId="77777777" w:rsidR="00A35035" w:rsidRPr="006B23A2" w:rsidRDefault="00A35035" w:rsidP="00CA2DED">
      <w:r w:rsidRPr="006B23A2">
        <w:rPr>
          <w:i/>
          <w:iCs/>
        </w:rPr>
        <w:t>a)</w:t>
      </w:r>
      <w:r w:rsidRPr="006B23A2">
        <w:tab/>
        <w:t xml:space="preserve">that the use of frequency assignments to non-GSO FSS, BSS and MSS are subject to the regulatory and operational limits stipulated in the Radio Regulations; </w:t>
      </w:r>
    </w:p>
    <w:p w14:paraId="500B3A5C" w14:textId="77777777" w:rsidR="00A35035" w:rsidRPr="006B23A2" w:rsidRDefault="00A35035" w:rsidP="00CA2DED">
      <w:r w:rsidRPr="006B23A2">
        <w:rPr>
          <w:i/>
          <w:iCs/>
        </w:rPr>
        <w:t>b)</w:t>
      </w:r>
      <w:r w:rsidRPr="006B23A2">
        <w:tab/>
        <w:t>that Nos. </w:t>
      </w:r>
      <w:r w:rsidRPr="006B23A2">
        <w:rPr>
          <w:rStyle w:val="Artref"/>
          <w:b/>
          <w:bCs/>
        </w:rPr>
        <w:t>11.44C</w:t>
      </w:r>
      <w:r w:rsidRPr="006B23A2">
        <w:t xml:space="preserve">, </w:t>
      </w:r>
      <w:r w:rsidRPr="006B23A2">
        <w:rPr>
          <w:rStyle w:val="Artref"/>
          <w:b/>
          <w:bCs/>
        </w:rPr>
        <w:t>11.49.2</w:t>
      </w:r>
      <w:r w:rsidRPr="006B23A2">
        <w:t xml:space="preserve"> and </w:t>
      </w:r>
      <w:r w:rsidRPr="006B23A2">
        <w:rPr>
          <w:rStyle w:val="Artref"/>
          <w:b/>
          <w:bCs/>
        </w:rPr>
        <w:t>11.51</w:t>
      </w:r>
      <w:r w:rsidRPr="006B23A2">
        <w:t xml:space="preserve"> require the deployment of satellites on notified orbital planes;</w:t>
      </w:r>
    </w:p>
    <w:p w14:paraId="59CAB842" w14:textId="77777777" w:rsidR="00A35035" w:rsidRPr="006B23A2" w:rsidRDefault="00A35035" w:rsidP="00CA2DED">
      <w:r w:rsidRPr="006B23A2">
        <w:rPr>
          <w:i/>
          <w:iCs/>
          <w:color w:val="000000" w:themeColor="text1"/>
        </w:rPr>
        <w:t>c)</w:t>
      </w:r>
      <w:r w:rsidRPr="006B23A2">
        <w:tab/>
        <w:t>that orbital tolerances for a non-GSO system should take into account design considerations including the atmospheric drag characteristics of the altitude chosen and solar cycle predictions, which could have an impact on the lifetime of the satellites;</w:t>
      </w:r>
    </w:p>
    <w:p w14:paraId="510B97D7" w14:textId="77777777" w:rsidR="00A35035" w:rsidRPr="006B23A2" w:rsidRDefault="00A35035" w:rsidP="00CA2DED">
      <w:r w:rsidRPr="006B23A2">
        <w:rPr>
          <w:i/>
          <w:iCs/>
          <w:color w:val="000000" w:themeColor="text1"/>
        </w:rPr>
        <w:t>d)</w:t>
      </w:r>
      <w:r w:rsidRPr="006B23A2">
        <w:tab/>
        <w:t>that there are legitimate reasons for a satellite operating at a variance from its notified orbital characteristics, such as maintaining separation between satellites in the same system or with satellites in another satellite system, in order to minimize the risk of collision;</w:t>
      </w:r>
    </w:p>
    <w:p w14:paraId="44CCE11B" w14:textId="77777777" w:rsidR="00A35035" w:rsidRPr="006B23A2" w:rsidRDefault="00A35035" w:rsidP="00CA2DED">
      <w:r w:rsidRPr="006B23A2">
        <w:rPr>
          <w:i/>
          <w:iCs/>
          <w:color w:val="000000" w:themeColor="text1"/>
        </w:rPr>
        <w:t>e)</w:t>
      </w:r>
      <w:r w:rsidRPr="006B23A2">
        <w:rPr>
          <w:i/>
          <w:iCs/>
          <w:color w:val="000000" w:themeColor="text1"/>
        </w:rPr>
        <w:tab/>
      </w:r>
      <w:r w:rsidRPr="006B23A2">
        <w:t>that satellites on highly elliptical orbits and high inclined orbits have significant orbital precession rates and, consequently, restrictive orbital-keeping requirements and correction of orbit parameters may lead to a reduction of such satellites lifetime and to a frequent replacement;</w:t>
      </w:r>
    </w:p>
    <w:p w14:paraId="02E4A606" w14:textId="77777777" w:rsidR="00A35035" w:rsidRPr="006B23A2" w:rsidRDefault="00A35035" w:rsidP="00CA2DED">
      <w:r w:rsidRPr="006B23A2">
        <w:rPr>
          <w:i/>
          <w:iCs/>
          <w:color w:val="000000" w:themeColor="text1"/>
        </w:rPr>
        <w:t>f)</w:t>
      </w:r>
      <w:r w:rsidRPr="006B23A2">
        <w:rPr>
          <w:i/>
          <w:iCs/>
          <w:color w:val="000000" w:themeColor="text1"/>
        </w:rPr>
        <w:tab/>
      </w:r>
      <w:r w:rsidRPr="006B23A2">
        <w:t>that this Resolution defines the maximum acceptable variation of certain orbital characteristics of a non-GSO system to be considered as operating within its notified orbital plane and does not preclude other coordination requests or notification filings under Articles </w:t>
      </w:r>
      <w:r w:rsidRPr="006B23A2">
        <w:rPr>
          <w:rStyle w:val="Artref"/>
          <w:b/>
          <w:bCs/>
        </w:rPr>
        <w:t>9</w:t>
      </w:r>
      <w:r w:rsidRPr="006B23A2">
        <w:t xml:space="preserve"> and </w:t>
      </w:r>
      <w:r w:rsidRPr="006B23A2">
        <w:rPr>
          <w:rStyle w:val="Artref"/>
          <w:b/>
          <w:bCs/>
        </w:rPr>
        <w:t>11</w:t>
      </w:r>
      <w:r w:rsidRPr="006B23A2">
        <w:t xml:space="preserve"> of the Radio Regulations for other non-GSO systems at the same altitude and tolerance;</w:t>
      </w:r>
    </w:p>
    <w:p w14:paraId="18C1E629" w14:textId="160FD719" w:rsidR="00A35035" w:rsidRPr="006B23A2" w:rsidRDefault="00A35035" w:rsidP="00CA2DED">
      <w:r w:rsidRPr="006B23A2">
        <w:rPr>
          <w:i/>
          <w:iCs/>
          <w:color w:val="000000" w:themeColor="text1"/>
        </w:rPr>
        <w:t>g)</w:t>
      </w:r>
      <w:r w:rsidRPr="006B23A2">
        <w:tab/>
        <w:t xml:space="preserve">that administrations and their operators may establish separate operational arrangements regarding coexistence of the physical orbits of satellite systems and networks, including satellites in geostationary-satellite orbits and non-GSO, and that such arrangements are not addressed by the </w:t>
      </w:r>
      <w:r w:rsidRPr="006B23A2">
        <w:lastRenderedPageBreak/>
        <w:t>ITU Radio Regulations which deal with avoidance of harmful interference due to radio</w:t>
      </w:r>
      <w:r w:rsidR="00CA2DED" w:rsidRPr="006B23A2">
        <w:t>-</w:t>
      </w:r>
      <w:r w:rsidRPr="006B23A2">
        <w:t>frequency usage,</w:t>
      </w:r>
    </w:p>
    <w:p w14:paraId="61A76C4A" w14:textId="77777777" w:rsidR="00A35035" w:rsidRPr="006B23A2" w:rsidRDefault="00A35035" w:rsidP="004E394A">
      <w:pPr>
        <w:pStyle w:val="Call"/>
      </w:pPr>
      <w:r w:rsidRPr="006B23A2">
        <w:t>resolves</w:t>
      </w:r>
    </w:p>
    <w:p w14:paraId="17B89F88" w14:textId="6821D3B5" w:rsidR="00A35035" w:rsidRPr="006B23A2" w:rsidRDefault="00CA2DED" w:rsidP="00311384">
      <w:pPr>
        <w:keepNext/>
      </w:pPr>
      <w:r w:rsidRPr="006B23A2">
        <w:t>1</w:t>
      </w:r>
      <w:r w:rsidRPr="006B23A2">
        <w:tab/>
      </w:r>
      <w:r w:rsidR="00A35035" w:rsidRPr="006B23A2">
        <w:t>that, as of the entry into force of the Final Acts of WRC-23</w:t>
      </w:r>
      <w:r w:rsidR="0028180D" w:rsidRPr="006B23A2">
        <w:t>,</w:t>
      </w:r>
      <w:r w:rsidR="00A35035" w:rsidRPr="006B23A2">
        <w:t xml:space="preserve"> for space stations with an orbital eccentricity</w:t>
      </w:r>
      <w:r w:rsidR="00763DD5" w:rsidRPr="006B23A2">
        <w:rPr>
          <w:rStyle w:val="FootnoteReference"/>
        </w:rPr>
        <w:footnoteReference w:customMarkFollows="1" w:id="1"/>
        <w:t>1</w:t>
      </w:r>
      <w:r w:rsidR="00A35035" w:rsidRPr="006B23A2">
        <w:t xml:space="preserve"> less than 0.5 notified as part of a non-GSO FSS, BSS or MSS system subject to Resolution </w:t>
      </w:r>
      <w:r w:rsidR="00A35035" w:rsidRPr="006B23A2">
        <w:rPr>
          <w:b/>
          <w:bCs/>
        </w:rPr>
        <w:t>35 (WRC</w:t>
      </w:r>
      <w:r w:rsidR="00A35035" w:rsidRPr="006B23A2">
        <w:rPr>
          <w:b/>
          <w:bCs/>
        </w:rPr>
        <w:noBreakHyphen/>
        <w:t xml:space="preserve">19) </w:t>
      </w:r>
      <w:r w:rsidR="00A35035" w:rsidRPr="006B23A2">
        <w:t>with an apogee altitude less than 15 000 km:</w:t>
      </w:r>
    </w:p>
    <w:p w14:paraId="20CCD4BD" w14:textId="00FE00FF" w:rsidR="00A35035" w:rsidRPr="006B23A2" w:rsidRDefault="00A35035" w:rsidP="00D34B57">
      <w:pPr>
        <w:pStyle w:val="enumlev1"/>
      </w:pPr>
      <w:r w:rsidRPr="006B23A2">
        <w:rPr>
          <w:i/>
          <w:iCs/>
        </w:rPr>
        <w:t>a)</w:t>
      </w:r>
      <w:r w:rsidRPr="006B23A2">
        <w:tab/>
        <w:t>the observed variation for the altitude (</w:t>
      </w:r>
      <w:proofErr w:type="spellStart"/>
      <w:r w:rsidRPr="006B23A2">
        <w:t>Δ</w:t>
      </w:r>
      <w:r w:rsidRPr="006B23A2">
        <w:rPr>
          <w:i/>
          <w:iCs/>
        </w:rPr>
        <w:t>alt</w:t>
      </w:r>
      <w:r w:rsidRPr="006B23A2">
        <w:rPr>
          <w:i/>
          <w:iCs/>
          <w:vertAlign w:val="subscript"/>
        </w:rPr>
        <w:t>Observed</w:t>
      </w:r>
      <w:proofErr w:type="spellEnd"/>
      <w:r w:rsidRPr="006B23A2">
        <w:t xml:space="preserve">) </w:t>
      </w:r>
      <w:r w:rsidRPr="006B23A2">
        <w:rPr>
          <w:rFonts w:eastAsia="SimSun"/>
        </w:rPr>
        <w:t>of both perigee and apogee</w:t>
      </w:r>
      <w:r w:rsidR="007250D0" w:rsidRPr="006B23A2">
        <w:rPr>
          <w:rFonts w:eastAsia="SimSun"/>
        </w:rPr>
        <w:t>,</w:t>
      </w:r>
      <w:r w:rsidR="00B52B18" w:rsidRPr="006B23A2">
        <w:rPr>
          <w:rFonts w:eastAsia="SimSun"/>
        </w:rPr>
        <w:t xml:space="preserve"> </w:t>
      </w:r>
      <w:r w:rsidR="007250D0" w:rsidRPr="006B23A2">
        <w:rPr>
          <w:rFonts w:eastAsia="SimSun"/>
        </w:rPr>
        <w:t>with regard to</w:t>
      </w:r>
      <w:r w:rsidR="00B52B18" w:rsidRPr="006B23A2">
        <w:rPr>
          <w:rFonts w:eastAsia="SimSun"/>
        </w:rPr>
        <w:t xml:space="preserve"> the notified altitude</w:t>
      </w:r>
      <w:r w:rsidRPr="006B23A2">
        <w:t>, shall not exceed allowed variation for the altitude (</w:t>
      </w:r>
      <w:proofErr w:type="spellStart"/>
      <w:r w:rsidRPr="006B23A2">
        <w:t>Δ</w:t>
      </w:r>
      <w:r w:rsidRPr="006B23A2">
        <w:rPr>
          <w:i/>
          <w:iCs/>
        </w:rPr>
        <w:t>alt</w:t>
      </w:r>
      <w:r w:rsidRPr="006B23A2">
        <w:rPr>
          <w:i/>
          <w:iCs/>
          <w:vertAlign w:val="subscript"/>
        </w:rPr>
        <w:t>Allowed</w:t>
      </w:r>
      <w:proofErr w:type="spellEnd"/>
      <w:r w:rsidRPr="006B23A2">
        <w:t>) (see the Annex);</w:t>
      </w:r>
    </w:p>
    <w:p w14:paraId="6D0A1034" w14:textId="33A55BC4" w:rsidR="00A35035" w:rsidRPr="006B23A2" w:rsidRDefault="00A35035" w:rsidP="00D34B57">
      <w:pPr>
        <w:pStyle w:val="enumlev1"/>
      </w:pPr>
      <w:r w:rsidRPr="006B23A2">
        <w:rPr>
          <w:i/>
          <w:iCs/>
        </w:rPr>
        <w:t>b)</w:t>
      </w:r>
      <w:r w:rsidRPr="006B23A2">
        <w:tab/>
        <w:t>the observed variation for the inclination</w:t>
      </w:r>
      <w:r w:rsidR="007250D0" w:rsidRPr="006B23A2">
        <w:t xml:space="preserve"> </w:t>
      </w:r>
      <w:r w:rsidRPr="006B23A2">
        <w:t>(</w:t>
      </w:r>
      <w:proofErr w:type="spellStart"/>
      <w:r w:rsidRPr="006B23A2">
        <w:t>Δ</w:t>
      </w:r>
      <w:r w:rsidRPr="006B23A2">
        <w:rPr>
          <w:i/>
          <w:iCs/>
        </w:rPr>
        <w:t>i</w:t>
      </w:r>
      <w:r w:rsidRPr="006B23A2">
        <w:rPr>
          <w:i/>
          <w:iCs/>
          <w:vertAlign w:val="subscript"/>
        </w:rPr>
        <w:t>Observed</w:t>
      </w:r>
      <w:proofErr w:type="spellEnd"/>
      <w:r w:rsidRPr="006B23A2">
        <w:t>)</w:t>
      </w:r>
      <w:r w:rsidR="007250D0" w:rsidRPr="006B23A2">
        <w:t>, with regard to the notified orbital inclination,</w:t>
      </w:r>
      <w:r w:rsidRPr="006B23A2">
        <w:t xml:space="preserve"> shall not exceed allowed variation (</w:t>
      </w:r>
      <w:proofErr w:type="spellStart"/>
      <w:r w:rsidRPr="006B23A2">
        <w:t>Δ</w:t>
      </w:r>
      <w:r w:rsidRPr="006B23A2">
        <w:rPr>
          <w:i/>
          <w:iCs/>
        </w:rPr>
        <w:t>i</w:t>
      </w:r>
      <w:r w:rsidRPr="006B23A2">
        <w:rPr>
          <w:i/>
          <w:iCs/>
          <w:vertAlign w:val="subscript"/>
        </w:rPr>
        <w:t>Allowed</w:t>
      </w:r>
      <w:proofErr w:type="spellEnd"/>
      <w:r w:rsidRPr="006B23A2">
        <w:t>) for the inclination (see the Annex);</w:t>
      </w:r>
    </w:p>
    <w:p w14:paraId="361C87EA" w14:textId="3C44CA8E" w:rsidR="00A35035" w:rsidRPr="006B23A2" w:rsidRDefault="00A35035" w:rsidP="004E394A"/>
    <w:p w14:paraId="7F96DA92" w14:textId="361B8B38" w:rsidR="00A35035" w:rsidRPr="006B23A2" w:rsidRDefault="00750042" w:rsidP="004E394A">
      <w:r w:rsidRPr="006B23A2">
        <w:t>2</w:t>
      </w:r>
      <w:r w:rsidR="00A35035" w:rsidRPr="006B23A2">
        <w:tab/>
        <w:t>that</w:t>
      </w:r>
      <w:r w:rsidR="00B52B18" w:rsidRPr="006B23A2">
        <w:t>, as of</w:t>
      </w:r>
      <w:r w:rsidR="00A35035" w:rsidRPr="006B23A2">
        <w:t xml:space="preserve"> </w:t>
      </w:r>
      <w:r w:rsidR="00B52B18" w:rsidRPr="006B23A2">
        <w:t>the entry into force of the Final Acts of WRC</w:t>
      </w:r>
      <w:r w:rsidR="006306EC" w:rsidRPr="006B23A2">
        <w:noBreakHyphen/>
      </w:r>
      <w:r w:rsidR="00B52B18" w:rsidRPr="006B23A2">
        <w:t xml:space="preserve">23, </w:t>
      </w:r>
      <w:r w:rsidR="00A35035" w:rsidRPr="006B23A2">
        <w:t>any space station deployed as part of a non-GSO FSS, BSS or MSS system at an altitude and with an inclination other than the notified altitude or the notified inclination</w:t>
      </w:r>
      <w:r w:rsidR="00A35035" w:rsidRPr="006B23A2">
        <w:rPr>
          <w:i/>
          <w:iCs/>
        </w:rPr>
        <w:t>,</w:t>
      </w:r>
      <w:r w:rsidR="00A35035" w:rsidRPr="006B23A2">
        <w:t xml:space="preserve"> shall not cause more interference nor require more protection than if the space station was deployed at the notified altitude and the notified inclination,</w:t>
      </w:r>
    </w:p>
    <w:p w14:paraId="2BF8662D" w14:textId="5A8FB8A2" w:rsidR="00750042" w:rsidRPr="006B23A2" w:rsidRDefault="00B52B18" w:rsidP="006306EC">
      <w:pPr>
        <w:rPr>
          <w:lang w:eastAsia="zh-CN"/>
        </w:rPr>
      </w:pPr>
      <w:r w:rsidRPr="006B23A2">
        <w:rPr>
          <w:b/>
        </w:rPr>
        <w:t>Reasons:</w:t>
      </w:r>
      <w:r w:rsidRPr="006B23A2">
        <w:tab/>
      </w:r>
      <w:r w:rsidR="00C517F4" w:rsidRPr="006B23A2">
        <w:t>Editorial c</w:t>
      </w:r>
      <w:r w:rsidRPr="006B23A2">
        <w:rPr>
          <w:lang w:eastAsia="zh-CN"/>
        </w:rPr>
        <w:t>larification</w:t>
      </w:r>
      <w:r w:rsidR="00C517F4" w:rsidRPr="006B23A2">
        <w:rPr>
          <w:lang w:eastAsia="zh-CN"/>
        </w:rPr>
        <w:t>s</w:t>
      </w:r>
      <w:r w:rsidRPr="006B23A2">
        <w:rPr>
          <w:lang w:eastAsia="zh-CN"/>
        </w:rPr>
        <w:t xml:space="preserve"> on </w:t>
      </w:r>
      <w:r w:rsidR="008368F5" w:rsidRPr="006B23A2">
        <w:rPr>
          <w:lang w:eastAsia="zh-CN"/>
        </w:rPr>
        <w:t xml:space="preserve">the applicability of the new Resolution to types of space station. </w:t>
      </w:r>
    </w:p>
    <w:p w14:paraId="594C0694" w14:textId="77777777" w:rsidR="00A35035" w:rsidRPr="006B23A2" w:rsidRDefault="00A35035" w:rsidP="001200A9">
      <w:pPr>
        <w:pStyle w:val="Call"/>
      </w:pPr>
      <w:r w:rsidRPr="006B23A2">
        <w:t>instructs the Radiocommunication Bureau</w:t>
      </w:r>
    </w:p>
    <w:p w14:paraId="54A53933" w14:textId="77777777" w:rsidR="00A35035" w:rsidRPr="006B23A2" w:rsidRDefault="00A35035" w:rsidP="004E394A">
      <w:r w:rsidRPr="006B23A2">
        <w:t>1</w:t>
      </w:r>
      <w:r w:rsidRPr="006B23A2">
        <w:tab/>
        <w:t>to take the necessary actions to implement this Resolution, including providing assistance to administrations when requested, to address the difficulties they may encounter in the implementation of this Resolution without any regulatory impact on the administrations; and</w:t>
      </w:r>
    </w:p>
    <w:p w14:paraId="619046C5" w14:textId="77777777" w:rsidR="00A35035" w:rsidRPr="006B23A2" w:rsidRDefault="00A35035" w:rsidP="004E394A">
      <w:r w:rsidRPr="006B23A2">
        <w:t>2</w:t>
      </w:r>
      <w:r w:rsidRPr="006B23A2">
        <w:tab/>
        <w:t>to report to future world radiocommunication conferences any difficulties or inconsistencies encountered in the implementation of this Resolution.</w:t>
      </w:r>
    </w:p>
    <w:p w14:paraId="76F7ED52" w14:textId="77777777" w:rsidR="00A35035" w:rsidRPr="006B23A2" w:rsidRDefault="00A35035" w:rsidP="00D927EE">
      <w:pPr>
        <w:pStyle w:val="AnnexNo"/>
      </w:pPr>
      <w:r w:rsidRPr="006B23A2">
        <w:t>Annex to Draft New Resolution [A7(A)-NGSO-FSS-BSS-MSS-Tolerance-Option A] (WRC</w:t>
      </w:r>
      <w:r w:rsidRPr="006B23A2">
        <w:noBreakHyphen/>
        <w:t>23)</w:t>
      </w:r>
    </w:p>
    <w:p w14:paraId="2058695D" w14:textId="77777777" w:rsidR="00A35035" w:rsidRPr="006B23A2" w:rsidRDefault="00A35035" w:rsidP="00D927EE">
      <w:pPr>
        <w:pStyle w:val="Annextitle"/>
      </w:pPr>
      <w:r w:rsidRPr="006B23A2">
        <w:t xml:space="preserve">Variation for the altitude and the inclination </w:t>
      </w:r>
    </w:p>
    <w:p w14:paraId="7ACED0F3" w14:textId="77777777" w:rsidR="00A35035" w:rsidRPr="006B23A2" w:rsidRDefault="00A35035" w:rsidP="006306EC">
      <w:pPr>
        <w:pStyle w:val="Normalaftertitle0"/>
        <w:keepNext/>
        <w:rPr>
          <w:color w:val="000000" w:themeColor="text1"/>
        </w:rPr>
      </w:pPr>
      <w:r w:rsidRPr="006B23A2">
        <w:rPr>
          <w:color w:val="000000" w:themeColor="text1"/>
        </w:rPr>
        <w:t>1</w:t>
      </w:r>
      <w:r w:rsidRPr="006B23A2">
        <w:rPr>
          <w:color w:val="000000" w:themeColor="text1"/>
        </w:rPr>
        <w:tab/>
        <w:t xml:space="preserve">The </w:t>
      </w:r>
      <w:r w:rsidRPr="006B23A2">
        <w:rPr>
          <w:color w:val="000000" w:themeColor="text1"/>
          <w:spacing w:val="-4"/>
        </w:rPr>
        <w:t xml:space="preserve">observed variation </w:t>
      </w:r>
      <w:r w:rsidRPr="006B23A2">
        <w:rPr>
          <w:color w:val="000000" w:themeColor="text1"/>
        </w:rPr>
        <w:t>for the altitude (</w:t>
      </w:r>
      <w:proofErr w:type="spellStart"/>
      <w:r w:rsidRPr="006B23A2">
        <w:rPr>
          <w:color w:val="000000" w:themeColor="text1"/>
        </w:rPr>
        <w:t>Δ</w:t>
      </w:r>
      <w:r w:rsidRPr="006B23A2">
        <w:rPr>
          <w:i/>
          <w:iCs/>
          <w:color w:val="000000" w:themeColor="text1"/>
        </w:rPr>
        <w:t>alt</w:t>
      </w:r>
      <w:r w:rsidRPr="006B23A2">
        <w:rPr>
          <w:i/>
          <w:iCs/>
          <w:color w:val="000000" w:themeColor="text1"/>
          <w:vertAlign w:val="subscript"/>
        </w:rPr>
        <w:t>Observed</w:t>
      </w:r>
      <w:proofErr w:type="spellEnd"/>
      <w:r w:rsidRPr="006B23A2">
        <w:rPr>
          <w:color w:val="000000" w:themeColor="text1"/>
          <w:spacing w:val="-4"/>
        </w:rPr>
        <w:t xml:space="preserve">) </w:t>
      </w:r>
      <w:r w:rsidRPr="006B23A2">
        <w:rPr>
          <w:color w:val="000000" w:themeColor="text1"/>
        </w:rPr>
        <w:t xml:space="preserve">of a non-GSO satellite is equal to: </w:t>
      </w:r>
    </w:p>
    <w:p w14:paraId="6B32F502" w14:textId="77777777" w:rsidR="00A35035" w:rsidRPr="006B23A2" w:rsidRDefault="00A35035" w:rsidP="004E394A">
      <w:pPr>
        <w:pStyle w:val="Equation"/>
      </w:pPr>
      <w:r w:rsidRPr="006B23A2">
        <w:tab/>
      </w:r>
      <w:r w:rsidRPr="006B23A2">
        <w:tab/>
      </w:r>
      <w:r w:rsidRPr="006B23A2">
        <w:rPr>
          <w:color w:val="000000" w:themeColor="text1"/>
          <w:position w:val="-14"/>
        </w:rPr>
        <w:object w:dxaOrig="2299" w:dyaOrig="400" w14:anchorId="550A6A18">
          <v:shape id="_x0000_i1025" type="#_x0000_t75" alt="" style="width:116.25pt;height:21pt;mso-width-percent:0;mso-height-percent:0;mso-width-percent:0;mso-height-percent:0" o:ole="">
            <v:imagedata r:id="rId14" o:title=""/>
          </v:shape>
          <o:OLEObject Type="Embed" ProgID="Equation.DSMT4" ShapeID="_x0000_i1025" DrawAspect="Content" ObjectID="_1760797413" r:id="rId15"/>
        </w:object>
      </w:r>
      <w:r w:rsidRPr="006B23A2">
        <w:t>     in kilometres</w:t>
      </w:r>
    </w:p>
    <w:p w14:paraId="1CEE3BF3" w14:textId="77777777" w:rsidR="00A35035" w:rsidRPr="006B23A2" w:rsidRDefault="00A35035" w:rsidP="004E394A">
      <w:pPr>
        <w:pStyle w:val="Equation"/>
      </w:pPr>
      <w:r w:rsidRPr="006B23A2">
        <w:t xml:space="preserve">where: </w:t>
      </w:r>
    </w:p>
    <w:p w14:paraId="7A7E943E" w14:textId="77777777" w:rsidR="00A35035" w:rsidRPr="006B23A2" w:rsidRDefault="00A35035" w:rsidP="004E394A">
      <w:pPr>
        <w:pStyle w:val="Equationlegend"/>
      </w:pPr>
      <w:r w:rsidRPr="006B23A2">
        <w:lastRenderedPageBreak/>
        <w:tab/>
      </w:r>
      <w:proofErr w:type="spellStart"/>
      <w:r w:rsidRPr="006B23A2">
        <w:rPr>
          <w:i/>
          <w:iCs/>
          <w:color w:val="000000" w:themeColor="text1"/>
        </w:rPr>
        <w:t>alt</w:t>
      </w:r>
      <w:r w:rsidRPr="006B23A2">
        <w:rPr>
          <w:i/>
          <w:iCs/>
          <w:color w:val="000000" w:themeColor="text1"/>
          <w:vertAlign w:val="subscript"/>
        </w:rPr>
        <w:t>d</w:t>
      </w:r>
      <w:proofErr w:type="spellEnd"/>
      <w:r w:rsidRPr="006B23A2">
        <w:t>:</w:t>
      </w:r>
      <w:r w:rsidRPr="006B23A2">
        <w:tab/>
        <w:t>is the observed altitude in kilometres of the deployed satellite at the perigee or apogee</w:t>
      </w:r>
    </w:p>
    <w:p w14:paraId="650A0CDA" w14:textId="77777777" w:rsidR="00A35035" w:rsidRPr="006B23A2" w:rsidRDefault="00A35035" w:rsidP="004E394A">
      <w:pPr>
        <w:pStyle w:val="Equationlegend"/>
      </w:pPr>
      <w:r w:rsidRPr="006B23A2">
        <w:tab/>
      </w:r>
      <w:proofErr w:type="spellStart"/>
      <w:r w:rsidRPr="006B23A2">
        <w:rPr>
          <w:i/>
          <w:iCs/>
          <w:color w:val="000000" w:themeColor="text1"/>
        </w:rPr>
        <w:t>alt</w:t>
      </w:r>
      <w:r w:rsidRPr="006B23A2">
        <w:rPr>
          <w:i/>
          <w:iCs/>
          <w:color w:val="000000" w:themeColor="text1"/>
          <w:vertAlign w:val="subscript"/>
        </w:rPr>
        <w:t>n</w:t>
      </w:r>
      <w:proofErr w:type="spellEnd"/>
      <w:r w:rsidRPr="006B23A2">
        <w:t>:</w:t>
      </w:r>
      <w:r w:rsidRPr="006B23A2">
        <w:tab/>
        <w:t>is the altitude of the perigee or apogee in kilometres of the associated notified orbital plane of the non-GSO system.</w:t>
      </w:r>
    </w:p>
    <w:p w14:paraId="4D9BEAA0" w14:textId="77777777" w:rsidR="00A35035" w:rsidRPr="006B23A2" w:rsidRDefault="00A35035" w:rsidP="006306EC">
      <w:pPr>
        <w:keepNext/>
      </w:pPr>
      <w:r w:rsidRPr="006B23A2">
        <w:t>2</w:t>
      </w:r>
      <w:r w:rsidRPr="006B23A2">
        <w:tab/>
        <w:t>The allowed variation for the altitude (</w:t>
      </w:r>
      <w:proofErr w:type="spellStart"/>
      <w:r w:rsidRPr="006B23A2">
        <w:t>Δ</w:t>
      </w:r>
      <w:r w:rsidRPr="006B23A2">
        <w:rPr>
          <w:i/>
          <w:iCs/>
          <w:color w:val="000000" w:themeColor="text1"/>
        </w:rPr>
        <w:t>alt</w:t>
      </w:r>
      <w:r w:rsidRPr="006B23A2">
        <w:rPr>
          <w:i/>
          <w:iCs/>
          <w:color w:val="000000" w:themeColor="text1"/>
          <w:vertAlign w:val="subscript"/>
        </w:rPr>
        <w:t>Allowed</w:t>
      </w:r>
      <w:proofErr w:type="spellEnd"/>
      <w:r w:rsidRPr="006B23A2">
        <w:t>) of a non-GSO satellite is equal to:</w:t>
      </w:r>
    </w:p>
    <w:p w14:paraId="5622CEAC" w14:textId="0106C489" w:rsidR="00A35035" w:rsidRPr="006B23A2" w:rsidRDefault="00A35035" w:rsidP="004E394A">
      <w:pPr>
        <w:pStyle w:val="Equation"/>
      </w:pPr>
    </w:p>
    <w:p w14:paraId="4845DE86" w14:textId="266635EF" w:rsidR="00D917E1" w:rsidRPr="006B23A2" w:rsidRDefault="00D917E1" w:rsidP="00793768">
      <w:pPr>
        <w:pStyle w:val="Equation"/>
      </w:pPr>
      <w:r w:rsidRPr="006B23A2">
        <w:rPr>
          <w:lang w:eastAsia="zh-CN"/>
        </w:rPr>
        <w:tab/>
      </w:r>
      <w:r w:rsidR="006306EC" w:rsidRPr="006B23A2">
        <w:rPr>
          <w:lang w:eastAsia="zh-CN"/>
        </w:rPr>
        <w:tab/>
      </w:r>
      <w:r w:rsidRPr="006B23A2">
        <w:t>∆</w:t>
      </w:r>
      <w:proofErr w:type="spellStart"/>
      <w:r w:rsidRPr="006B23A2">
        <w:rPr>
          <w:i/>
          <w:iCs/>
        </w:rPr>
        <w:t>alt</w:t>
      </w:r>
      <w:r w:rsidRPr="006B23A2">
        <w:rPr>
          <w:i/>
          <w:iCs/>
          <w:vertAlign w:val="subscript"/>
        </w:rPr>
        <w:t>Allowed</w:t>
      </w:r>
      <w:proofErr w:type="spellEnd"/>
      <w:r w:rsidRPr="006B23A2">
        <w:rPr>
          <w:i/>
          <w:iCs/>
        </w:rPr>
        <w:t xml:space="preserve"> = </w:t>
      </w:r>
      <w:r w:rsidRPr="006B23A2">
        <w:t xml:space="preserve">5% × </w:t>
      </w:r>
      <w:proofErr w:type="spellStart"/>
      <w:r w:rsidRPr="006B23A2">
        <w:rPr>
          <w:i/>
          <w:iCs/>
        </w:rPr>
        <w:t>alt</w:t>
      </w:r>
      <w:r w:rsidRPr="006B23A2">
        <w:rPr>
          <w:i/>
          <w:iCs/>
          <w:vertAlign w:val="subscript"/>
        </w:rPr>
        <w:t>n</w:t>
      </w:r>
      <w:proofErr w:type="spellEnd"/>
      <w:r w:rsidR="00793768" w:rsidRPr="006B23A2">
        <w:t>      </w:t>
      </w:r>
      <w:r w:rsidR="00FE0B9B" w:rsidRPr="006B23A2">
        <w:t xml:space="preserve">in kilometres, when </w:t>
      </w:r>
      <w:proofErr w:type="spellStart"/>
      <w:r w:rsidR="00FE0B9B" w:rsidRPr="006B23A2">
        <w:rPr>
          <w:i/>
          <w:iCs/>
        </w:rPr>
        <w:t>alt</w:t>
      </w:r>
      <w:r w:rsidR="00FE0B9B" w:rsidRPr="006B23A2">
        <w:rPr>
          <w:i/>
          <w:iCs/>
          <w:vertAlign w:val="subscript"/>
        </w:rPr>
        <w:t>n</w:t>
      </w:r>
      <w:proofErr w:type="spellEnd"/>
      <w:r w:rsidR="00793768" w:rsidRPr="006B23A2">
        <w:t> ≤ </w:t>
      </w:r>
      <w:r w:rsidR="00FE0B9B" w:rsidRPr="006B23A2">
        <w:t>1</w:t>
      </w:r>
      <w:r w:rsidR="00793768" w:rsidRPr="006B23A2">
        <w:t> </w:t>
      </w:r>
      <w:r w:rsidR="00FE0B9B" w:rsidRPr="006B23A2">
        <w:t>500</w:t>
      </w:r>
      <w:r w:rsidR="00793768" w:rsidRPr="006B23A2">
        <w:t> </w:t>
      </w:r>
      <w:r w:rsidR="00FE0B9B" w:rsidRPr="006B23A2">
        <w:rPr>
          <w:lang w:eastAsia="zh-CN"/>
        </w:rPr>
        <w:t>km</w:t>
      </w:r>
    </w:p>
    <w:p w14:paraId="6D73D258" w14:textId="75DA3A11" w:rsidR="00D917E1" w:rsidRPr="006B23A2" w:rsidRDefault="00793768" w:rsidP="00117427">
      <w:pPr>
        <w:pStyle w:val="Equation"/>
        <w:rPr>
          <w:b/>
          <w:bCs/>
          <w:i/>
          <w:iCs/>
          <w:u w:val="single"/>
        </w:rPr>
      </w:pPr>
      <w:r w:rsidRPr="006B23A2">
        <w:rPr>
          <w:lang w:eastAsia="zh-CN"/>
        </w:rPr>
        <w:tab/>
      </w:r>
      <w:r w:rsidRPr="006B23A2">
        <w:rPr>
          <w:lang w:eastAsia="zh-CN"/>
        </w:rPr>
        <w:tab/>
      </w:r>
      <w:r w:rsidR="00D917E1" w:rsidRPr="006B23A2">
        <w:rPr>
          <w:lang w:eastAsia="zh-CN"/>
        </w:rPr>
        <w:t>∆</w:t>
      </w:r>
      <w:proofErr w:type="spellStart"/>
      <w:r w:rsidR="00D917E1" w:rsidRPr="006B23A2">
        <w:rPr>
          <w:i/>
          <w:iCs/>
          <w:lang w:eastAsia="zh-CN"/>
        </w:rPr>
        <w:t>alt</w:t>
      </w:r>
      <w:r w:rsidR="00D917E1" w:rsidRPr="006B23A2">
        <w:rPr>
          <w:i/>
          <w:iCs/>
          <w:vertAlign w:val="subscript"/>
          <w:lang w:eastAsia="zh-CN"/>
        </w:rPr>
        <w:t>Allowed</w:t>
      </w:r>
      <w:proofErr w:type="spellEnd"/>
      <w:r w:rsidR="00D917E1" w:rsidRPr="006B23A2">
        <w:rPr>
          <w:i/>
          <w:iCs/>
          <w:lang w:eastAsia="zh-CN"/>
        </w:rPr>
        <w:t xml:space="preserve"> =</w:t>
      </w:r>
      <w:r w:rsidRPr="006B23A2">
        <w:rPr>
          <w:i/>
          <w:iCs/>
          <w:lang w:eastAsia="zh-CN"/>
        </w:rPr>
        <w:t> </w:t>
      </w:r>
      <w:r w:rsidR="00D917E1" w:rsidRPr="006B23A2">
        <w:rPr>
          <w:lang w:eastAsia="zh-CN"/>
        </w:rPr>
        <w:t>100</w:t>
      </w:r>
      <w:r w:rsidRPr="006B23A2">
        <w:t>      </w:t>
      </w:r>
      <w:r w:rsidR="00FE0B9B" w:rsidRPr="006B23A2">
        <w:t xml:space="preserve">in kilometres, when </w:t>
      </w:r>
      <w:proofErr w:type="spellStart"/>
      <w:r w:rsidR="00FE0B9B" w:rsidRPr="006B23A2">
        <w:rPr>
          <w:i/>
          <w:iCs/>
        </w:rPr>
        <w:t>alt</w:t>
      </w:r>
      <w:r w:rsidR="00FE0B9B" w:rsidRPr="006B23A2">
        <w:rPr>
          <w:i/>
          <w:iCs/>
          <w:vertAlign w:val="subscript"/>
        </w:rPr>
        <w:t>n</w:t>
      </w:r>
      <w:proofErr w:type="spellEnd"/>
      <w:r w:rsidRPr="006B23A2">
        <w:t> </w:t>
      </w:r>
      <w:r w:rsidRPr="006B23A2">
        <w:rPr>
          <w:lang w:eastAsia="zh-CN"/>
        </w:rPr>
        <w:t>&gt; </w:t>
      </w:r>
      <w:r w:rsidR="00FE0B9B" w:rsidRPr="006B23A2">
        <w:t>1</w:t>
      </w:r>
      <w:r w:rsidRPr="006B23A2">
        <w:t> </w:t>
      </w:r>
      <w:r w:rsidR="00FE0B9B" w:rsidRPr="006B23A2">
        <w:t>500</w:t>
      </w:r>
      <w:r w:rsidRPr="006B23A2">
        <w:t> </w:t>
      </w:r>
      <w:r w:rsidR="00FE0B9B" w:rsidRPr="006B23A2">
        <w:rPr>
          <w:lang w:eastAsia="zh-CN"/>
        </w:rPr>
        <w:t>km.</w:t>
      </w:r>
    </w:p>
    <w:p w14:paraId="7EDC70F2" w14:textId="7B9FC71A" w:rsidR="00750042" w:rsidRPr="006B23A2" w:rsidRDefault="00FE0B9B" w:rsidP="00793768">
      <w:pPr>
        <w:rPr>
          <w:b/>
          <w:bCs/>
          <w:i/>
          <w:iCs/>
          <w:u w:val="single"/>
          <w:lang w:eastAsia="zh-CN"/>
        </w:rPr>
      </w:pPr>
      <w:r w:rsidRPr="006B23A2">
        <w:rPr>
          <w:b/>
          <w:bCs/>
          <w:lang w:eastAsia="zh-CN"/>
        </w:rPr>
        <w:t>Reason</w:t>
      </w:r>
      <w:r w:rsidRPr="006B23A2">
        <w:rPr>
          <w:b/>
          <w:bCs/>
        </w:rPr>
        <w:t xml:space="preserve">: </w:t>
      </w:r>
      <w:r w:rsidRPr="006B23A2">
        <w:t xml:space="preserve">For non-GSO space stations, they can be distributed at altitudes of hundreds to tens of thousands of </w:t>
      </w:r>
      <w:r w:rsidR="00770EE1" w:rsidRPr="006B23A2">
        <w:t>kilometres</w:t>
      </w:r>
      <w:r w:rsidRPr="006B23A2">
        <w:t>. Neither the fixed value nor the fixed percentage can match the deployment characteristics of the actual non-GSO systems. Therefore, a tiered option for tolerances of orbit altitude is proposed.</w:t>
      </w:r>
      <w:r w:rsidRPr="006B23A2" w:rsidDel="00750042">
        <w:rPr>
          <w:b/>
          <w:bCs/>
          <w:i/>
          <w:iCs/>
          <w:u w:val="single"/>
          <w:lang w:eastAsia="zh-CN"/>
        </w:rPr>
        <w:t xml:space="preserve"> </w:t>
      </w:r>
    </w:p>
    <w:p w14:paraId="3B678783" w14:textId="77777777" w:rsidR="00A35035" w:rsidRPr="006B23A2" w:rsidRDefault="00A35035" w:rsidP="00E537D3">
      <w:pPr>
        <w:keepNext/>
      </w:pPr>
      <w:r w:rsidRPr="006B23A2">
        <w:t>3</w:t>
      </w:r>
      <w:r w:rsidRPr="006B23A2">
        <w:tab/>
        <w:t>The observed variation</w:t>
      </w:r>
      <w:r w:rsidRPr="006B23A2">
        <w:rPr>
          <w:i/>
          <w:iCs/>
          <w:color w:val="000000" w:themeColor="text1"/>
        </w:rPr>
        <w:t xml:space="preserve"> </w:t>
      </w:r>
      <w:r w:rsidRPr="006B23A2">
        <w:t>for the inclination (</w:t>
      </w:r>
      <w:proofErr w:type="spellStart"/>
      <w:r w:rsidRPr="006B23A2">
        <w:t>Δ</w:t>
      </w:r>
      <w:r w:rsidRPr="006B23A2">
        <w:rPr>
          <w:i/>
          <w:iCs/>
          <w:color w:val="000000" w:themeColor="text1"/>
        </w:rPr>
        <w:t>i</w:t>
      </w:r>
      <w:r w:rsidRPr="006B23A2">
        <w:rPr>
          <w:i/>
          <w:iCs/>
          <w:color w:val="000000" w:themeColor="text1"/>
          <w:vertAlign w:val="subscript"/>
        </w:rPr>
        <w:t>Observed</w:t>
      </w:r>
      <w:proofErr w:type="spellEnd"/>
      <w:r w:rsidRPr="006B23A2">
        <w:t>) of a non-GSO satellite is equal to:</w:t>
      </w:r>
    </w:p>
    <w:p w14:paraId="0DC67E7D" w14:textId="77777777" w:rsidR="00A35035" w:rsidRPr="006B23A2" w:rsidRDefault="00A35035" w:rsidP="004E394A">
      <w:pPr>
        <w:pStyle w:val="Equation"/>
      </w:pPr>
      <w:r w:rsidRPr="006B23A2">
        <w:tab/>
      </w:r>
      <w:r w:rsidRPr="006B23A2">
        <w:tab/>
      </w:r>
      <w:r w:rsidRPr="006B23A2">
        <w:rPr>
          <w:color w:val="000000" w:themeColor="text1"/>
          <w:position w:val="-14"/>
        </w:rPr>
        <w:object w:dxaOrig="1700" w:dyaOrig="400" w14:anchorId="0B94F2B0">
          <v:shape id="_x0000_i1026" type="#_x0000_t75" alt="" style="width:85.5pt;height:21pt" o:ole="">
            <v:imagedata r:id="rId16" o:title=""/>
          </v:shape>
          <o:OLEObject Type="Embed" ProgID="Equation.DSMT4" ShapeID="_x0000_i1026" DrawAspect="Content" ObjectID="_1760797414" r:id="rId17"/>
        </w:object>
      </w:r>
      <w:r w:rsidRPr="006B23A2">
        <w:t>     in degrees</w:t>
      </w:r>
    </w:p>
    <w:p w14:paraId="12EF4958" w14:textId="77777777" w:rsidR="00A35035" w:rsidRPr="006B23A2" w:rsidRDefault="00A35035" w:rsidP="00E537D3">
      <w:pPr>
        <w:keepNext/>
      </w:pPr>
      <w:r w:rsidRPr="006B23A2">
        <w:t>where:</w:t>
      </w:r>
    </w:p>
    <w:p w14:paraId="00DD76D6" w14:textId="77777777" w:rsidR="00A35035" w:rsidRPr="006B23A2" w:rsidRDefault="00A35035" w:rsidP="004E394A">
      <w:pPr>
        <w:pStyle w:val="Equationlegend"/>
      </w:pPr>
      <w:r w:rsidRPr="006B23A2">
        <w:tab/>
      </w:r>
      <w:proofErr w:type="spellStart"/>
      <w:r w:rsidRPr="006B23A2">
        <w:rPr>
          <w:i/>
          <w:iCs/>
          <w:color w:val="000000" w:themeColor="text1"/>
        </w:rPr>
        <w:t>i</w:t>
      </w:r>
      <w:r w:rsidRPr="006B23A2">
        <w:rPr>
          <w:i/>
          <w:iCs/>
          <w:color w:val="000000" w:themeColor="text1"/>
          <w:vertAlign w:val="subscript"/>
        </w:rPr>
        <w:t>d</w:t>
      </w:r>
      <w:proofErr w:type="spellEnd"/>
      <w:r w:rsidRPr="006B23A2">
        <w:t xml:space="preserve"> </w:t>
      </w:r>
      <w:r w:rsidRPr="006B23A2">
        <w:tab/>
        <w:t>is the observed inclination in degrees of the deployed satellite</w:t>
      </w:r>
    </w:p>
    <w:p w14:paraId="4B249641" w14:textId="77777777" w:rsidR="00A35035" w:rsidRPr="006B23A2" w:rsidRDefault="00A35035" w:rsidP="004E394A">
      <w:pPr>
        <w:pStyle w:val="Equationlegend"/>
      </w:pPr>
      <w:r w:rsidRPr="006B23A2">
        <w:tab/>
      </w:r>
      <w:r w:rsidRPr="006B23A2">
        <w:rPr>
          <w:i/>
          <w:iCs/>
          <w:color w:val="000000" w:themeColor="text1"/>
        </w:rPr>
        <w:t>i</w:t>
      </w:r>
      <w:r w:rsidRPr="006B23A2">
        <w:rPr>
          <w:i/>
          <w:iCs/>
          <w:color w:val="000000" w:themeColor="text1"/>
          <w:vertAlign w:val="subscript"/>
        </w:rPr>
        <w:t>n</w:t>
      </w:r>
      <w:r w:rsidRPr="006B23A2">
        <w:t xml:space="preserve"> </w:t>
      </w:r>
      <w:r w:rsidRPr="006B23A2">
        <w:tab/>
        <w:t>is the inclination in degree of the associated notified orbital plane of the non-GSO system.</w:t>
      </w:r>
    </w:p>
    <w:p w14:paraId="55A52364" w14:textId="77777777" w:rsidR="00A35035" w:rsidRPr="006B23A2" w:rsidRDefault="00A35035" w:rsidP="00E537D3">
      <w:pPr>
        <w:keepNext/>
      </w:pPr>
      <w:r w:rsidRPr="006B23A2">
        <w:t>4</w:t>
      </w:r>
      <w:r w:rsidRPr="006B23A2">
        <w:tab/>
        <w:t>The allowed variation for the inclination (</w:t>
      </w:r>
      <w:proofErr w:type="spellStart"/>
      <w:r w:rsidRPr="006B23A2">
        <w:t>Δ</w:t>
      </w:r>
      <w:r w:rsidRPr="006B23A2">
        <w:rPr>
          <w:i/>
          <w:iCs/>
          <w:color w:val="000000" w:themeColor="text1"/>
        </w:rPr>
        <w:t>i</w:t>
      </w:r>
      <w:r w:rsidRPr="006B23A2">
        <w:rPr>
          <w:i/>
          <w:iCs/>
          <w:color w:val="000000" w:themeColor="text1"/>
          <w:vertAlign w:val="subscript"/>
        </w:rPr>
        <w:t>Allowed</w:t>
      </w:r>
      <w:proofErr w:type="spellEnd"/>
      <w:r w:rsidRPr="006B23A2">
        <w:t>) of a non-GSO satellite is equal to:</w:t>
      </w:r>
    </w:p>
    <w:p w14:paraId="3B4B8839" w14:textId="77777777" w:rsidR="00A35035" w:rsidRPr="006B23A2" w:rsidRDefault="00A35035" w:rsidP="004E394A">
      <w:pPr>
        <w:rPr>
          <w:b/>
          <w:bCs/>
          <w:i/>
          <w:iCs/>
          <w:color w:val="000000" w:themeColor="text1"/>
          <w:u w:val="single"/>
        </w:rPr>
      </w:pPr>
      <w:r w:rsidRPr="006B23A2">
        <w:rPr>
          <w:b/>
          <w:bCs/>
          <w:i/>
          <w:iCs/>
          <w:color w:val="000000" w:themeColor="text1"/>
          <w:u w:val="single"/>
        </w:rPr>
        <w:t>Option 1</w:t>
      </w:r>
    </w:p>
    <w:p w14:paraId="5BB5C4D4" w14:textId="0CCE847C" w:rsidR="00A35035" w:rsidRPr="006B23A2" w:rsidRDefault="00A35035" w:rsidP="004E394A">
      <w:pPr>
        <w:pStyle w:val="Equation"/>
      </w:pPr>
      <w:r w:rsidRPr="006B23A2">
        <w:tab/>
      </w:r>
      <w:r w:rsidRPr="006B23A2">
        <w:tab/>
        <w:t>∆</w:t>
      </w:r>
      <w:proofErr w:type="spellStart"/>
      <w:r w:rsidRPr="006B23A2">
        <w:rPr>
          <w:i/>
          <w:iCs/>
        </w:rPr>
        <w:t>i</w:t>
      </w:r>
      <w:r w:rsidRPr="006B23A2">
        <w:rPr>
          <w:i/>
          <w:iCs/>
          <w:color w:val="000000" w:themeColor="text1"/>
          <w:vertAlign w:val="subscript"/>
        </w:rPr>
        <w:t>Allowed</w:t>
      </w:r>
      <w:proofErr w:type="spellEnd"/>
      <w:r w:rsidRPr="006B23A2">
        <w:rPr>
          <w:i/>
          <w:iCs/>
          <w:color w:val="000000" w:themeColor="text1"/>
        </w:rPr>
        <w:t xml:space="preserve"> = </w:t>
      </w:r>
      <w:r w:rsidRPr="006B23A2">
        <w:t>Z      in degrees</w:t>
      </w:r>
    </w:p>
    <w:p w14:paraId="674CD5DA" w14:textId="4AB4AEDE" w:rsidR="00A35035" w:rsidRPr="006B23A2" w:rsidRDefault="00A35035" w:rsidP="004E394A">
      <w:r w:rsidRPr="006B23A2">
        <w:t xml:space="preserve">Where Z is a fixed value equal to </w:t>
      </w:r>
      <w:r w:rsidR="00FE0B9B" w:rsidRPr="006B23A2">
        <w:t>2.</w:t>
      </w:r>
    </w:p>
    <w:p w14:paraId="09B4E810" w14:textId="77777777" w:rsidR="00A35035" w:rsidRPr="006B23A2" w:rsidRDefault="00A35035" w:rsidP="004E394A">
      <w:pPr>
        <w:rPr>
          <w:b/>
          <w:bCs/>
          <w:i/>
          <w:iCs/>
          <w:color w:val="000000" w:themeColor="text1"/>
          <w:u w:val="single"/>
        </w:rPr>
      </w:pPr>
      <w:r w:rsidRPr="006B23A2">
        <w:rPr>
          <w:b/>
          <w:bCs/>
          <w:i/>
          <w:iCs/>
          <w:color w:val="000000" w:themeColor="text1"/>
          <w:u w:val="single"/>
        </w:rPr>
        <w:t>End of Option 1</w:t>
      </w:r>
    </w:p>
    <w:p w14:paraId="7C375572" w14:textId="77777777" w:rsidR="00A35035" w:rsidRPr="006B23A2" w:rsidRDefault="00A35035" w:rsidP="004E394A">
      <w:pPr>
        <w:rPr>
          <w:b/>
          <w:bCs/>
          <w:i/>
          <w:iCs/>
          <w:color w:val="000000" w:themeColor="text1"/>
          <w:u w:val="single"/>
        </w:rPr>
      </w:pPr>
      <w:r w:rsidRPr="006B23A2">
        <w:rPr>
          <w:b/>
          <w:bCs/>
          <w:i/>
          <w:iCs/>
          <w:color w:val="000000" w:themeColor="text1"/>
          <w:u w:val="single"/>
        </w:rPr>
        <w:t>Option 2</w:t>
      </w:r>
    </w:p>
    <w:p w14:paraId="71D5F9FC" w14:textId="77777777" w:rsidR="00A35035" w:rsidRPr="006B23A2" w:rsidRDefault="00A35035" w:rsidP="004E394A">
      <w:pPr>
        <w:pStyle w:val="Equation"/>
        <w:jc w:val="center"/>
      </w:pPr>
      <w:r w:rsidRPr="006B23A2">
        <w:tab/>
      </w:r>
      <w:r w:rsidRPr="006B23A2">
        <w:tab/>
      </w:r>
      <w:r w:rsidRPr="006B23A2">
        <w:rPr>
          <w:color w:val="000000" w:themeColor="text1"/>
          <w:position w:val="-44"/>
        </w:rPr>
        <w:object w:dxaOrig="4400" w:dyaOrig="999" w14:anchorId="6C2F06DA">
          <v:shape id="_x0000_i1027" type="#_x0000_t75" alt="" style="width:3in;height:51pt" o:ole="">
            <v:imagedata r:id="rId18" o:title=""/>
          </v:shape>
          <o:OLEObject Type="Embed" ProgID="Equation.DSMT4" ShapeID="_x0000_i1027" DrawAspect="Content" ObjectID="_1760797415" r:id="rId19"/>
        </w:object>
      </w:r>
      <w:r w:rsidRPr="006B23A2">
        <w:t xml:space="preserve"> in degrees</w:t>
      </w:r>
      <w:r w:rsidRPr="006B23A2">
        <w:tab/>
        <w:t>(1)</w:t>
      </w:r>
    </w:p>
    <w:p w14:paraId="38E43740" w14:textId="77777777" w:rsidR="00A35035" w:rsidRPr="006B23A2" w:rsidRDefault="00A35035" w:rsidP="00E537D3">
      <w:pPr>
        <w:keepNext/>
      </w:pPr>
      <w:r w:rsidRPr="006B23A2">
        <w:t xml:space="preserve">with: </w:t>
      </w:r>
    </w:p>
    <w:p w14:paraId="26287216" w14:textId="77777777" w:rsidR="00A35035" w:rsidRPr="006B23A2" w:rsidRDefault="00A35035" w:rsidP="004E394A">
      <w:pPr>
        <w:pStyle w:val="Equation"/>
      </w:pPr>
      <w:r w:rsidRPr="006B23A2">
        <w:tab/>
      </w:r>
      <w:r w:rsidRPr="006B23A2">
        <w:tab/>
      </w:r>
      <w:r w:rsidRPr="006B23A2">
        <w:rPr>
          <w:color w:val="000000" w:themeColor="text1"/>
          <w:position w:val="-16"/>
        </w:rPr>
        <w:object w:dxaOrig="1700" w:dyaOrig="400" w14:anchorId="6326CCE2">
          <v:shape id="_x0000_i1028" type="#_x0000_t75" alt="" style="width:85.5pt;height:21pt" o:ole="">
            <v:imagedata r:id="rId20" o:title=""/>
          </v:shape>
          <o:OLEObject Type="Embed" ProgID="Equation.DSMT4" ShapeID="_x0000_i1028" DrawAspect="Content" ObjectID="_1760797416" r:id="rId21"/>
        </w:object>
      </w:r>
    </w:p>
    <w:p w14:paraId="78AD75AE" w14:textId="77777777" w:rsidR="00A35035" w:rsidRPr="006B23A2" w:rsidRDefault="00A35035" w:rsidP="004E394A">
      <w:pPr>
        <w:keepNext/>
        <w:tabs>
          <w:tab w:val="left" w:pos="1588"/>
          <w:tab w:val="left" w:pos="1985"/>
        </w:tabs>
      </w:pPr>
      <w:r w:rsidRPr="006B23A2">
        <w:t>where:</w:t>
      </w:r>
    </w:p>
    <w:p w14:paraId="31887D30" w14:textId="77777777" w:rsidR="00A35035" w:rsidRPr="006B23A2" w:rsidRDefault="00A35035" w:rsidP="004E394A">
      <w:pPr>
        <w:pStyle w:val="Equationlegend"/>
      </w:pPr>
      <w:r w:rsidRPr="006B23A2">
        <w:tab/>
      </w:r>
      <w:r w:rsidRPr="006B23A2">
        <w:rPr>
          <w:i/>
          <w:iCs/>
          <w:color w:val="000000" w:themeColor="text1"/>
        </w:rPr>
        <w:t>R</w:t>
      </w:r>
      <w:r w:rsidRPr="006B23A2">
        <w:rPr>
          <w:i/>
          <w:iCs/>
          <w:color w:val="000000" w:themeColor="text1"/>
          <w:vertAlign w:val="subscript"/>
        </w:rPr>
        <w:t>e</w:t>
      </w:r>
      <w:r w:rsidRPr="006B23A2">
        <w:t>:</w:t>
      </w:r>
      <w:r w:rsidRPr="006B23A2">
        <w:tab/>
        <w:t>is the radius of the Earth (i.e. 6 378 km).</w:t>
      </w:r>
    </w:p>
    <w:p w14:paraId="5C376058" w14:textId="77777777" w:rsidR="00A35035" w:rsidRPr="006B23A2" w:rsidRDefault="00A35035" w:rsidP="004E394A">
      <w:pPr>
        <w:pStyle w:val="Equationlegend"/>
        <w:rPr>
          <w:b/>
          <w:bCs/>
          <w:color w:val="000000" w:themeColor="text1"/>
          <w:u w:val="single"/>
        </w:rPr>
      </w:pPr>
      <w:r w:rsidRPr="006B23A2">
        <w:rPr>
          <w:b/>
          <w:bCs/>
          <w:i/>
          <w:iCs/>
          <w:color w:val="000000" w:themeColor="text1"/>
          <w:u w:val="single"/>
        </w:rPr>
        <w:t>End of Option 2</w:t>
      </w:r>
    </w:p>
    <w:p w14:paraId="5377FBDD" w14:textId="0D3CA013" w:rsidR="008E05F4" w:rsidRPr="006B23A2" w:rsidRDefault="00A35035">
      <w:pPr>
        <w:pStyle w:val="Reasons"/>
        <w:rPr>
          <w:bCs/>
          <w:lang w:eastAsia="zh-CN"/>
        </w:rPr>
      </w:pPr>
      <w:r w:rsidRPr="006B23A2">
        <w:rPr>
          <w:b/>
        </w:rPr>
        <w:t>Reasons:</w:t>
      </w:r>
      <w:r w:rsidRPr="006B23A2">
        <w:tab/>
      </w:r>
      <w:r w:rsidR="00FE0B9B" w:rsidRPr="006B23A2">
        <w:t>The inclination tolerance can be selected either as a fixed value of 2 degrees or determined by Option 2.</w:t>
      </w:r>
      <w:r w:rsidR="00FE0B9B" w:rsidRPr="006B23A2">
        <w:rPr>
          <w:bCs/>
          <w:lang w:eastAsia="zh-CN"/>
        </w:rPr>
        <w:t xml:space="preserve"> </w:t>
      </w:r>
    </w:p>
    <w:p w14:paraId="6BBB54EB" w14:textId="77777777" w:rsidR="00750042" w:rsidRPr="006B23A2" w:rsidRDefault="00750042" w:rsidP="00750042"/>
    <w:p w14:paraId="3D6F50F9" w14:textId="0B4ABC6C" w:rsidR="00750042" w:rsidRPr="00311384" w:rsidRDefault="00750042" w:rsidP="00750042">
      <w:pPr>
        <w:jc w:val="center"/>
      </w:pPr>
      <w:r w:rsidRPr="006B23A2">
        <w:t>______________</w:t>
      </w:r>
    </w:p>
    <w:sectPr w:rsidR="00750042" w:rsidRPr="00311384">
      <w:headerReference w:type="default" r:id="rId22"/>
      <w:footerReference w:type="even" r:id="rId23"/>
      <w:footerReference w:type="default" r:id="rId24"/>
      <w:footerReference w:type="first" r:id="rId2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FBA99" w14:textId="77777777" w:rsidR="00C614C0" w:rsidRDefault="00C614C0">
      <w:r>
        <w:separator/>
      </w:r>
    </w:p>
  </w:endnote>
  <w:endnote w:type="continuationSeparator" w:id="0">
    <w:p w14:paraId="2C877712" w14:textId="77777777" w:rsidR="00C614C0" w:rsidRDefault="00C6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39353" w14:textId="77777777" w:rsidR="00E45D05" w:rsidRDefault="00E45D05">
    <w:pPr>
      <w:framePr w:wrap="around" w:vAnchor="text" w:hAnchor="margin" w:xAlign="right" w:y="1"/>
    </w:pPr>
    <w:r>
      <w:fldChar w:fldCharType="begin"/>
    </w:r>
    <w:r>
      <w:instrText xml:space="preserve">PAGE  </w:instrText>
    </w:r>
    <w:r>
      <w:fldChar w:fldCharType="end"/>
    </w:r>
  </w:p>
  <w:p w14:paraId="6087AD8B" w14:textId="280BF464"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011D63">
      <w:rPr>
        <w:noProof/>
      </w:rPr>
      <w:t>06.11.23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50356" w14:textId="526AE092" w:rsidR="00E45D05" w:rsidRPr="00D76CE6" w:rsidRDefault="00DC1DAB" w:rsidP="009B1EA1">
    <w:pPr>
      <w:pStyle w:val="Footer"/>
      <w:rPr>
        <w:lang w:val="pt-PT"/>
      </w:rPr>
    </w:pPr>
    <w:r>
      <w:fldChar w:fldCharType="begin"/>
    </w:r>
    <w:r w:rsidRPr="00D76CE6">
      <w:rPr>
        <w:rFonts w:eastAsia="SimSun"/>
        <w:lang w:val="pt-PT" w:eastAsia="zh-CN"/>
      </w:rPr>
      <w:instrText xml:space="preserve"> FILENAME \p \* MERGEFORMAT </w:instrText>
    </w:r>
    <w:r>
      <w:fldChar w:fldCharType="separate"/>
    </w:r>
    <w:r w:rsidR="000F4A0C" w:rsidRPr="00D76CE6">
      <w:rPr>
        <w:rFonts w:eastAsia="SimSun"/>
        <w:lang w:val="pt-PT" w:eastAsia="zh-CN"/>
      </w:rPr>
      <w:t>P:\TRAD\E\ITU-R\CONF-R\CMR23\100\111ADD22ADD01E.docx</w:t>
    </w:r>
    <w:r>
      <w:fldChar w:fldCharType="end"/>
    </w:r>
    <w:r w:rsidRPr="00D76CE6">
      <w:rPr>
        <w:rFonts w:eastAsia="SimSun"/>
        <w:lang w:val="pt-PT" w:eastAsia="zh-CN"/>
      </w:rPr>
      <w:t xml:space="preserve"> (530270)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89970" w14:textId="73126780" w:rsidR="00DC1DAB" w:rsidRPr="00D76CE6" w:rsidRDefault="00DC1DAB">
    <w:pPr>
      <w:pStyle w:val="Footer"/>
      <w:rPr>
        <w:lang w:val="pt-PT"/>
      </w:rPr>
    </w:pPr>
    <w:r>
      <w:fldChar w:fldCharType="begin"/>
    </w:r>
    <w:r w:rsidRPr="00D76CE6">
      <w:rPr>
        <w:rFonts w:eastAsia="SimSun"/>
        <w:lang w:val="pt-PT" w:eastAsia="zh-CN"/>
      </w:rPr>
      <w:instrText xml:space="preserve"> FILENAME \p \* MERGEFORMAT </w:instrText>
    </w:r>
    <w:r>
      <w:fldChar w:fldCharType="separate"/>
    </w:r>
    <w:r w:rsidR="000F4A0C" w:rsidRPr="00D76CE6">
      <w:rPr>
        <w:rFonts w:eastAsia="SimSun"/>
        <w:lang w:val="pt-PT" w:eastAsia="zh-CN"/>
      </w:rPr>
      <w:t>P:\TRAD\E\ITU-R\CONF-R\CMR23\100\111ADD22ADD01E.docx</w:t>
    </w:r>
    <w:r>
      <w:fldChar w:fldCharType="end"/>
    </w:r>
    <w:r w:rsidRPr="00D76CE6">
      <w:rPr>
        <w:rFonts w:eastAsia="SimSun"/>
        <w:lang w:val="pt-PT" w:eastAsia="zh-CN"/>
      </w:rPr>
      <w:t xml:space="preserve"> (530270)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E90EF" w14:textId="77777777" w:rsidR="00C614C0" w:rsidRDefault="00C614C0">
      <w:r>
        <w:rPr>
          <w:b/>
        </w:rPr>
        <w:t>_______________</w:t>
      </w:r>
    </w:p>
  </w:footnote>
  <w:footnote w:type="continuationSeparator" w:id="0">
    <w:p w14:paraId="06FFD5E0" w14:textId="77777777" w:rsidR="00C614C0" w:rsidRDefault="00C614C0">
      <w:r>
        <w:continuationSeparator/>
      </w:r>
    </w:p>
  </w:footnote>
  <w:footnote w:id="1">
    <w:p w14:paraId="006CBAC1" w14:textId="77777777" w:rsidR="00763DD5" w:rsidRPr="006B23A2" w:rsidRDefault="00763DD5" w:rsidP="00763DD5">
      <w:pPr>
        <w:pStyle w:val="FootnoteText"/>
      </w:pPr>
      <w:r w:rsidRPr="006B23A2">
        <w:rPr>
          <w:rStyle w:val="FootnoteReference"/>
        </w:rPr>
        <w:t>1</w:t>
      </w:r>
      <w:r w:rsidRPr="006B23A2">
        <w:t xml:space="preserve"> </w:t>
      </w:r>
      <w:r w:rsidRPr="006B23A2">
        <w:tab/>
      </w:r>
      <w:r w:rsidRPr="006B23A2">
        <w:rPr>
          <w:lang w:val="en-US"/>
        </w:rPr>
        <w:t xml:space="preserve">The </w:t>
      </w:r>
      <w:r w:rsidRPr="006B23A2">
        <w:t>eccentricity “</w:t>
      </w:r>
      <w:r w:rsidRPr="006B23A2">
        <w:rPr>
          <w:i/>
          <w:iCs/>
        </w:rPr>
        <w:t>e</w:t>
      </w:r>
      <w:r w:rsidRPr="006B23A2">
        <w:t xml:space="preserve">” is equal to: </w:t>
      </w:r>
      <w:r w:rsidRPr="006B23A2">
        <w:rPr>
          <w:noProof/>
          <w:position w:val="-18"/>
        </w:rPr>
        <w:object w:dxaOrig="2430" w:dyaOrig="470" w14:anchorId="65978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123pt;height:21pt;mso-width-percent:0;mso-height-percent:0;mso-width-percent:0;mso-height-percent:0" o:ole="">
            <v:imagedata r:id="rId1" o:title=""/>
          </v:shape>
          <o:OLEObject Type="Embed" ProgID="Equation.DSMT4" ShapeID="_x0000_i1030" DrawAspect="Content" ObjectID="_1760797417" r:id="rId2"/>
        </w:object>
      </w:r>
      <w:r w:rsidRPr="006B23A2">
        <w:t xml:space="preserve">, </w:t>
      </w:r>
    </w:p>
    <w:p w14:paraId="664527FF" w14:textId="77777777" w:rsidR="00763DD5" w:rsidRPr="006B23A2" w:rsidRDefault="00763DD5" w:rsidP="00763DD5">
      <w:pPr>
        <w:pStyle w:val="FootnoteText"/>
      </w:pPr>
      <w:r w:rsidRPr="006B23A2">
        <w:t>where:</w:t>
      </w:r>
    </w:p>
    <w:p w14:paraId="061C5016" w14:textId="77777777" w:rsidR="00763DD5" w:rsidRPr="006B23A2" w:rsidRDefault="00763DD5" w:rsidP="00763DD5">
      <w:pPr>
        <w:pStyle w:val="FootnoteText"/>
        <w:ind w:left="1134"/>
      </w:pPr>
      <w:r w:rsidRPr="006B23A2">
        <w:rPr>
          <w:i/>
          <w:iCs/>
        </w:rPr>
        <w:t>R</w:t>
      </w:r>
      <w:r w:rsidRPr="006B23A2">
        <w:rPr>
          <w:i/>
          <w:iCs/>
          <w:vertAlign w:val="subscript"/>
        </w:rPr>
        <w:t>a</w:t>
      </w:r>
      <w:r w:rsidRPr="006B23A2">
        <w:t>:</w:t>
      </w:r>
      <w:r w:rsidRPr="006B23A2">
        <w:tab/>
        <w:t>distance between the centre of the Earth and the space station at apogee</w:t>
      </w:r>
    </w:p>
    <w:p w14:paraId="41CDC677" w14:textId="19A8E78D" w:rsidR="00763DD5" w:rsidRPr="00763DD5" w:rsidRDefault="00763DD5" w:rsidP="00763DD5">
      <w:pPr>
        <w:pStyle w:val="FootnoteText"/>
        <w:ind w:left="1134"/>
        <w:rPr>
          <w:lang w:val="en-US"/>
        </w:rPr>
      </w:pPr>
      <w:r w:rsidRPr="006B23A2">
        <w:rPr>
          <w:i/>
          <w:iCs/>
        </w:rPr>
        <w:t>R</w:t>
      </w:r>
      <w:r w:rsidRPr="006B23A2">
        <w:rPr>
          <w:i/>
          <w:iCs/>
          <w:vertAlign w:val="subscript"/>
        </w:rPr>
        <w:t>p</w:t>
      </w:r>
      <w:r w:rsidRPr="006B23A2">
        <w:t>:</w:t>
      </w:r>
      <w:r w:rsidRPr="006B23A2">
        <w:tab/>
        <w:t>distance between the centre of the Earth and the space station at perigee.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F37A5"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0106A51D" w14:textId="77777777" w:rsidR="00A066F1" w:rsidRPr="00A066F1" w:rsidRDefault="00BC75DE" w:rsidP="00241FA2">
    <w:pPr>
      <w:pStyle w:val="Header"/>
    </w:pPr>
    <w:r>
      <w:t>WRC</w:t>
    </w:r>
    <w:r w:rsidR="006D70B0">
      <w:t>23</w:t>
    </w:r>
    <w:r w:rsidR="00A066F1">
      <w:t>/</w:t>
    </w:r>
    <w:bookmarkStart w:id="100" w:name="OLE_LINK1"/>
    <w:bookmarkStart w:id="101" w:name="OLE_LINK2"/>
    <w:bookmarkStart w:id="102" w:name="OLE_LINK3"/>
    <w:r w:rsidR="00EB55C6">
      <w:t>111(Add.22)(Add.1)</w:t>
    </w:r>
    <w:bookmarkEnd w:id="100"/>
    <w:bookmarkEnd w:id="101"/>
    <w:bookmarkEnd w:id="102"/>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48511EDE"/>
    <w:multiLevelType w:val="hybridMultilevel"/>
    <w:tmpl w:val="2FFC2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8270253">
    <w:abstractNumId w:val="0"/>
  </w:num>
  <w:num w:numId="2" w16cid:durableId="134474065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27081469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urnbull, Karen">
    <w15:presenceInfo w15:providerId="None" w15:userId="Turnbull, Karen"/>
  </w15:person>
  <w15:person w15:author="Tao, Yingsheng">
    <w15:presenceInfo w15:providerId="AD" w15:userId="S::yingsheng.tao@itu.int::06b42722-8094-4e1e-a18f-b1cf4f2a694a"/>
  </w15:person>
  <w15:person w15:author="ITU">
    <w15:presenceInfo w15:providerId="None" w15:userId="ITU"/>
  </w15:person>
  <w15:person w15:author="lei zhang">
    <w15:presenceInfo w15:providerId="Windows Live" w15:userId="c07c009b248601f4"/>
  </w15:person>
  <w15:person w15:author="TPU E kt">
    <w15:presenceInfo w15:providerId="None" w15:userId="TPU E kt"/>
  </w15:person>
  <w15:person w15:author="Xue, Kun">
    <w15:presenceInfo w15:providerId="AD" w15:userId="S::kun.xue@itu.int::780bdd47-7792-49eb-bbfb-da661d52d01b"/>
  </w15:person>
  <w15:person w15:author="English71">
    <w15:presenceInfo w15:providerId="None" w15:userId="English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11D63"/>
    <w:rsid w:val="00022A29"/>
    <w:rsid w:val="00026792"/>
    <w:rsid w:val="000355FD"/>
    <w:rsid w:val="00051E39"/>
    <w:rsid w:val="000705F2"/>
    <w:rsid w:val="000765DA"/>
    <w:rsid w:val="00077239"/>
    <w:rsid w:val="0007795D"/>
    <w:rsid w:val="00081F88"/>
    <w:rsid w:val="00086491"/>
    <w:rsid w:val="00091346"/>
    <w:rsid w:val="0009706C"/>
    <w:rsid w:val="000A5E3A"/>
    <w:rsid w:val="000B42B7"/>
    <w:rsid w:val="000D154B"/>
    <w:rsid w:val="000D2DAF"/>
    <w:rsid w:val="000E463E"/>
    <w:rsid w:val="000F4A0C"/>
    <w:rsid w:val="000F73FF"/>
    <w:rsid w:val="00114CF7"/>
    <w:rsid w:val="00116C7A"/>
    <w:rsid w:val="00117427"/>
    <w:rsid w:val="00122455"/>
    <w:rsid w:val="00123B68"/>
    <w:rsid w:val="00126F2E"/>
    <w:rsid w:val="00146F6F"/>
    <w:rsid w:val="00161F26"/>
    <w:rsid w:val="0017036C"/>
    <w:rsid w:val="00187BD9"/>
    <w:rsid w:val="00190B55"/>
    <w:rsid w:val="001B4D11"/>
    <w:rsid w:val="001C3B5F"/>
    <w:rsid w:val="001D058F"/>
    <w:rsid w:val="002009EA"/>
    <w:rsid w:val="00202756"/>
    <w:rsid w:val="00202CA0"/>
    <w:rsid w:val="00216B6D"/>
    <w:rsid w:val="0022757F"/>
    <w:rsid w:val="00241FA2"/>
    <w:rsid w:val="002456E9"/>
    <w:rsid w:val="00271316"/>
    <w:rsid w:val="0028180D"/>
    <w:rsid w:val="002B349C"/>
    <w:rsid w:val="002D58BE"/>
    <w:rsid w:val="002F4747"/>
    <w:rsid w:val="00302605"/>
    <w:rsid w:val="00311384"/>
    <w:rsid w:val="003549BA"/>
    <w:rsid w:val="00361B37"/>
    <w:rsid w:val="00377BD3"/>
    <w:rsid w:val="00384088"/>
    <w:rsid w:val="003852CE"/>
    <w:rsid w:val="0039169B"/>
    <w:rsid w:val="003A7F8C"/>
    <w:rsid w:val="003B2284"/>
    <w:rsid w:val="003B532E"/>
    <w:rsid w:val="003C7433"/>
    <w:rsid w:val="003D0F8B"/>
    <w:rsid w:val="003E0DB6"/>
    <w:rsid w:val="003F690A"/>
    <w:rsid w:val="0041348E"/>
    <w:rsid w:val="00420873"/>
    <w:rsid w:val="0042275B"/>
    <w:rsid w:val="00427167"/>
    <w:rsid w:val="00465A71"/>
    <w:rsid w:val="00492075"/>
    <w:rsid w:val="004969AD"/>
    <w:rsid w:val="004A26C4"/>
    <w:rsid w:val="004B13CB"/>
    <w:rsid w:val="004D26EA"/>
    <w:rsid w:val="004D2BFB"/>
    <w:rsid w:val="004D5D5C"/>
    <w:rsid w:val="004F3DC0"/>
    <w:rsid w:val="0050139F"/>
    <w:rsid w:val="0055140B"/>
    <w:rsid w:val="005861D7"/>
    <w:rsid w:val="005964AB"/>
    <w:rsid w:val="005C099A"/>
    <w:rsid w:val="005C31A5"/>
    <w:rsid w:val="005E10C9"/>
    <w:rsid w:val="005E290B"/>
    <w:rsid w:val="005E61DD"/>
    <w:rsid w:val="005F04D8"/>
    <w:rsid w:val="006023DF"/>
    <w:rsid w:val="0060534C"/>
    <w:rsid w:val="00615426"/>
    <w:rsid w:val="00616219"/>
    <w:rsid w:val="006306EC"/>
    <w:rsid w:val="00645B7D"/>
    <w:rsid w:val="00657DE0"/>
    <w:rsid w:val="00685313"/>
    <w:rsid w:val="0068783A"/>
    <w:rsid w:val="00692833"/>
    <w:rsid w:val="006A6E9B"/>
    <w:rsid w:val="006B23A2"/>
    <w:rsid w:val="006B7C2A"/>
    <w:rsid w:val="006C23DA"/>
    <w:rsid w:val="006D70B0"/>
    <w:rsid w:val="006E3D45"/>
    <w:rsid w:val="0070607A"/>
    <w:rsid w:val="007149F9"/>
    <w:rsid w:val="007250D0"/>
    <w:rsid w:val="00733A30"/>
    <w:rsid w:val="00745AEE"/>
    <w:rsid w:val="00750042"/>
    <w:rsid w:val="00750F10"/>
    <w:rsid w:val="00763DD5"/>
    <w:rsid w:val="00770EE1"/>
    <w:rsid w:val="007742CA"/>
    <w:rsid w:val="00790D70"/>
    <w:rsid w:val="00793768"/>
    <w:rsid w:val="007A6F1F"/>
    <w:rsid w:val="007D5320"/>
    <w:rsid w:val="007F7ED5"/>
    <w:rsid w:val="00800972"/>
    <w:rsid w:val="00804475"/>
    <w:rsid w:val="00811633"/>
    <w:rsid w:val="00814037"/>
    <w:rsid w:val="00816F4B"/>
    <w:rsid w:val="008368F5"/>
    <w:rsid w:val="00841216"/>
    <w:rsid w:val="00842AF0"/>
    <w:rsid w:val="0086171E"/>
    <w:rsid w:val="00866A27"/>
    <w:rsid w:val="00872FC8"/>
    <w:rsid w:val="008845D0"/>
    <w:rsid w:val="0088493D"/>
    <w:rsid w:val="00884D60"/>
    <w:rsid w:val="00896E56"/>
    <w:rsid w:val="008B43F2"/>
    <w:rsid w:val="008B6CFF"/>
    <w:rsid w:val="008E05F4"/>
    <w:rsid w:val="00903AAB"/>
    <w:rsid w:val="00907FEC"/>
    <w:rsid w:val="009128B2"/>
    <w:rsid w:val="009274B4"/>
    <w:rsid w:val="00934EA2"/>
    <w:rsid w:val="00944A5C"/>
    <w:rsid w:val="00952A66"/>
    <w:rsid w:val="00992C1B"/>
    <w:rsid w:val="009B1EA1"/>
    <w:rsid w:val="009B7C9A"/>
    <w:rsid w:val="009C56E5"/>
    <w:rsid w:val="009C7716"/>
    <w:rsid w:val="009E1C5A"/>
    <w:rsid w:val="009E5FC8"/>
    <w:rsid w:val="009E687A"/>
    <w:rsid w:val="009F236F"/>
    <w:rsid w:val="00A066F1"/>
    <w:rsid w:val="00A141AF"/>
    <w:rsid w:val="00A16D29"/>
    <w:rsid w:val="00A30305"/>
    <w:rsid w:val="00A31D2D"/>
    <w:rsid w:val="00A35035"/>
    <w:rsid w:val="00A4600A"/>
    <w:rsid w:val="00A538A6"/>
    <w:rsid w:val="00A54C25"/>
    <w:rsid w:val="00A710E7"/>
    <w:rsid w:val="00A7372E"/>
    <w:rsid w:val="00A81B0F"/>
    <w:rsid w:val="00A8284C"/>
    <w:rsid w:val="00A93B85"/>
    <w:rsid w:val="00AA0B18"/>
    <w:rsid w:val="00AA3C65"/>
    <w:rsid w:val="00AA666F"/>
    <w:rsid w:val="00AD719C"/>
    <w:rsid w:val="00AD7914"/>
    <w:rsid w:val="00AE514B"/>
    <w:rsid w:val="00B0339D"/>
    <w:rsid w:val="00B40888"/>
    <w:rsid w:val="00B52B18"/>
    <w:rsid w:val="00B639E9"/>
    <w:rsid w:val="00B817CD"/>
    <w:rsid w:val="00B81A7D"/>
    <w:rsid w:val="00B91EF7"/>
    <w:rsid w:val="00B94AD0"/>
    <w:rsid w:val="00BB3A95"/>
    <w:rsid w:val="00BC75DE"/>
    <w:rsid w:val="00BD6CCE"/>
    <w:rsid w:val="00C0018F"/>
    <w:rsid w:val="00C16A5A"/>
    <w:rsid w:val="00C20466"/>
    <w:rsid w:val="00C214ED"/>
    <w:rsid w:val="00C234E6"/>
    <w:rsid w:val="00C324A8"/>
    <w:rsid w:val="00C517F4"/>
    <w:rsid w:val="00C54517"/>
    <w:rsid w:val="00C56F70"/>
    <w:rsid w:val="00C57B91"/>
    <w:rsid w:val="00C614C0"/>
    <w:rsid w:val="00C64CD8"/>
    <w:rsid w:val="00C82695"/>
    <w:rsid w:val="00C97C68"/>
    <w:rsid w:val="00CA1A47"/>
    <w:rsid w:val="00CA2DED"/>
    <w:rsid w:val="00CA3DFC"/>
    <w:rsid w:val="00CB44E5"/>
    <w:rsid w:val="00CC247A"/>
    <w:rsid w:val="00CE388F"/>
    <w:rsid w:val="00CE5E47"/>
    <w:rsid w:val="00CF020F"/>
    <w:rsid w:val="00CF2B5B"/>
    <w:rsid w:val="00D14CE0"/>
    <w:rsid w:val="00D255D4"/>
    <w:rsid w:val="00D268B3"/>
    <w:rsid w:val="00D52FD6"/>
    <w:rsid w:val="00D54009"/>
    <w:rsid w:val="00D5651D"/>
    <w:rsid w:val="00D57A34"/>
    <w:rsid w:val="00D74898"/>
    <w:rsid w:val="00D76CE6"/>
    <w:rsid w:val="00D801ED"/>
    <w:rsid w:val="00D917E1"/>
    <w:rsid w:val="00D936BC"/>
    <w:rsid w:val="00D96530"/>
    <w:rsid w:val="00DA1CB1"/>
    <w:rsid w:val="00DC1DAB"/>
    <w:rsid w:val="00DD44AF"/>
    <w:rsid w:val="00DE2AC3"/>
    <w:rsid w:val="00DE5692"/>
    <w:rsid w:val="00DE6300"/>
    <w:rsid w:val="00DF4BC6"/>
    <w:rsid w:val="00DF78E0"/>
    <w:rsid w:val="00E03C94"/>
    <w:rsid w:val="00E205BC"/>
    <w:rsid w:val="00E26226"/>
    <w:rsid w:val="00E45D05"/>
    <w:rsid w:val="00E52403"/>
    <w:rsid w:val="00E537D3"/>
    <w:rsid w:val="00E55816"/>
    <w:rsid w:val="00E55AEF"/>
    <w:rsid w:val="00E976C1"/>
    <w:rsid w:val="00EA12E5"/>
    <w:rsid w:val="00EB0812"/>
    <w:rsid w:val="00EB5332"/>
    <w:rsid w:val="00EB54B2"/>
    <w:rsid w:val="00EB55C6"/>
    <w:rsid w:val="00EF1932"/>
    <w:rsid w:val="00EF4F18"/>
    <w:rsid w:val="00EF71B6"/>
    <w:rsid w:val="00F01E9C"/>
    <w:rsid w:val="00F02766"/>
    <w:rsid w:val="00F05BD4"/>
    <w:rsid w:val="00F06473"/>
    <w:rsid w:val="00F320AA"/>
    <w:rsid w:val="00F6155B"/>
    <w:rsid w:val="00F65C19"/>
    <w:rsid w:val="00F822B0"/>
    <w:rsid w:val="00FD08E2"/>
    <w:rsid w:val="00FD18DA"/>
    <w:rsid w:val="00FD2546"/>
    <w:rsid w:val="00FD772E"/>
    <w:rsid w:val="00FE03DB"/>
    <w:rsid w:val="00FE0B9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5B518AFA"/>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qFormat/>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qForma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paragraph" w:customStyle="1" w:styleId="Normalaftertitle0">
    <w:name w:val="Normal after title"/>
    <w:basedOn w:val="Normal"/>
    <w:next w:val="Normal"/>
    <w:qFormat/>
    <w:rsid w:val="00981814"/>
    <w:pPr>
      <w:spacing w:before="280"/>
    </w:pPr>
  </w:style>
  <w:style w:type="paragraph" w:customStyle="1" w:styleId="Normalaftertitle1">
    <w:name w:val="Normal_after_title"/>
    <w:basedOn w:val="Normal"/>
    <w:next w:val="Normal"/>
    <w:rsid w:val="00044B5F"/>
    <w:pPr>
      <w:spacing w:before="360"/>
    </w:p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907FEC"/>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5.bin"/><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oleObject" Target="embeddings/oleObject3.bin"/><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oleObject" Target="embeddings/oleObject4.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wmf"/><Relationship Id="rId22" Type="http://schemas.openxmlformats.org/officeDocument/2006/relationships/header" Target="header1.xml"/><Relationship Id="rId27"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R23-WRC23-C-0111!A22-A1!MSW-E</DPM_x0020_File_x0020_name>
    <DPM_x0020_Author xmlns="76b7d054-b29f-418b-b414-6b742f999448">DPM</DPM_x0020_Author>
    <DPM_x0020_Version xmlns="76b7d054-b29f-418b-b414-6b742f999448">DPM_2022.05.12.01</DPM_x0020_Versio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3E083C-DF10-4003-B9AE-A39E0124B251}">
  <ds:schemaRefs>
    <ds:schemaRef ds:uri="http://schemas.microsoft.com/sharepoint/events"/>
  </ds:schemaRefs>
</ds:datastoreItem>
</file>

<file path=customXml/itemProps2.xml><?xml version="1.0" encoding="utf-8"?>
<ds:datastoreItem xmlns:ds="http://schemas.openxmlformats.org/officeDocument/2006/customXml" ds:itemID="{2AD06651-FCF4-4F41-81B1-B8714DA0CF87}">
  <ds:schemaRefs>
    <ds:schemaRef ds:uri="http://schemas.openxmlformats.org/officeDocument/2006/bibliography"/>
  </ds:schemaRefs>
</ds:datastoreItem>
</file>

<file path=customXml/itemProps3.xml><?xml version="1.0" encoding="utf-8"?>
<ds:datastoreItem xmlns:ds="http://schemas.openxmlformats.org/officeDocument/2006/customXml" ds:itemID="{2AF24795-BC96-43D7-8B13-D916D6FE41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154D10-167B-4669-9210-8823BB975227}">
  <ds:schemaRefs>
    <ds:schemaRef ds:uri="http://schemas.microsoft.com/office/2006/metadata/properties"/>
    <ds:schemaRef ds:uri="http://schemas.microsoft.com/office/infopath/2007/PartnerControls"/>
    <ds:schemaRef ds:uri="32a1a8c5-2265-4ebc-b7a0-2071e2c5c9bb"/>
    <ds:schemaRef ds:uri="996b2e75-67fd-4955-a3b0-5ab9934cb50b"/>
    <ds:schemaRef ds:uri="76b7d054-b29f-418b-b414-6b742f999448"/>
  </ds:schemaRefs>
</ds:datastoreItem>
</file>

<file path=customXml/itemProps5.xml><?xml version="1.0" encoding="utf-8"?>
<ds:datastoreItem xmlns:ds="http://schemas.openxmlformats.org/officeDocument/2006/customXml" ds:itemID="{405B3A39-F63A-4850-8BB5-5BB640224D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2243</Words>
  <Characters>12694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R23-WRC23-C-0111!A22-A1!MSW-E</vt:lpstr>
    </vt:vector>
  </TitlesOfParts>
  <Manager>General Secretariat - Pool</Manager>
  <Company>International Telecommunication Union (ITU)</Company>
  <LinksUpToDate>false</LinksUpToDate>
  <CharactersWithSpaces>14908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R23-WRC23-C-0111!A22-A1!MSW-E</dc:title>
  <dc:subject>World Radiocommunication Conference - 2023</dc:subject>
  <dc:creator>Documents Proposals Manager (DPM)</dc:creator>
  <cp:keywords>DPM_v2023.8.1.1_prod</cp:keywords>
  <dc:description>Uploaded on 2015.07.06</dc:description>
  <cp:lastModifiedBy>Xue, Kun</cp:lastModifiedBy>
  <cp:revision>10</cp:revision>
  <cp:lastPrinted>2017-02-10T08:23:00Z</cp:lastPrinted>
  <dcterms:created xsi:type="dcterms:W3CDTF">2023-11-06T16:19:00Z</dcterms:created>
  <dcterms:modified xsi:type="dcterms:W3CDTF">2023-11-06T16:33:00Z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