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05120D" w14:paraId="712C2331" w14:textId="77777777" w:rsidTr="00C1305F">
        <w:trPr>
          <w:cantSplit/>
        </w:trPr>
        <w:tc>
          <w:tcPr>
            <w:tcW w:w="1418" w:type="dxa"/>
            <w:vAlign w:val="center"/>
          </w:tcPr>
          <w:p w14:paraId="52020856" w14:textId="77777777" w:rsidR="00C1305F" w:rsidRPr="0005120D" w:rsidRDefault="00C1305F" w:rsidP="0075471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5120D">
              <w:rPr>
                <w:lang w:eastAsia="fr-CH"/>
              </w:rPr>
              <w:drawing>
                <wp:inline distT="0" distB="0" distL="0" distR="0" wp14:anchorId="4C8DA4DD" wp14:editId="70FA94F7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306AC0D" w14:textId="74EE4ECC" w:rsidR="00C1305F" w:rsidRPr="0005120D" w:rsidRDefault="00C1305F" w:rsidP="00754714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05120D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05120D">
              <w:rPr>
                <w:rFonts w:ascii="Verdana" w:hAnsi="Verdana"/>
                <w:b/>
                <w:bCs/>
                <w:sz w:val="20"/>
              </w:rPr>
              <w:br/>
            </w:r>
            <w:r w:rsidRPr="0005120D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286004" w:rsidRPr="0005120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05120D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22033C47" w14:textId="77777777" w:rsidR="00C1305F" w:rsidRPr="0005120D" w:rsidRDefault="00C1305F" w:rsidP="00754714">
            <w:pPr>
              <w:spacing w:before="0"/>
            </w:pPr>
            <w:bookmarkStart w:id="0" w:name="ditulogo"/>
            <w:bookmarkEnd w:id="0"/>
            <w:r w:rsidRPr="0005120D">
              <w:rPr>
                <w:lang w:eastAsia="fr-CH"/>
              </w:rPr>
              <w:drawing>
                <wp:inline distT="0" distB="0" distL="0" distR="0" wp14:anchorId="5831AA09" wp14:editId="0455011A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05120D" w14:paraId="522D639D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54EFFDE" w14:textId="77777777" w:rsidR="00BB1D82" w:rsidRPr="0005120D" w:rsidRDefault="00BB1D82" w:rsidP="00754714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2BAC53D" w14:textId="77777777" w:rsidR="00BB1D82" w:rsidRPr="0005120D" w:rsidRDefault="00BB1D82" w:rsidP="0075471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05120D" w14:paraId="73A2197E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2536F8E" w14:textId="77777777" w:rsidR="00BB1D82" w:rsidRPr="0005120D" w:rsidRDefault="00BB1D82" w:rsidP="0075471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5EB6C2F" w14:textId="77777777" w:rsidR="00BB1D82" w:rsidRPr="0005120D" w:rsidRDefault="00BB1D82" w:rsidP="00754714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05120D" w14:paraId="146C8BF8" w14:textId="77777777" w:rsidTr="00BB1D82">
        <w:trPr>
          <w:cantSplit/>
        </w:trPr>
        <w:tc>
          <w:tcPr>
            <w:tcW w:w="6911" w:type="dxa"/>
            <w:gridSpan w:val="2"/>
          </w:tcPr>
          <w:p w14:paraId="2CB8EF7C" w14:textId="77777777" w:rsidR="00BB1D82" w:rsidRPr="0005120D" w:rsidRDefault="006D4724" w:rsidP="0075471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5120D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DC83380" w14:textId="77777777" w:rsidR="00BB1D82" w:rsidRPr="0005120D" w:rsidRDefault="006D4724" w:rsidP="00754714">
            <w:pPr>
              <w:spacing w:before="0"/>
              <w:rPr>
                <w:rFonts w:ascii="Verdana" w:hAnsi="Verdana"/>
                <w:sz w:val="20"/>
              </w:rPr>
            </w:pPr>
            <w:r w:rsidRPr="0005120D">
              <w:rPr>
                <w:rFonts w:ascii="Verdana" w:hAnsi="Verdana"/>
                <w:b/>
                <w:sz w:val="20"/>
              </w:rPr>
              <w:t>Addendum 18 au</w:t>
            </w:r>
            <w:r w:rsidRPr="0005120D">
              <w:rPr>
                <w:rFonts w:ascii="Verdana" w:hAnsi="Verdana"/>
                <w:b/>
                <w:sz w:val="20"/>
              </w:rPr>
              <w:br/>
              <w:t>Document 111</w:t>
            </w:r>
            <w:r w:rsidR="00BB1D82" w:rsidRPr="0005120D">
              <w:rPr>
                <w:rFonts w:ascii="Verdana" w:hAnsi="Verdana"/>
                <w:b/>
                <w:sz w:val="20"/>
              </w:rPr>
              <w:t>-</w:t>
            </w:r>
            <w:r w:rsidRPr="0005120D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05120D" w14:paraId="3092E72D" w14:textId="77777777" w:rsidTr="00BB1D82">
        <w:trPr>
          <w:cantSplit/>
        </w:trPr>
        <w:tc>
          <w:tcPr>
            <w:tcW w:w="6911" w:type="dxa"/>
            <w:gridSpan w:val="2"/>
          </w:tcPr>
          <w:p w14:paraId="23427419" w14:textId="77777777" w:rsidR="00690C7B" w:rsidRPr="0005120D" w:rsidRDefault="00690C7B" w:rsidP="0075471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76CB61A" w14:textId="77777777" w:rsidR="00690C7B" w:rsidRPr="0005120D" w:rsidRDefault="00690C7B" w:rsidP="0075471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5120D">
              <w:rPr>
                <w:rFonts w:ascii="Verdana" w:hAnsi="Verdana"/>
                <w:b/>
                <w:sz w:val="20"/>
              </w:rPr>
              <w:t>29 octobre 2023</w:t>
            </w:r>
          </w:p>
        </w:tc>
      </w:tr>
      <w:tr w:rsidR="00690C7B" w:rsidRPr="0005120D" w14:paraId="0870F0CB" w14:textId="77777777" w:rsidTr="00BB1D82">
        <w:trPr>
          <w:cantSplit/>
        </w:trPr>
        <w:tc>
          <w:tcPr>
            <w:tcW w:w="6911" w:type="dxa"/>
            <w:gridSpan w:val="2"/>
          </w:tcPr>
          <w:p w14:paraId="0EBB7A20" w14:textId="77777777" w:rsidR="00690C7B" w:rsidRPr="0005120D" w:rsidRDefault="00690C7B" w:rsidP="0075471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948C9C2" w14:textId="77777777" w:rsidR="00690C7B" w:rsidRPr="0005120D" w:rsidRDefault="00690C7B" w:rsidP="0075471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5120D">
              <w:rPr>
                <w:rFonts w:ascii="Verdana" w:hAnsi="Verdana"/>
                <w:b/>
                <w:sz w:val="20"/>
              </w:rPr>
              <w:t>Original: chinois</w:t>
            </w:r>
          </w:p>
        </w:tc>
      </w:tr>
      <w:tr w:rsidR="00690C7B" w:rsidRPr="0005120D" w14:paraId="752CED3C" w14:textId="77777777" w:rsidTr="00C11970">
        <w:trPr>
          <w:cantSplit/>
        </w:trPr>
        <w:tc>
          <w:tcPr>
            <w:tcW w:w="10031" w:type="dxa"/>
            <w:gridSpan w:val="4"/>
          </w:tcPr>
          <w:p w14:paraId="6FD26300" w14:textId="77777777" w:rsidR="00690C7B" w:rsidRPr="0005120D" w:rsidRDefault="00690C7B" w:rsidP="0075471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05120D" w14:paraId="31E0C510" w14:textId="77777777" w:rsidTr="0050008E">
        <w:trPr>
          <w:cantSplit/>
        </w:trPr>
        <w:tc>
          <w:tcPr>
            <w:tcW w:w="10031" w:type="dxa"/>
            <w:gridSpan w:val="4"/>
          </w:tcPr>
          <w:p w14:paraId="579608E9" w14:textId="77777777" w:rsidR="00690C7B" w:rsidRPr="0005120D" w:rsidRDefault="00690C7B" w:rsidP="00754714">
            <w:pPr>
              <w:pStyle w:val="Source"/>
            </w:pPr>
            <w:bookmarkStart w:id="2" w:name="dsource" w:colFirst="0" w:colLast="0"/>
            <w:r w:rsidRPr="0005120D">
              <w:t>Chine (République populaire de)</w:t>
            </w:r>
          </w:p>
        </w:tc>
      </w:tr>
      <w:tr w:rsidR="00690C7B" w:rsidRPr="0005120D" w14:paraId="454F325F" w14:textId="77777777" w:rsidTr="0050008E">
        <w:trPr>
          <w:cantSplit/>
        </w:trPr>
        <w:tc>
          <w:tcPr>
            <w:tcW w:w="10031" w:type="dxa"/>
            <w:gridSpan w:val="4"/>
          </w:tcPr>
          <w:p w14:paraId="16F4B84D" w14:textId="188A1177" w:rsidR="00690C7B" w:rsidRPr="0005120D" w:rsidRDefault="0091584C" w:rsidP="00754714">
            <w:pPr>
              <w:pStyle w:val="Title1"/>
            </w:pPr>
            <w:bookmarkStart w:id="3" w:name="dtitle1" w:colFirst="0" w:colLast="0"/>
            <w:bookmarkEnd w:id="2"/>
            <w:r w:rsidRPr="0005120D">
              <w:t>Proposition pour les travaux de la Conférence</w:t>
            </w:r>
          </w:p>
        </w:tc>
      </w:tr>
      <w:tr w:rsidR="00690C7B" w:rsidRPr="0005120D" w14:paraId="29BAF4F7" w14:textId="77777777" w:rsidTr="0050008E">
        <w:trPr>
          <w:cantSplit/>
        </w:trPr>
        <w:tc>
          <w:tcPr>
            <w:tcW w:w="10031" w:type="dxa"/>
            <w:gridSpan w:val="4"/>
          </w:tcPr>
          <w:p w14:paraId="0A4C3C88" w14:textId="77777777" w:rsidR="00690C7B" w:rsidRPr="0005120D" w:rsidRDefault="00690C7B" w:rsidP="00754714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05120D" w14:paraId="35EAD305" w14:textId="77777777" w:rsidTr="0050008E">
        <w:trPr>
          <w:cantSplit/>
        </w:trPr>
        <w:tc>
          <w:tcPr>
            <w:tcW w:w="10031" w:type="dxa"/>
            <w:gridSpan w:val="4"/>
          </w:tcPr>
          <w:p w14:paraId="04546D1E" w14:textId="77777777" w:rsidR="00690C7B" w:rsidRPr="0005120D" w:rsidRDefault="00690C7B" w:rsidP="00754714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05120D">
              <w:rPr>
                <w:lang w:val="fr-FR"/>
              </w:rPr>
              <w:t>Point 1.18 de l'ordre du jour</w:t>
            </w:r>
          </w:p>
        </w:tc>
      </w:tr>
    </w:tbl>
    <w:bookmarkEnd w:id="5"/>
    <w:p w14:paraId="0CAE265C" w14:textId="77777777" w:rsidR="00F5133A" w:rsidRPr="0005120D" w:rsidRDefault="00286004" w:rsidP="00754714">
      <w:r w:rsidRPr="0005120D">
        <w:rPr>
          <w:bCs/>
          <w:iCs/>
        </w:rPr>
        <w:t>1.18</w:t>
      </w:r>
      <w:r w:rsidRPr="0005120D">
        <w:rPr>
          <w:bCs/>
          <w:iCs/>
        </w:rPr>
        <w:tab/>
        <w:t xml:space="preserve">envisager des études relatives aux besoins de spectre et aux nouvelles attributions éventuelles au service mobile par satellite pour le développement futur des systèmes mobiles à satellites à bande étroite, conformément à la Résolution </w:t>
      </w:r>
      <w:r w:rsidRPr="0005120D">
        <w:rPr>
          <w:b/>
          <w:bCs/>
          <w:iCs/>
        </w:rPr>
        <w:t>248 (CMR-19)</w:t>
      </w:r>
      <w:r w:rsidRPr="0005120D">
        <w:rPr>
          <w:bCs/>
          <w:iCs/>
        </w:rPr>
        <w:t>;</w:t>
      </w:r>
    </w:p>
    <w:p w14:paraId="10024C1A" w14:textId="02549436" w:rsidR="003A583E" w:rsidRPr="0005120D" w:rsidRDefault="0091584C" w:rsidP="00754714">
      <w:pPr>
        <w:pStyle w:val="Headingb"/>
      </w:pPr>
      <w:r w:rsidRPr="0005120D">
        <w:t>Introduction</w:t>
      </w:r>
    </w:p>
    <w:p w14:paraId="073FAF51" w14:textId="44F2DCB4" w:rsidR="0091584C" w:rsidRPr="0005120D" w:rsidRDefault="0091584C" w:rsidP="00754714">
      <w:pPr>
        <w:rPr>
          <w:iCs/>
        </w:rPr>
      </w:pPr>
      <w:r w:rsidRPr="0005120D">
        <w:t>Au</w:t>
      </w:r>
      <w:r w:rsidR="00592704" w:rsidRPr="0005120D">
        <w:t xml:space="preserve"> titre </w:t>
      </w:r>
      <w:r w:rsidRPr="0005120D">
        <w:t>d</w:t>
      </w:r>
      <w:r w:rsidR="002331C6" w:rsidRPr="0005120D">
        <w:t xml:space="preserve">u </w:t>
      </w:r>
      <w:r w:rsidRPr="0005120D">
        <w:t>point 1.18 de l'ordre du jour de la CMR-23</w:t>
      </w:r>
      <w:r w:rsidR="002331C6" w:rsidRPr="0005120D">
        <w:t xml:space="preserve">, la CMR-23 </w:t>
      </w:r>
      <w:r w:rsidRPr="0005120D">
        <w:t>est invité</w:t>
      </w:r>
      <w:r w:rsidR="002331C6" w:rsidRPr="0005120D">
        <w:t>e</w:t>
      </w:r>
      <w:r w:rsidRPr="0005120D">
        <w:t xml:space="preserve"> à mener des études relatives aux besoins de spectre et aux nouvelles attributions éventuelles au service mobile par satellite dans les bandes de fréquences 1 695-1 710 MHz, 2 010</w:t>
      </w:r>
      <w:r w:rsidRPr="0005120D">
        <w:noBreakHyphen/>
        <w:t>2 025 MHz, 3 300-3 315 MHz et</w:t>
      </w:r>
      <w:r w:rsidR="00424B75" w:rsidRPr="0005120D">
        <w:t> </w:t>
      </w:r>
      <w:r w:rsidRPr="0005120D">
        <w:t>3 385-3 400 MHz pour le développement futur des systèmes mobiles à satellites à bande étroite, tout en garantissant la protection des services primaires existants dans ces bandes de fréquences et dans les bandes de fréquences adjacentes</w:t>
      </w:r>
      <w:r w:rsidR="0042776A" w:rsidRPr="0005120D">
        <w:t>, sans que des contraintes inutiles soient imposées à ces services et à leur développement futur.</w:t>
      </w:r>
    </w:p>
    <w:p w14:paraId="01C67FBD" w14:textId="12E20BD5" w:rsidR="0091584C" w:rsidRPr="0005120D" w:rsidRDefault="0042776A" w:rsidP="00754714">
      <w:r w:rsidRPr="0005120D">
        <w:t xml:space="preserve">Conformément à la Résolution </w:t>
      </w:r>
      <w:r w:rsidRPr="0005120D">
        <w:rPr>
          <w:b/>
          <w:bCs/>
        </w:rPr>
        <w:t>248 (Rév. CMR-23)</w:t>
      </w:r>
      <w:r w:rsidRPr="0005120D">
        <w:t>, les bandes de fréquences possibles concernant le point 1.18 de l</w:t>
      </w:r>
      <w:r w:rsidR="00424B75" w:rsidRPr="0005120D">
        <w:t>'</w:t>
      </w:r>
      <w:r w:rsidRPr="0005120D">
        <w:t>ordre du jour sont les suivantes</w:t>
      </w:r>
      <w:r w:rsidR="0091584C" w:rsidRPr="0005120D">
        <w:t>:</w:t>
      </w:r>
    </w:p>
    <w:p w14:paraId="33FD8573" w14:textId="67B3D441" w:rsidR="0091584C" w:rsidRPr="0005120D" w:rsidRDefault="0091584C" w:rsidP="00754714">
      <w:pPr>
        <w:pStyle w:val="enumlev1"/>
      </w:pPr>
      <w:r w:rsidRPr="0005120D">
        <w:t>–</w:t>
      </w:r>
      <w:r w:rsidRPr="0005120D">
        <w:tab/>
        <w:t>1 695-1 710 MHz en Région 2;</w:t>
      </w:r>
    </w:p>
    <w:p w14:paraId="1FF55649" w14:textId="40B52AAF" w:rsidR="0091584C" w:rsidRPr="0005120D" w:rsidRDefault="0091584C" w:rsidP="00754714">
      <w:pPr>
        <w:pStyle w:val="enumlev1"/>
      </w:pPr>
      <w:r w:rsidRPr="0005120D">
        <w:t>–</w:t>
      </w:r>
      <w:r w:rsidRPr="0005120D">
        <w:tab/>
        <w:t>2 010-2</w:t>
      </w:r>
      <w:r w:rsidR="00A571EC" w:rsidRPr="0005120D">
        <w:t xml:space="preserve"> </w:t>
      </w:r>
      <w:r w:rsidRPr="0005120D">
        <w:t>025 MHz en Région 1;</w:t>
      </w:r>
    </w:p>
    <w:p w14:paraId="1A2E03C1" w14:textId="5F229C86" w:rsidR="0091584C" w:rsidRPr="0005120D" w:rsidRDefault="0091584C" w:rsidP="00754714">
      <w:pPr>
        <w:pStyle w:val="enumlev1"/>
      </w:pPr>
      <w:r w:rsidRPr="0005120D">
        <w:t>–</w:t>
      </w:r>
      <w:r w:rsidRPr="0005120D">
        <w:tab/>
        <w:t>3 300-3 315 MHz et 3385-3 400 MHz en Région 2.</w:t>
      </w:r>
    </w:p>
    <w:p w14:paraId="25C7EDDE" w14:textId="3A6F414E" w:rsidR="0091584C" w:rsidRPr="0005120D" w:rsidRDefault="0042776A" w:rsidP="00754714">
      <w:r w:rsidRPr="0005120D">
        <w:t xml:space="preserve">Toutefois, </w:t>
      </w:r>
      <w:r w:rsidR="00070DA0" w:rsidRPr="0005120D">
        <w:t>en raison</w:t>
      </w:r>
      <w:r w:rsidRPr="0005120D">
        <w:t xml:space="preserve"> de l</w:t>
      </w:r>
      <w:r w:rsidR="00424B75" w:rsidRPr="0005120D">
        <w:t>'</w:t>
      </w:r>
      <w:r w:rsidRPr="0005120D">
        <w:t xml:space="preserve">ambiguïté du point </w:t>
      </w:r>
      <w:r w:rsidRPr="0005120D">
        <w:rPr>
          <w:i/>
          <w:iCs/>
        </w:rPr>
        <w:t>c)</w:t>
      </w:r>
      <w:r w:rsidRPr="0005120D">
        <w:t xml:space="preserve"> du </w:t>
      </w:r>
      <w:r w:rsidRPr="0005120D">
        <w:rPr>
          <w:i/>
          <w:iCs/>
        </w:rPr>
        <w:t>reconnaissant</w:t>
      </w:r>
      <w:r w:rsidRPr="0005120D">
        <w:t xml:space="preserve"> de la Résolution </w:t>
      </w:r>
      <w:r w:rsidRPr="0005120D">
        <w:rPr>
          <w:b/>
          <w:bCs/>
        </w:rPr>
        <w:t>248 (CMR-19)</w:t>
      </w:r>
      <w:r w:rsidRPr="0005120D">
        <w:t>, les caractéristiques du SMS pour les études de partage et de compatibilité n</w:t>
      </w:r>
      <w:r w:rsidR="00424B75" w:rsidRPr="0005120D">
        <w:t>'</w:t>
      </w:r>
      <w:r w:rsidRPr="0005120D">
        <w:t xml:space="preserve">ont pas été définies. </w:t>
      </w:r>
      <w:r w:rsidR="00070DA0" w:rsidRPr="0005120D">
        <w:t>En conséquence</w:t>
      </w:r>
      <w:r w:rsidRPr="0005120D">
        <w:t>, les études de partage et de compatibilité avec les services primaires existants n</w:t>
      </w:r>
      <w:r w:rsidR="00424B75" w:rsidRPr="0005120D">
        <w:t>'</w:t>
      </w:r>
      <w:r w:rsidRPr="0005120D">
        <w:t>ont pas pu être menées à bien, de sorte qu</w:t>
      </w:r>
      <w:r w:rsidR="00424B75" w:rsidRPr="0005120D">
        <w:t>'</w:t>
      </w:r>
      <w:r w:rsidRPr="0005120D">
        <w:t>il est impossible de déterminer si les nouvelles attributions au</w:t>
      </w:r>
      <w:r w:rsidR="00A571EC" w:rsidRPr="0005120D">
        <w:t xml:space="preserve"> </w:t>
      </w:r>
      <w:r w:rsidRPr="0005120D">
        <w:t xml:space="preserve">SMS sont </w:t>
      </w:r>
      <w:r w:rsidR="00070DA0" w:rsidRPr="0005120D">
        <w:t xml:space="preserve">ou non </w:t>
      </w:r>
      <w:r w:rsidRPr="0005120D">
        <w:t>appropriées.</w:t>
      </w:r>
    </w:p>
    <w:p w14:paraId="7947CB53" w14:textId="3353559A" w:rsidR="0042776A" w:rsidRPr="0005120D" w:rsidRDefault="00424B75" w:rsidP="00754714">
      <w:r w:rsidRPr="0005120D">
        <w:t>À</w:t>
      </w:r>
      <w:r w:rsidR="0042776A" w:rsidRPr="0005120D">
        <w:t xml:space="preserve"> la suite des discussions tenues </w:t>
      </w:r>
      <w:r w:rsidR="00D06B60" w:rsidRPr="0005120D">
        <w:t>au sein du GT 4C et à la RPC23-2, trois méthodes ont été mises au point pour traiter ce point de l</w:t>
      </w:r>
      <w:r w:rsidRPr="0005120D">
        <w:t>'</w:t>
      </w:r>
      <w:r w:rsidR="00D06B60" w:rsidRPr="0005120D">
        <w:t>ordre du jour, mais aucun</w:t>
      </w:r>
      <w:r w:rsidR="00070DA0" w:rsidRPr="0005120D">
        <w:t xml:space="preserve">e </w:t>
      </w:r>
      <w:r w:rsidR="00D06B60" w:rsidRPr="0005120D">
        <w:t>de ces méthodes</w:t>
      </w:r>
      <w:r w:rsidR="00070DA0" w:rsidRPr="0005120D">
        <w:t xml:space="preserve"> ne fait consensus</w:t>
      </w:r>
      <w:r w:rsidR="00D06B60" w:rsidRPr="0005120D">
        <w:t>.</w:t>
      </w:r>
    </w:p>
    <w:p w14:paraId="40573164" w14:textId="069B08F7" w:rsidR="0091584C" w:rsidRPr="0005120D" w:rsidRDefault="0091584C" w:rsidP="00754714">
      <w:pPr>
        <w:pStyle w:val="enumlev1"/>
      </w:pPr>
      <w:r w:rsidRPr="0005120D">
        <w:t>–</w:t>
      </w:r>
      <w:r w:rsidRPr="0005120D">
        <w:tab/>
      </w:r>
      <w:r w:rsidRPr="0005120D">
        <w:rPr>
          <w:b/>
          <w:bCs/>
        </w:rPr>
        <w:t>Méthode A</w:t>
      </w:r>
      <w:r w:rsidRPr="0005120D">
        <w:t xml:space="preserve">: </w:t>
      </w:r>
      <w:r w:rsidR="00424B75" w:rsidRPr="0005120D">
        <w:t>p</w:t>
      </w:r>
      <w:r w:rsidR="00D06B60" w:rsidRPr="0005120D">
        <w:t xml:space="preserve">as de modification du Règlement des radiocommunications et suppression de la Résolution </w:t>
      </w:r>
      <w:r w:rsidR="00D06B60" w:rsidRPr="0005120D">
        <w:rPr>
          <w:b/>
          <w:bCs/>
        </w:rPr>
        <w:t>248 (CMR-19)</w:t>
      </w:r>
      <w:r w:rsidR="00E62992" w:rsidRPr="0005120D">
        <w:t>.</w:t>
      </w:r>
    </w:p>
    <w:p w14:paraId="56DB60A5" w14:textId="7C8D47CA" w:rsidR="0091584C" w:rsidRPr="0005120D" w:rsidRDefault="0091584C" w:rsidP="00754714">
      <w:pPr>
        <w:pStyle w:val="enumlev1"/>
      </w:pPr>
      <w:r w:rsidRPr="0005120D">
        <w:lastRenderedPageBreak/>
        <w:t>–</w:t>
      </w:r>
      <w:r w:rsidRPr="0005120D">
        <w:tab/>
      </w:r>
      <w:r w:rsidRPr="0005120D">
        <w:rPr>
          <w:b/>
          <w:bCs/>
        </w:rPr>
        <w:t>Méthode B</w:t>
      </w:r>
      <w:r w:rsidRPr="0005120D">
        <w:t xml:space="preserve">: </w:t>
      </w:r>
      <w:r w:rsidR="00424B75" w:rsidRPr="0005120D">
        <w:t>p</w:t>
      </w:r>
      <w:r w:rsidRPr="0005120D">
        <w:t xml:space="preserve">as de modification des </w:t>
      </w:r>
      <w:r w:rsidR="00D06B60" w:rsidRPr="0005120D">
        <w:t xml:space="preserve">dispositions </w:t>
      </w:r>
      <w:r w:rsidRPr="0005120D">
        <w:t xml:space="preserve">et Appendices du Règlement des radiocommunications, hormis une révision de la Résolution </w:t>
      </w:r>
      <w:r w:rsidRPr="0005120D">
        <w:rPr>
          <w:b/>
          <w:bCs/>
        </w:rPr>
        <w:t>248 (CMR-19)</w:t>
      </w:r>
      <w:r w:rsidR="00E62992" w:rsidRPr="0005120D">
        <w:rPr>
          <w:b/>
          <w:bCs/>
        </w:rPr>
        <w:t xml:space="preserve"> </w:t>
      </w:r>
      <w:r w:rsidR="00E62992" w:rsidRPr="0005120D">
        <w:t>visant à</w:t>
      </w:r>
      <w:r w:rsidR="00D06B60" w:rsidRPr="0005120D">
        <w:t xml:space="preserve"> traiter les problèmes et les incohérences </w:t>
      </w:r>
      <w:r w:rsidR="00E62992" w:rsidRPr="0005120D">
        <w:t>contenus</w:t>
      </w:r>
      <w:r w:rsidR="00D06B60" w:rsidRPr="0005120D">
        <w:t xml:space="preserve"> dans cette Résolution</w:t>
      </w:r>
      <w:r w:rsidRPr="0005120D">
        <w:t>.</w:t>
      </w:r>
    </w:p>
    <w:p w14:paraId="7DD7A592" w14:textId="7734BF07" w:rsidR="0091584C" w:rsidRPr="0005120D" w:rsidRDefault="0091584C" w:rsidP="00754714">
      <w:pPr>
        <w:pStyle w:val="enumlev1"/>
      </w:pPr>
      <w:r w:rsidRPr="0005120D">
        <w:t>–</w:t>
      </w:r>
      <w:r w:rsidRPr="0005120D">
        <w:tab/>
      </w:r>
      <w:r w:rsidRPr="0005120D">
        <w:rPr>
          <w:b/>
          <w:bCs/>
        </w:rPr>
        <w:t>Méthode C</w:t>
      </w:r>
      <w:r w:rsidRPr="0005120D">
        <w:t xml:space="preserve">: </w:t>
      </w:r>
      <w:r w:rsidR="00424B75" w:rsidRPr="0005120D">
        <w:t>a</w:t>
      </w:r>
      <w:r w:rsidRPr="0005120D">
        <w:t xml:space="preserve">ttribution de la bande de fréquences 2 010-2 025 MHz au service mobile par satellite (Terre vers espace) à titre primaire </w:t>
      </w:r>
      <w:r w:rsidR="00D06B60" w:rsidRPr="0005120D">
        <w:t>en Région 1.</w:t>
      </w:r>
    </w:p>
    <w:p w14:paraId="35190A81" w14:textId="4B5BB70B" w:rsidR="0091584C" w:rsidRPr="0005120D" w:rsidRDefault="0091584C" w:rsidP="00754714">
      <w:pPr>
        <w:pStyle w:val="Headingb"/>
      </w:pPr>
      <w:r w:rsidRPr="0005120D">
        <w:t>Proposition</w:t>
      </w:r>
    </w:p>
    <w:p w14:paraId="4767315F" w14:textId="1E0116EA" w:rsidR="0091584C" w:rsidRPr="0005120D" w:rsidRDefault="00D06B60" w:rsidP="00754714">
      <w:r w:rsidRPr="0005120D">
        <w:t>L</w:t>
      </w:r>
      <w:r w:rsidR="00424B75" w:rsidRPr="0005120D">
        <w:t>'</w:t>
      </w:r>
      <w:r w:rsidRPr="0005120D">
        <w:t>UIT-R n</w:t>
      </w:r>
      <w:r w:rsidR="00424B75" w:rsidRPr="0005120D">
        <w:t>'</w:t>
      </w:r>
      <w:r w:rsidRPr="0005120D">
        <w:t>a pas été en mesure d</w:t>
      </w:r>
      <w:r w:rsidR="00424B75" w:rsidRPr="0005120D">
        <w:t>'</w:t>
      </w:r>
      <w:r w:rsidRPr="0005120D">
        <w:t>achever l</w:t>
      </w:r>
      <w:r w:rsidR="00424B75" w:rsidRPr="0005120D">
        <w:t>'</w:t>
      </w:r>
      <w:r w:rsidRPr="0005120D">
        <w:t>étude relative aux paramètres des systèmes du</w:t>
      </w:r>
      <w:r w:rsidR="00424B75" w:rsidRPr="0005120D">
        <w:t> </w:t>
      </w:r>
      <w:r w:rsidRPr="0005120D">
        <w:t>SMS pendant la période d</w:t>
      </w:r>
      <w:r w:rsidR="00424B75" w:rsidRPr="0005120D">
        <w:t>'</w:t>
      </w:r>
      <w:r w:rsidRPr="0005120D">
        <w:t>études de la CMR-23 en raison de l</w:t>
      </w:r>
      <w:r w:rsidR="00424B75" w:rsidRPr="0005120D">
        <w:t>'</w:t>
      </w:r>
      <w:r w:rsidRPr="0005120D">
        <w:t xml:space="preserve">ambiguïté du point </w:t>
      </w:r>
      <w:r w:rsidRPr="0005120D">
        <w:rPr>
          <w:i/>
          <w:iCs/>
        </w:rPr>
        <w:t>c)</w:t>
      </w:r>
      <w:r w:rsidRPr="0005120D">
        <w:t xml:space="preserve"> du </w:t>
      </w:r>
      <w:r w:rsidRPr="0005120D">
        <w:rPr>
          <w:i/>
          <w:iCs/>
        </w:rPr>
        <w:t>reconnaissant</w:t>
      </w:r>
      <w:r w:rsidRPr="0005120D">
        <w:t xml:space="preserve"> de la Résolution </w:t>
      </w:r>
      <w:r w:rsidRPr="0005120D">
        <w:rPr>
          <w:b/>
          <w:bCs/>
        </w:rPr>
        <w:t>248 (CMR-19)</w:t>
      </w:r>
      <w:r w:rsidRPr="0005120D">
        <w:t>. En conséquence, les études de partage et de compatibilité avec les services primaires existants n</w:t>
      </w:r>
      <w:r w:rsidR="00424B75" w:rsidRPr="0005120D">
        <w:t>'</w:t>
      </w:r>
      <w:r w:rsidRPr="0005120D">
        <w:t>ont pas pu être menées à bien. Dans la mesure où l</w:t>
      </w:r>
      <w:r w:rsidR="00424B75" w:rsidRPr="0005120D">
        <w:t>'</w:t>
      </w:r>
      <w:r w:rsidRPr="0005120D">
        <w:t>UIT-R n</w:t>
      </w:r>
      <w:r w:rsidR="00424B75" w:rsidRPr="0005120D">
        <w:t>'</w:t>
      </w:r>
      <w:r w:rsidRPr="0005120D">
        <w:t>est pas en mesure d</w:t>
      </w:r>
      <w:r w:rsidR="00424B75" w:rsidRPr="0005120D">
        <w:t>'</w:t>
      </w:r>
      <w:r w:rsidRPr="0005120D">
        <w:t>achever les études de partage et de compatibilité avec les services primaires existants en l</w:t>
      </w:r>
      <w:r w:rsidR="00424B75" w:rsidRPr="0005120D">
        <w:t>'</w:t>
      </w:r>
      <w:r w:rsidRPr="0005120D">
        <w:t xml:space="preserve">absence de paramètres du SMS, </w:t>
      </w:r>
      <w:r w:rsidR="00592704" w:rsidRPr="0005120D">
        <w:t>de sorte qu</w:t>
      </w:r>
      <w:r w:rsidR="00424B75" w:rsidRPr="0005120D">
        <w:t>'</w:t>
      </w:r>
      <w:r w:rsidR="00592704" w:rsidRPr="0005120D">
        <w:t xml:space="preserve">il est impossible de déterminer les mesures réglementaires et techniques </w:t>
      </w:r>
      <w:r w:rsidR="00070DA0" w:rsidRPr="0005120D">
        <w:t xml:space="preserve">nécessaires à </w:t>
      </w:r>
      <w:r w:rsidR="00592704" w:rsidRPr="0005120D">
        <w:t>la protection des services existants, il n</w:t>
      </w:r>
      <w:r w:rsidR="00424B75" w:rsidRPr="0005120D">
        <w:t>'</w:t>
      </w:r>
      <w:r w:rsidR="00592704" w:rsidRPr="0005120D">
        <w:t>existe, en l</w:t>
      </w:r>
      <w:r w:rsidR="00424B75" w:rsidRPr="0005120D">
        <w:t>'</w:t>
      </w:r>
      <w:r w:rsidR="00592704" w:rsidRPr="0005120D">
        <w:t>état actuel des choses, aucune base permettant de faire une nouvelle attribution de fréquence au service mobile par satellite.</w:t>
      </w:r>
    </w:p>
    <w:p w14:paraId="5ECE1216" w14:textId="55F2D10C" w:rsidR="00592704" w:rsidRPr="0005120D" w:rsidRDefault="00592704" w:rsidP="00754714">
      <w:r w:rsidRPr="0005120D">
        <w:t>La Chine est favorable à la Méthode A.</w:t>
      </w:r>
    </w:p>
    <w:p w14:paraId="432E2928" w14:textId="77777777" w:rsidR="0015203F" w:rsidRPr="0005120D" w:rsidRDefault="0015203F" w:rsidP="0075471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5120D">
        <w:br w:type="page"/>
      </w:r>
    </w:p>
    <w:p w14:paraId="5CEDC7B5" w14:textId="77777777" w:rsidR="002134A1" w:rsidRPr="0005120D" w:rsidRDefault="00286004" w:rsidP="00754714">
      <w:pPr>
        <w:pStyle w:val="Proposal"/>
      </w:pPr>
      <w:r w:rsidRPr="0005120D">
        <w:rPr>
          <w:u w:val="single"/>
        </w:rPr>
        <w:lastRenderedPageBreak/>
        <w:t>NOC</w:t>
      </w:r>
      <w:r w:rsidRPr="0005120D">
        <w:tab/>
        <w:t>CHN/111A18/1</w:t>
      </w:r>
    </w:p>
    <w:p w14:paraId="29136557" w14:textId="77777777" w:rsidR="00DC48DB" w:rsidRPr="0005120D" w:rsidRDefault="00286004" w:rsidP="00754714">
      <w:pPr>
        <w:pStyle w:val="Volumetitle"/>
        <w:rPr>
          <w:lang w:val="fr-FR"/>
        </w:rPr>
      </w:pPr>
      <w:bookmarkStart w:id="6" w:name="_Toc455752901"/>
      <w:bookmarkStart w:id="7" w:name="_Toc455756140"/>
      <w:r w:rsidRPr="0005120D">
        <w:rPr>
          <w:lang w:val="fr-FR"/>
        </w:rPr>
        <w:t>ARTICLES</w:t>
      </w:r>
      <w:bookmarkEnd w:id="6"/>
      <w:bookmarkEnd w:id="7"/>
    </w:p>
    <w:p w14:paraId="68237460" w14:textId="01BB7A48" w:rsidR="002134A1" w:rsidRPr="0005120D" w:rsidRDefault="00286004" w:rsidP="00754714">
      <w:pPr>
        <w:pStyle w:val="Reasons"/>
      </w:pPr>
      <w:r w:rsidRPr="0005120D">
        <w:rPr>
          <w:b/>
        </w:rPr>
        <w:t>Motifs:</w:t>
      </w:r>
      <w:r w:rsidRPr="0005120D">
        <w:tab/>
      </w:r>
      <w:r w:rsidR="00592704" w:rsidRPr="0005120D">
        <w:t>Il n</w:t>
      </w:r>
      <w:r w:rsidR="00424B75" w:rsidRPr="0005120D">
        <w:t>'</w:t>
      </w:r>
      <w:r w:rsidR="00592704" w:rsidRPr="0005120D">
        <w:t>existe aucune base pour faire une nouvelle attribution de fréquence au service mobile par satellite faute d</w:t>
      </w:r>
      <w:r w:rsidR="00424B75" w:rsidRPr="0005120D">
        <w:t>'</w:t>
      </w:r>
      <w:r w:rsidR="00592704" w:rsidRPr="0005120D">
        <w:t>études de partage et de compatibilité.</w:t>
      </w:r>
    </w:p>
    <w:p w14:paraId="33346270" w14:textId="77777777" w:rsidR="002134A1" w:rsidRPr="0005120D" w:rsidRDefault="00286004" w:rsidP="00754714">
      <w:pPr>
        <w:pStyle w:val="Proposal"/>
      </w:pPr>
      <w:r w:rsidRPr="0005120D">
        <w:rPr>
          <w:u w:val="single"/>
        </w:rPr>
        <w:t>NOC</w:t>
      </w:r>
      <w:r w:rsidRPr="0005120D">
        <w:tab/>
        <w:t>CHN/111A18/2</w:t>
      </w:r>
    </w:p>
    <w:p w14:paraId="7BB13B2D" w14:textId="77777777" w:rsidR="00D80A8A" w:rsidRPr="0005120D" w:rsidRDefault="00286004" w:rsidP="00754714">
      <w:pPr>
        <w:pStyle w:val="Volumetitle"/>
        <w:rPr>
          <w:lang w:val="fr-FR"/>
        </w:rPr>
      </w:pPr>
      <w:bookmarkStart w:id="8" w:name="_Toc327956568"/>
      <w:r w:rsidRPr="0005120D">
        <w:rPr>
          <w:lang w:val="fr-FR"/>
        </w:rPr>
        <w:t>APPENDICES</w:t>
      </w:r>
      <w:bookmarkEnd w:id="8"/>
    </w:p>
    <w:p w14:paraId="59381B0B" w14:textId="4411A2B7" w:rsidR="002134A1" w:rsidRPr="0005120D" w:rsidRDefault="00286004" w:rsidP="00754714">
      <w:pPr>
        <w:pStyle w:val="Reasons"/>
      </w:pPr>
      <w:r w:rsidRPr="0005120D">
        <w:rPr>
          <w:b/>
        </w:rPr>
        <w:t>Motifs:</w:t>
      </w:r>
      <w:r w:rsidRPr="0005120D">
        <w:tab/>
      </w:r>
      <w:r w:rsidR="00592704" w:rsidRPr="0005120D">
        <w:t>Il n</w:t>
      </w:r>
      <w:r w:rsidR="00424B75" w:rsidRPr="0005120D">
        <w:t>'</w:t>
      </w:r>
      <w:r w:rsidR="00592704" w:rsidRPr="0005120D">
        <w:t>existe aucune base pour faire une nouvelle attribution de fréquence au service mobile par satellite faute d</w:t>
      </w:r>
      <w:r w:rsidR="00424B75" w:rsidRPr="0005120D">
        <w:t>'</w:t>
      </w:r>
      <w:r w:rsidR="00592704" w:rsidRPr="0005120D">
        <w:t>études de partage et de compatibilité.</w:t>
      </w:r>
    </w:p>
    <w:p w14:paraId="58724BD6" w14:textId="77777777" w:rsidR="002134A1" w:rsidRPr="0005120D" w:rsidRDefault="00286004" w:rsidP="00754714">
      <w:pPr>
        <w:pStyle w:val="Proposal"/>
      </w:pPr>
      <w:r w:rsidRPr="0005120D">
        <w:t>SUP</w:t>
      </w:r>
      <w:r w:rsidRPr="0005120D">
        <w:tab/>
        <w:t>CHN/111A18/3</w:t>
      </w:r>
    </w:p>
    <w:p w14:paraId="33D43E97" w14:textId="77777777" w:rsidR="00382BA8" w:rsidRPr="0005120D" w:rsidRDefault="00286004" w:rsidP="00754714">
      <w:pPr>
        <w:pStyle w:val="ResNo"/>
      </w:pPr>
      <w:bookmarkStart w:id="9" w:name="_Toc35933817"/>
      <w:bookmarkStart w:id="10" w:name="_Toc39829233"/>
      <w:r w:rsidRPr="0005120D">
        <w:t xml:space="preserve">RÉSOLUTION </w:t>
      </w:r>
      <w:r w:rsidRPr="0005120D">
        <w:rPr>
          <w:rStyle w:val="href"/>
          <w:caps w:val="0"/>
        </w:rPr>
        <w:t>248</w:t>
      </w:r>
      <w:r w:rsidRPr="0005120D">
        <w:t xml:space="preserve"> (CMR</w:t>
      </w:r>
      <w:r w:rsidRPr="0005120D">
        <w:noBreakHyphen/>
        <w:t>19)</w:t>
      </w:r>
      <w:bookmarkEnd w:id="9"/>
      <w:bookmarkEnd w:id="10"/>
    </w:p>
    <w:p w14:paraId="7071E545" w14:textId="518CD0A1" w:rsidR="00382BA8" w:rsidRPr="0005120D" w:rsidRDefault="00286004" w:rsidP="00754714">
      <w:pPr>
        <w:pStyle w:val="Restitle"/>
      </w:pPr>
      <w:bookmarkStart w:id="11" w:name="_Toc35933818"/>
      <w:bookmarkStart w:id="12" w:name="_Toc39829234"/>
      <w:r w:rsidRPr="0005120D">
        <w:t>Études relatives aux besoins de spectre et aux nouvelles attributions éventuelles au service mobile par satellite dans les bandes de fréquences 1 695-1 710 MHz,</w:t>
      </w:r>
      <w:r w:rsidRPr="0005120D" w:rsidDel="006E468E">
        <w:t xml:space="preserve"> </w:t>
      </w:r>
      <w:r w:rsidRPr="0005120D">
        <w:t>2 010-2 025 MHz, 3 300-3 315 MHz et 3</w:t>
      </w:r>
      <w:r w:rsidR="00424B75" w:rsidRPr="0005120D">
        <w:t xml:space="preserve"> </w:t>
      </w:r>
      <w:r w:rsidRPr="0005120D">
        <w:t>385</w:t>
      </w:r>
      <w:r w:rsidRPr="0005120D">
        <w:noBreakHyphen/>
        <w:t>3</w:t>
      </w:r>
      <w:r w:rsidR="00424B75" w:rsidRPr="0005120D">
        <w:t xml:space="preserve"> </w:t>
      </w:r>
      <w:r w:rsidRPr="0005120D">
        <w:t>400 MHz pour le développement futur des systèmes mobiles à satellites à bande étroite</w:t>
      </w:r>
      <w:bookmarkEnd w:id="11"/>
      <w:bookmarkEnd w:id="12"/>
    </w:p>
    <w:p w14:paraId="6C8FA46C" w14:textId="7A4B8A69" w:rsidR="0091584C" w:rsidRPr="0005120D" w:rsidRDefault="00286004" w:rsidP="00754714">
      <w:pPr>
        <w:pStyle w:val="Reasons"/>
      </w:pPr>
      <w:r w:rsidRPr="0005120D">
        <w:rPr>
          <w:b/>
        </w:rPr>
        <w:t>Motifs:</w:t>
      </w:r>
      <w:r w:rsidRPr="0005120D">
        <w:tab/>
      </w:r>
      <w:r w:rsidR="00592704" w:rsidRPr="0005120D">
        <w:t>Il n</w:t>
      </w:r>
      <w:r w:rsidR="00424B75" w:rsidRPr="0005120D">
        <w:t>'</w:t>
      </w:r>
      <w:r w:rsidR="00592704" w:rsidRPr="0005120D">
        <w:t>existe aucune base pour faire une nouvelle attribution de fréquence au service mobile par satellite faute d</w:t>
      </w:r>
      <w:r w:rsidR="00424B75" w:rsidRPr="0005120D">
        <w:t>'</w:t>
      </w:r>
      <w:r w:rsidR="00592704" w:rsidRPr="0005120D">
        <w:t>études de partage et de compatibilité.</w:t>
      </w:r>
    </w:p>
    <w:p w14:paraId="1FFD1EA7" w14:textId="5C9517FB" w:rsidR="002134A1" w:rsidRPr="0005120D" w:rsidRDefault="0091584C" w:rsidP="00754714">
      <w:pPr>
        <w:jc w:val="center"/>
      </w:pPr>
      <w:r w:rsidRPr="0005120D">
        <w:t>______________</w:t>
      </w:r>
    </w:p>
    <w:sectPr w:rsidR="002134A1" w:rsidRPr="0005120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40F5" w14:textId="77777777" w:rsidR="00CB685A" w:rsidRDefault="00CB685A">
      <w:r>
        <w:separator/>
      </w:r>
    </w:p>
  </w:endnote>
  <w:endnote w:type="continuationSeparator" w:id="0">
    <w:p w14:paraId="60580066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6D07" w14:textId="4FE8C274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3374D">
      <w:rPr>
        <w:noProof/>
        <w:lang w:val="en-US"/>
      </w:rPr>
      <w:t>P:\FRA\ITU-R\CONF-R\CMR23\100\111ADD18F.docx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71EC">
      <w:rPr>
        <w:noProof/>
      </w:rPr>
      <w:t>14.11.23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374D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90AC" w14:textId="6A374ED4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3374D">
      <w:rPr>
        <w:lang w:val="en-US"/>
      </w:rPr>
      <w:t>P:\FRA\ITU-R\CONF-R\CMR23\100\111ADD18F.docx</w:t>
    </w:r>
    <w:r>
      <w:fldChar w:fldCharType="end"/>
    </w:r>
    <w:r w:rsidR="0091584C" w:rsidRPr="00754714">
      <w:rPr>
        <w:lang w:val="en-GB"/>
      </w:rPr>
      <w:t xml:space="preserve"> (530267)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496B" w14:textId="0B796671" w:rsidR="00936D25" w:rsidRPr="0091584C" w:rsidRDefault="0091584C" w:rsidP="0091584C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3374D">
      <w:rPr>
        <w:lang w:val="en-US"/>
      </w:rPr>
      <w:t>P:\FRA\ITU-R\CONF-R\CMR23\100\111ADD18F.docx</w:t>
    </w:r>
    <w:r>
      <w:fldChar w:fldCharType="end"/>
    </w:r>
    <w:r w:rsidRPr="00754714">
      <w:rPr>
        <w:lang w:val="en-GB"/>
      </w:rPr>
      <w:t xml:space="preserve"> (530267)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F027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311A0597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6F6A" w14:textId="4289A2FE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70DA0">
      <w:rPr>
        <w:noProof/>
      </w:rPr>
      <w:t>3</w:t>
    </w:r>
    <w:r>
      <w:fldChar w:fldCharType="end"/>
    </w:r>
  </w:p>
  <w:p w14:paraId="54DD084D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111(Add.18)-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94876109">
    <w:abstractNumId w:val="0"/>
  </w:num>
  <w:num w:numId="2" w16cid:durableId="145517012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5120D"/>
    <w:rsid w:val="00063A1F"/>
    <w:rsid w:val="00070DA0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134A1"/>
    <w:rsid w:val="00225CF2"/>
    <w:rsid w:val="00232FD2"/>
    <w:rsid w:val="002331C6"/>
    <w:rsid w:val="0026554E"/>
    <w:rsid w:val="00286004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24B75"/>
    <w:rsid w:val="0042776A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92704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54714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1584C"/>
    <w:rsid w:val="00923064"/>
    <w:rsid w:val="00930FFD"/>
    <w:rsid w:val="00936D25"/>
    <w:rsid w:val="00941EA5"/>
    <w:rsid w:val="00960D0E"/>
    <w:rsid w:val="00964700"/>
    <w:rsid w:val="0096611F"/>
    <w:rsid w:val="00966C16"/>
    <w:rsid w:val="0098732F"/>
    <w:rsid w:val="009A045F"/>
    <w:rsid w:val="009A6A2B"/>
    <w:rsid w:val="009B6918"/>
    <w:rsid w:val="009C7E7C"/>
    <w:rsid w:val="00A00473"/>
    <w:rsid w:val="00A03C9B"/>
    <w:rsid w:val="00A37105"/>
    <w:rsid w:val="00A571EC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3374D"/>
    <w:rsid w:val="00C53FCA"/>
    <w:rsid w:val="00C71DEB"/>
    <w:rsid w:val="00C76BAF"/>
    <w:rsid w:val="00C814B9"/>
    <w:rsid w:val="00CB685A"/>
    <w:rsid w:val="00CD516F"/>
    <w:rsid w:val="00D06B60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968F4"/>
    <w:rsid w:val="00DC402B"/>
    <w:rsid w:val="00DE0932"/>
    <w:rsid w:val="00DF15E8"/>
    <w:rsid w:val="00E03A27"/>
    <w:rsid w:val="00E049F1"/>
    <w:rsid w:val="00E37A25"/>
    <w:rsid w:val="00E537FF"/>
    <w:rsid w:val="00E60CB2"/>
    <w:rsid w:val="00E6299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7DD62C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60D0E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R23-WRC23-C-0111!A18!MSW-F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876F0828-F58D-4EFD-A64B-FF588BE14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B42FA-B16A-402B-9AE2-ED7F8D1A7F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FB1843-BBD7-4DBF-91A3-8F19F4F91B69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682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R23-WRC23-C-0111!A18!MSW-F</vt:lpstr>
    </vt:vector>
  </TitlesOfParts>
  <Manager>Secrétariat général - Pool</Manager>
  <Company>Union internationale des télécommunications (UIT)</Company>
  <LinksUpToDate>false</LinksUpToDate>
  <CharactersWithSpaces>4300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R23-WRC23-C-0111!A18!MSW-F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6</cp:revision>
  <cp:lastPrinted>2003-06-05T19:34:00Z</cp:lastPrinted>
  <dcterms:created xsi:type="dcterms:W3CDTF">2023-11-14T06:45:00Z</dcterms:created>
  <dcterms:modified xsi:type="dcterms:W3CDTF">2023-11-14T08:25:00Z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