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FA6DD1" w14:paraId="0BB01733" w14:textId="77777777" w:rsidTr="0080079E">
        <w:trPr>
          <w:cantSplit/>
        </w:trPr>
        <w:tc>
          <w:tcPr>
            <w:tcW w:w="1418" w:type="dxa"/>
            <w:vAlign w:val="center"/>
          </w:tcPr>
          <w:p w14:paraId="08420B47" w14:textId="77777777" w:rsidR="0080079E" w:rsidRPr="00FA6DD1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FA6DD1">
              <w:rPr>
                <w:noProof/>
              </w:rPr>
              <w:drawing>
                <wp:inline distT="0" distB="0" distL="0" distR="0" wp14:anchorId="34E2EE1B" wp14:editId="00D55E8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8B74508" w14:textId="77777777" w:rsidR="0080079E" w:rsidRPr="00FA6DD1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A6DD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FA6DD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FA6DD1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9E0447B" w14:textId="77777777" w:rsidR="0080079E" w:rsidRPr="00FA6DD1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FA6DD1">
              <w:rPr>
                <w:noProof/>
              </w:rPr>
              <w:drawing>
                <wp:inline distT="0" distB="0" distL="0" distR="0" wp14:anchorId="1496FC11" wp14:editId="7F50C80D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A6DD1" w14:paraId="0E77627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D76C44F" w14:textId="77777777" w:rsidR="0090121B" w:rsidRPr="00FA6DD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0560129" w14:textId="77777777" w:rsidR="0090121B" w:rsidRPr="00FA6DD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FA6DD1" w14:paraId="72F5188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509C155" w14:textId="77777777" w:rsidR="0090121B" w:rsidRPr="00FA6DD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24A99A5" w14:textId="77777777" w:rsidR="0090121B" w:rsidRPr="00FA6DD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FA6DD1" w14:paraId="4DFE2B60" w14:textId="77777777" w:rsidTr="0090121B">
        <w:trPr>
          <w:cantSplit/>
        </w:trPr>
        <w:tc>
          <w:tcPr>
            <w:tcW w:w="6911" w:type="dxa"/>
            <w:gridSpan w:val="2"/>
          </w:tcPr>
          <w:p w14:paraId="3FBA8E64" w14:textId="77777777" w:rsidR="0090121B" w:rsidRPr="00FA6DD1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FA6DD1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2F577B4" w14:textId="77777777" w:rsidR="0090121B" w:rsidRPr="00FA6DD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FA6DD1">
              <w:rPr>
                <w:rFonts w:ascii="Verdana" w:hAnsi="Verdana"/>
                <w:b/>
                <w:sz w:val="18"/>
                <w:szCs w:val="18"/>
              </w:rPr>
              <w:t>Addéndum 10 al</w:t>
            </w:r>
            <w:r w:rsidRPr="00FA6DD1">
              <w:rPr>
                <w:rFonts w:ascii="Verdana" w:hAnsi="Verdana"/>
                <w:b/>
                <w:sz w:val="18"/>
                <w:szCs w:val="18"/>
              </w:rPr>
              <w:br/>
              <w:t>Documento 111</w:t>
            </w:r>
            <w:r w:rsidR="0090121B" w:rsidRPr="00FA6DD1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FA6DD1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FA6DD1" w14:paraId="58D879A1" w14:textId="77777777" w:rsidTr="0090121B">
        <w:trPr>
          <w:cantSplit/>
        </w:trPr>
        <w:tc>
          <w:tcPr>
            <w:tcW w:w="6911" w:type="dxa"/>
            <w:gridSpan w:val="2"/>
          </w:tcPr>
          <w:p w14:paraId="2AD2ECCD" w14:textId="77777777" w:rsidR="000A5B9A" w:rsidRPr="00FA6DD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8D32FAA" w14:textId="77777777" w:rsidR="000A5B9A" w:rsidRPr="00FA6DD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A6DD1">
              <w:rPr>
                <w:rFonts w:ascii="Verdana" w:hAnsi="Verdana"/>
                <w:b/>
                <w:sz w:val="18"/>
                <w:szCs w:val="18"/>
              </w:rPr>
              <w:t>29 de octubre de 2023</w:t>
            </w:r>
          </w:p>
        </w:tc>
      </w:tr>
      <w:tr w:rsidR="000A5B9A" w:rsidRPr="00FA6DD1" w14:paraId="12A7C1FC" w14:textId="77777777" w:rsidTr="0090121B">
        <w:trPr>
          <w:cantSplit/>
        </w:trPr>
        <w:tc>
          <w:tcPr>
            <w:tcW w:w="6911" w:type="dxa"/>
            <w:gridSpan w:val="2"/>
          </w:tcPr>
          <w:p w14:paraId="03BEEC7C" w14:textId="77777777" w:rsidR="000A5B9A" w:rsidRPr="00FA6DD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4E83001A" w14:textId="77777777" w:rsidR="000A5B9A" w:rsidRPr="00FA6DD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A6DD1">
              <w:rPr>
                <w:rFonts w:ascii="Verdana" w:hAnsi="Verdana"/>
                <w:b/>
                <w:sz w:val="18"/>
                <w:szCs w:val="18"/>
              </w:rPr>
              <w:t>Original: chino</w:t>
            </w:r>
          </w:p>
        </w:tc>
      </w:tr>
      <w:tr w:rsidR="000A5B9A" w:rsidRPr="00FA6DD1" w14:paraId="7A208640" w14:textId="77777777" w:rsidTr="006744FC">
        <w:trPr>
          <w:cantSplit/>
        </w:trPr>
        <w:tc>
          <w:tcPr>
            <w:tcW w:w="10031" w:type="dxa"/>
            <w:gridSpan w:val="4"/>
          </w:tcPr>
          <w:p w14:paraId="48C9A089" w14:textId="77777777" w:rsidR="000A5B9A" w:rsidRPr="00FA6DD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FA6DD1" w14:paraId="2D7C2195" w14:textId="77777777" w:rsidTr="0050008E">
        <w:trPr>
          <w:cantSplit/>
        </w:trPr>
        <w:tc>
          <w:tcPr>
            <w:tcW w:w="10031" w:type="dxa"/>
            <w:gridSpan w:val="4"/>
          </w:tcPr>
          <w:p w14:paraId="4CCB4753" w14:textId="77777777" w:rsidR="000A5B9A" w:rsidRPr="00FA6DD1" w:rsidRDefault="000A5B9A" w:rsidP="000A5B9A">
            <w:pPr>
              <w:pStyle w:val="Source"/>
            </w:pPr>
            <w:bookmarkStart w:id="2" w:name="dsource" w:colFirst="0" w:colLast="0"/>
            <w:r w:rsidRPr="00FA6DD1">
              <w:t>China (República Popular de)</w:t>
            </w:r>
          </w:p>
        </w:tc>
      </w:tr>
      <w:tr w:rsidR="000A5B9A" w:rsidRPr="00FA6DD1" w14:paraId="25780BF0" w14:textId="77777777" w:rsidTr="0050008E">
        <w:trPr>
          <w:cantSplit/>
        </w:trPr>
        <w:tc>
          <w:tcPr>
            <w:tcW w:w="10031" w:type="dxa"/>
            <w:gridSpan w:val="4"/>
          </w:tcPr>
          <w:p w14:paraId="0E211039" w14:textId="11C6628A" w:rsidR="000A5B9A" w:rsidRPr="00FA6DD1" w:rsidRDefault="003016AE" w:rsidP="000A5B9A">
            <w:pPr>
              <w:pStyle w:val="Title1"/>
            </w:pPr>
            <w:bookmarkStart w:id="3" w:name="dtitle1" w:colFirst="0" w:colLast="0"/>
            <w:bookmarkEnd w:id="2"/>
            <w:r w:rsidRPr="00FA6DD1">
              <w:t>PROPuestas para los trabajos de la conferencia</w:t>
            </w:r>
          </w:p>
        </w:tc>
      </w:tr>
      <w:tr w:rsidR="000A5B9A" w:rsidRPr="00FA6DD1" w14:paraId="7760FA0E" w14:textId="77777777" w:rsidTr="0050008E">
        <w:trPr>
          <w:cantSplit/>
        </w:trPr>
        <w:tc>
          <w:tcPr>
            <w:tcW w:w="10031" w:type="dxa"/>
            <w:gridSpan w:val="4"/>
          </w:tcPr>
          <w:p w14:paraId="096EB6A1" w14:textId="77777777" w:rsidR="000A5B9A" w:rsidRPr="00FA6DD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FA6DD1" w14:paraId="03938F27" w14:textId="77777777" w:rsidTr="0050008E">
        <w:trPr>
          <w:cantSplit/>
        </w:trPr>
        <w:tc>
          <w:tcPr>
            <w:tcW w:w="10031" w:type="dxa"/>
            <w:gridSpan w:val="4"/>
          </w:tcPr>
          <w:p w14:paraId="5E65D46F" w14:textId="77777777" w:rsidR="000A5B9A" w:rsidRPr="00FA6DD1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FA6DD1">
              <w:t>Punto 1.10 del orden del día</w:t>
            </w:r>
          </w:p>
        </w:tc>
      </w:tr>
    </w:tbl>
    <w:bookmarkEnd w:id="5"/>
    <w:p w14:paraId="4EE78310" w14:textId="77777777" w:rsidR="008C720D" w:rsidRPr="00FA6DD1" w:rsidRDefault="008C720D" w:rsidP="00FA6DD1">
      <w:pPr>
        <w:pStyle w:val="Normalaftertitle"/>
      </w:pPr>
      <w:r w:rsidRPr="00FA6DD1">
        <w:t>1.10</w:t>
      </w:r>
      <w:r w:rsidRPr="00FA6DD1">
        <w:tab/>
        <w:t>realizar estudios sobre las necesidades de espectro, la coexistencia con los servicios de radiocomunicaciones y las medidas reglamentarias para posibles nuevas atribuciones al servicio móvil aeronáutico para la utilización de aplicaciones móviles aeronáuticas no relacionadas con la seguridad, de conformidad con la Resolución </w:t>
      </w:r>
      <w:r w:rsidRPr="00FA6DD1">
        <w:rPr>
          <w:b/>
          <w:bCs/>
        </w:rPr>
        <w:t>430 (CMR-19)</w:t>
      </w:r>
      <w:r w:rsidRPr="00FA6DD1">
        <w:t>;</w:t>
      </w:r>
    </w:p>
    <w:p w14:paraId="6F702DA2" w14:textId="57F6C472" w:rsidR="008B2E06" w:rsidRPr="00FA6DD1" w:rsidRDefault="008B2E06" w:rsidP="00FA6DD1">
      <w:pPr>
        <w:pStyle w:val="Headingb"/>
      </w:pPr>
      <w:r w:rsidRPr="00FA6DD1">
        <w:t>Introducción</w:t>
      </w:r>
    </w:p>
    <w:p w14:paraId="6E5AE833" w14:textId="7C13725C" w:rsidR="008B2E06" w:rsidRPr="00FA6DD1" w:rsidRDefault="008B2E06" w:rsidP="008B2E06">
      <w:r w:rsidRPr="00FA6DD1">
        <w:t>La Conferencia Mundial de Radiocomunicaciones (Sharm el-Sheikh, 2019) aprobó el punto 1.10 del orden del día de la CMR-23 e invitó al UIT-R a realizar estudios de compartición y compatibilidad entre las aplicaciones móviles aeronáuticas no relacionadas con la seguridad y los servicios existentes en la</w:t>
      </w:r>
      <w:r w:rsidR="00BD2D6C" w:rsidRPr="00FA6DD1">
        <w:t>s</w:t>
      </w:r>
      <w:r w:rsidRPr="00FA6DD1">
        <w:t xml:space="preserve"> banda</w:t>
      </w:r>
      <w:r w:rsidR="00BD2D6C" w:rsidRPr="00FA6DD1">
        <w:t>s</w:t>
      </w:r>
      <w:r w:rsidRPr="00FA6DD1">
        <w:t xml:space="preserve"> de frecuencias 15,4-15,7 GHz y 22-22,21 GHz, garantizando la protección de los servicios a título primario en las bandas de frecuencias consideradas y, según proceda, en las bandas de frecuencias adyacentes.</w:t>
      </w:r>
    </w:p>
    <w:p w14:paraId="5EDB3F99" w14:textId="30FE0DEB" w:rsidR="008B2E06" w:rsidRPr="00FA6DD1" w:rsidRDefault="008B2E06" w:rsidP="008B2E06">
      <w:pPr>
        <w:rPr>
          <w:lang w:eastAsia="zh-CN"/>
        </w:rPr>
      </w:pPr>
      <w:r w:rsidRPr="00FA6DD1">
        <w:t>En el Informe de la RPC se exponen cinco métodos para responder a este punto del orden del día:</w:t>
      </w:r>
    </w:p>
    <w:p w14:paraId="1C23AA59" w14:textId="49CC535C" w:rsidR="008B2E06" w:rsidRPr="00FA6DD1" w:rsidRDefault="008B2E06" w:rsidP="008B2E06">
      <w:pPr>
        <w:pStyle w:val="enumlev1"/>
        <w:rPr>
          <w:lang w:eastAsia="zh-CN"/>
        </w:rPr>
      </w:pPr>
      <w:r w:rsidRPr="00FA6DD1">
        <w:rPr>
          <w:lang w:eastAsia="zh-CN"/>
        </w:rPr>
        <w:t>–</w:t>
      </w:r>
      <w:r w:rsidRPr="00FA6DD1">
        <w:rPr>
          <w:lang w:eastAsia="zh-CN"/>
        </w:rPr>
        <w:tab/>
      </w:r>
      <w:r w:rsidRPr="00FA6DD1">
        <w:t xml:space="preserve">Método A: </w:t>
      </w:r>
      <w:r w:rsidR="00DD756F" w:rsidRPr="00FA6DD1">
        <w:rPr>
          <w:bCs/>
        </w:rPr>
        <w:t>n</w:t>
      </w:r>
      <w:r w:rsidRPr="00FA6DD1">
        <w:rPr>
          <w:bCs/>
        </w:rPr>
        <w:t>ingún cambio en el Reglamento de Radiocomunicaciones</w:t>
      </w:r>
      <w:r w:rsidRPr="00FA6DD1">
        <w:t>;</w:t>
      </w:r>
    </w:p>
    <w:p w14:paraId="1F4AE30A" w14:textId="2239A087" w:rsidR="008B2E06" w:rsidRPr="00FA6DD1" w:rsidRDefault="008B2E06" w:rsidP="008B2E06">
      <w:pPr>
        <w:pStyle w:val="enumlev1"/>
        <w:rPr>
          <w:lang w:eastAsia="zh-CN"/>
        </w:rPr>
      </w:pPr>
      <w:r w:rsidRPr="00FA6DD1">
        <w:rPr>
          <w:lang w:eastAsia="zh-CN"/>
        </w:rPr>
        <w:t>–</w:t>
      </w:r>
      <w:r w:rsidRPr="00FA6DD1">
        <w:rPr>
          <w:lang w:eastAsia="zh-CN"/>
        </w:rPr>
        <w:tab/>
      </w:r>
      <w:r w:rsidRPr="00FA6DD1">
        <w:t xml:space="preserve">Método B: </w:t>
      </w:r>
      <w:r w:rsidR="00DD756F" w:rsidRPr="00FA6DD1">
        <w:t>n</w:t>
      </w:r>
      <w:r w:rsidRPr="00FA6DD1">
        <w:t>ueva atribución primaria al servicio móvil aeronáutico (fuera de rutas) en la banda de frecuencias 15,4-15,7 GHz;</w:t>
      </w:r>
    </w:p>
    <w:p w14:paraId="16F4ADC8" w14:textId="5C97D0F4" w:rsidR="008B2E06" w:rsidRPr="00FA6DD1" w:rsidRDefault="008B2E06" w:rsidP="008B2E06">
      <w:pPr>
        <w:pStyle w:val="enumlev1"/>
        <w:rPr>
          <w:lang w:eastAsia="zh-CN"/>
        </w:rPr>
      </w:pPr>
      <w:r w:rsidRPr="00FA6DD1">
        <w:rPr>
          <w:lang w:eastAsia="zh-CN"/>
        </w:rPr>
        <w:t>–</w:t>
      </w:r>
      <w:r w:rsidRPr="00FA6DD1">
        <w:rPr>
          <w:lang w:eastAsia="zh-CN"/>
        </w:rPr>
        <w:tab/>
      </w:r>
      <w:r w:rsidRPr="00FA6DD1">
        <w:t>Método C:</w:t>
      </w:r>
      <w:r w:rsidR="00DD756F" w:rsidRPr="00FA6DD1">
        <w:t xml:space="preserve"> supresión de la excepción del servicio móvil aeronáutico (fuera de rutas) en la banda de frecuencias 22 22,21 GHz</w:t>
      </w:r>
      <w:r w:rsidRPr="00FA6DD1">
        <w:t>;</w:t>
      </w:r>
    </w:p>
    <w:p w14:paraId="43BB9F82" w14:textId="05054ACC" w:rsidR="008B2E06" w:rsidRPr="00FA6DD1" w:rsidRDefault="008B2E06" w:rsidP="008B2E06">
      <w:pPr>
        <w:pStyle w:val="enumlev1"/>
        <w:rPr>
          <w:lang w:eastAsia="zh-CN"/>
        </w:rPr>
      </w:pPr>
      <w:r w:rsidRPr="00FA6DD1">
        <w:rPr>
          <w:lang w:eastAsia="zh-CN"/>
        </w:rPr>
        <w:t>–</w:t>
      </w:r>
      <w:r w:rsidRPr="00FA6DD1">
        <w:rPr>
          <w:lang w:eastAsia="zh-CN"/>
        </w:rPr>
        <w:tab/>
      </w:r>
      <w:r w:rsidRPr="00FA6DD1">
        <w:t xml:space="preserve">Método D: </w:t>
      </w:r>
      <w:r w:rsidR="00101534" w:rsidRPr="00FA6DD1">
        <w:t>combinación de los Métodos B y C</w:t>
      </w:r>
      <w:r w:rsidRPr="00FA6DD1">
        <w:t>;</w:t>
      </w:r>
    </w:p>
    <w:p w14:paraId="0FE30D81" w14:textId="444E9C97" w:rsidR="008B2E06" w:rsidRPr="00FA6DD1" w:rsidRDefault="008B2E06" w:rsidP="008B2E06">
      <w:pPr>
        <w:pStyle w:val="enumlev1"/>
        <w:rPr>
          <w:lang w:eastAsia="zh-CN"/>
        </w:rPr>
      </w:pPr>
      <w:r w:rsidRPr="00FA6DD1">
        <w:rPr>
          <w:lang w:eastAsia="zh-CN"/>
        </w:rPr>
        <w:t>–</w:t>
      </w:r>
      <w:r w:rsidRPr="00FA6DD1">
        <w:rPr>
          <w:lang w:eastAsia="zh-CN"/>
        </w:rPr>
        <w:tab/>
      </w:r>
      <w:r w:rsidRPr="00FA6DD1">
        <w:t xml:space="preserve">Método E: </w:t>
      </w:r>
      <w:r w:rsidR="00101534" w:rsidRPr="00FA6DD1">
        <w:t>combinación de los Métodos B y C con bandas de guarda de 10 MHz</w:t>
      </w:r>
      <w:r w:rsidRPr="00FA6DD1">
        <w:t>.</w:t>
      </w:r>
    </w:p>
    <w:p w14:paraId="1489C816" w14:textId="5F268550" w:rsidR="008B2E06" w:rsidRPr="00FA6DD1" w:rsidRDefault="00101534" w:rsidP="008B2E06">
      <w:pPr>
        <w:rPr>
          <w:lang w:eastAsia="zh-CN"/>
        </w:rPr>
      </w:pPr>
      <w:r w:rsidRPr="00FA6DD1">
        <w:t xml:space="preserve">Todos los métodos prevén la supresión de la Resolución </w:t>
      </w:r>
      <w:r w:rsidRPr="00FA6DD1">
        <w:rPr>
          <w:b/>
          <w:bCs/>
        </w:rPr>
        <w:t>430 (CMR-19)</w:t>
      </w:r>
      <w:r w:rsidRPr="00FA6DD1">
        <w:t>.</w:t>
      </w:r>
    </w:p>
    <w:p w14:paraId="04CDACA4" w14:textId="674F19A2" w:rsidR="008B2E06" w:rsidRPr="00FA6DD1" w:rsidRDefault="008B2E06" w:rsidP="00FA6DD1">
      <w:pPr>
        <w:pStyle w:val="Headingb"/>
      </w:pPr>
      <w:r w:rsidRPr="00FA6DD1">
        <w:t>Propuesta</w:t>
      </w:r>
    </w:p>
    <w:p w14:paraId="6164CF57" w14:textId="4DA3B65D" w:rsidR="008B2E06" w:rsidRPr="00FA6DD1" w:rsidRDefault="00BD2D6C" w:rsidP="008B2E06">
      <w:pPr>
        <w:rPr>
          <w:lang w:eastAsia="zh-CN"/>
        </w:rPr>
      </w:pPr>
      <w:r w:rsidRPr="00FA6DD1">
        <w:t>China opina que se debería garantizar la protección de los servicios existentes en las bandas de frecuencias 15,4-15,7 GHz y 22-22,21 GHz y en las bandas de frecuencias adyacentes, por lo que apoya el Método A.</w:t>
      </w:r>
    </w:p>
    <w:p w14:paraId="526C34F9" w14:textId="77777777" w:rsidR="008750A8" w:rsidRPr="00FA6DD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A6DD1">
        <w:br w:type="page"/>
      </w:r>
    </w:p>
    <w:p w14:paraId="1C3918CA" w14:textId="77777777" w:rsidR="00D32FC9" w:rsidRPr="00FA6DD1" w:rsidRDefault="008C720D">
      <w:pPr>
        <w:pStyle w:val="Proposal"/>
      </w:pPr>
      <w:r w:rsidRPr="00FA6DD1">
        <w:rPr>
          <w:u w:val="single"/>
        </w:rPr>
        <w:lastRenderedPageBreak/>
        <w:t>NOC</w:t>
      </w:r>
      <w:r w:rsidRPr="00FA6DD1">
        <w:tab/>
        <w:t>CHN/111A10/1</w:t>
      </w:r>
    </w:p>
    <w:p w14:paraId="5578B92D" w14:textId="77777777" w:rsidR="008C720D" w:rsidRPr="00FA6DD1" w:rsidRDefault="008C720D" w:rsidP="006C3DD2">
      <w:pPr>
        <w:pStyle w:val="Volumetitle"/>
        <w:rPr>
          <w:b/>
          <w:bCs/>
        </w:rPr>
      </w:pPr>
      <w:bookmarkStart w:id="6" w:name="_Toc48141288"/>
      <w:r w:rsidRPr="00FA6DD1">
        <w:rPr>
          <w:b/>
          <w:bCs/>
        </w:rPr>
        <w:t>ARTÍCULOS</w:t>
      </w:r>
      <w:bookmarkEnd w:id="6"/>
    </w:p>
    <w:p w14:paraId="1364CB3E" w14:textId="55529ABE" w:rsidR="00D32FC9" w:rsidRPr="00FA6DD1" w:rsidRDefault="008C720D">
      <w:pPr>
        <w:pStyle w:val="Reasons"/>
      </w:pPr>
      <w:r w:rsidRPr="00FA6DD1">
        <w:rPr>
          <w:b/>
        </w:rPr>
        <w:t>Motivo:</w:t>
      </w:r>
      <w:r w:rsidRPr="00FA6DD1">
        <w:tab/>
      </w:r>
      <w:r w:rsidR="00BD2D6C" w:rsidRPr="00FA6DD1">
        <w:t>Las conclusiones de los estudios de compartición del UIT-R indicaron que no se puede garantizar la protección de los servicios existentes, en particular el SRN y el SRL. Por lo tanto, no procede modificar los Artículos existentes.</w:t>
      </w:r>
    </w:p>
    <w:p w14:paraId="1CD5BF79" w14:textId="77777777" w:rsidR="00D32FC9" w:rsidRPr="00FA6DD1" w:rsidRDefault="008C720D">
      <w:pPr>
        <w:pStyle w:val="Proposal"/>
      </w:pPr>
      <w:r w:rsidRPr="00FA6DD1">
        <w:rPr>
          <w:u w:val="single"/>
        </w:rPr>
        <w:t>NOC</w:t>
      </w:r>
      <w:r w:rsidRPr="00FA6DD1">
        <w:tab/>
        <w:t>CHN/111A10/2</w:t>
      </w:r>
    </w:p>
    <w:p w14:paraId="4F1F5667" w14:textId="77777777" w:rsidR="008C720D" w:rsidRPr="00FA6DD1" w:rsidRDefault="008C720D" w:rsidP="003271E3">
      <w:pPr>
        <w:pStyle w:val="Volumetitle"/>
        <w:rPr>
          <w:b/>
          <w:bCs/>
        </w:rPr>
      </w:pPr>
      <w:bookmarkStart w:id="7" w:name="_Toc327956568"/>
      <w:r w:rsidRPr="00FA6DD1">
        <w:rPr>
          <w:b/>
          <w:bCs/>
        </w:rPr>
        <w:t>APÉNDICES</w:t>
      </w:r>
      <w:bookmarkEnd w:id="7"/>
    </w:p>
    <w:p w14:paraId="00429845" w14:textId="4C5E716C" w:rsidR="00D32FC9" w:rsidRPr="00FA6DD1" w:rsidRDefault="008C720D">
      <w:pPr>
        <w:pStyle w:val="Reasons"/>
      </w:pPr>
      <w:r w:rsidRPr="00FA6DD1">
        <w:rPr>
          <w:b/>
        </w:rPr>
        <w:t>Motivo:</w:t>
      </w:r>
      <w:r w:rsidRPr="00FA6DD1">
        <w:tab/>
      </w:r>
      <w:r w:rsidR="00BD2D6C" w:rsidRPr="00FA6DD1">
        <w:t>Las conclusiones de los estudios de compartición del UIT-R indicaron que no se puede garantizar la protección de los servicios existentes, en particular el SRN y el SRL. Por lo tanto, no procede modificar los Artículos existentes.</w:t>
      </w:r>
    </w:p>
    <w:p w14:paraId="15D8434B" w14:textId="77777777" w:rsidR="00D32FC9" w:rsidRPr="00FA6DD1" w:rsidRDefault="008C720D">
      <w:pPr>
        <w:pStyle w:val="Proposal"/>
      </w:pPr>
      <w:r w:rsidRPr="00FA6DD1">
        <w:t>SUP</w:t>
      </w:r>
      <w:r w:rsidRPr="00FA6DD1">
        <w:tab/>
        <w:t>CHN/111A10/3</w:t>
      </w:r>
    </w:p>
    <w:p w14:paraId="249A5EE1" w14:textId="77777777" w:rsidR="008C720D" w:rsidRPr="00FA6DD1" w:rsidRDefault="008C720D" w:rsidP="00983DEC">
      <w:pPr>
        <w:pStyle w:val="ResNo"/>
      </w:pPr>
      <w:bookmarkStart w:id="8" w:name="_Toc36190277"/>
      <w:bookmarkStart w:id="9" w:name="_Toc39734979"/>
      <w:r w:rsidRPr="00FA6DD1">
        <w:rPr>
          <w:caps w:val="0"/>
        </w:rPr>
        <w:t xml:space="preserve">RESOLUCIÓN </w:t>
      </w:r>
      <w:r w:rsidRPr="00FA6DD1">
        <w:rPr>
          <w:rStyle w:val="href"/>
          <w:caps w:val="0"/>
        </w:rPr>
        <w:t>430</w:t>
      </w:r>
      <w:r w:rsidRPr="00FA6DD1">
        <w:rPr>
          <w:caps w:val="0"/>
        </w:rPr>
        <w:t xml:space="preserve"> (CMR-19)</w:t>
      </w:r>
      <w:bookmarkEnd w:id="8"/>
      <w:bookmarkEnd w:id="9"/>
    </w:p>
    <w:p w14:paraId="0C7CF9B9" w14:textId="77777777" w:rsidR="00BD2D6C" w:rsidRPr="00FA6DD1" w:rsidRDefault="008C720D" w:rsidP="00BD2D6C">
      <w:pPr>
        <w:pStyle w:val="Restitle"/>
        <w:rPr>
          <w:rFonts w:ascii="Times New Roman" w:hAnsi="Times New Roman"/>
        </w:rPr>
      </w:pPr>
      <w:bookmarkStart w:id="10" w:name="_Toc36190278"/>
      <w:bookmarkStart w:id="11" w:name="_Toc39734980"/>
      <w:r w:rsidRPr="00FA6DD1">
        <w:t xml:space="preserve">Estudios sobre cuestiones relativas a las frecuencias, incluidas posibles </w:t>
      </w:r>
      <w:r w:rsidRPr="00FA6DD1">
        <w:br/>
        <w:t>atribuciones adicionales, para la posible introducción de nuevas</w:t>
      </w:r>
      <w:r w:rsidRPr="00FA6DD1">
        <w:br/>
        <w:t>aplicaciones móviles aeronáuticas no relacionadas con la seguridad</w:t>
      </w:r>
      <w:bookmarkEnd w:id="10"/>
      <w:bookmarkEnd w:id="11"/>
    </w:p>
    <w:p w14:paraId="3184E38F" w14:textId="77777777" w:rsidR="00BD2D6C" w:rsidRPr="00FA6DD1" w:rsidRDefault="00BD2D6C" w:rsidP="00BD2D6C">
      <w:pPr>
        <w:pStyle w:val="Reasons"/>
      </w:pPr>
    </w:p>
    <w:p w14:paraId="37167190" w14:textId="5E6D708C" w:rsidR="008C720D" w:rsidRPr="00FA6DD1" w:rsidRDefault="00BD2D6C" w:rsidP="00BD2D6C">
      <w:pPr>
        <w:jc w:val="center"/>
      </w:pPr>
      <w:r w:rsidRPr="00FA6DD1">
        <w:t>______________</w:t>
      </w:r>
    </w:p>
    <w:sectPr w:rsidR="008C720D" w:rsidRPr="00FA6DD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1F7F" w14:textId="77777777" w:rsidR="000A4FB9" w:rsidRDefault="000A4FB9">
      <w:r>
        <w:separator/>
      </w:r>
    </w:p>
  </w:endnote>
  <w:endnote w:type="continuationSeparator" w:id="0">
    <w:p w14:paraId="67C7AA71" w14:textId="77777777" w:rsidR="000A4FB9" w:rsidRDefault="000A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2B6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144E63" w14:textId="6FC1338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46A3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82AC" w14:textId="0C0263F2" w:rsidR="0077084A" w:rsidRDefault="008C720D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A6DD1">
      <w:rPr>
        <w:lang w:val="en-US"/>
      </w:rPr>
      <w:t>P:\ESP\ITU-R\CONF-R\CMR23\100\111ADD10S.docx</w:t>
    </w:r>
    <w:r>
      <w:fldChar w:fldCharType="end"/>
    </w:r>
    <w:r w:rsidRPr="008C720D">
      <w:rPr>
        <w:lang w:val="en-US"/>
      </w:rPr>
      <w:t xml:space="preserve"> </w:t>
    </w:r>
    <w:r>
      <w:rPr>
        <w:lang w:val="en-US"/>
      </w:rPr>
      <w:t>(530251)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02D4" w14:textId="601E7980" w:rsidR="0077084A" w:rsidRPr="008C720D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A6DD1">
      <w:rPr>
        <w:lang w:val="en-US"/>
      </w:rPr>
      <w:t>P:\ESP\ITU-R\CONF-R\CMR23\100\111ADD10S.docx</w:t>
    </w:r>
    <w:r>
      <w:fldChar w:fldCharType="end"/>
    </w:r>
    <w:r w:rsidR="008C720D" w:rsidRPr="008C720D">
      <w:rPr>
        <w:lang w:val="en-US"/>
      </w:rPr>
      <w:t xml:space="preserve"> </w:t>
    </w:r>
    <w:r w:rsidR="008C720D">
      <w:rPr>
        <w:lang w:val="en-US"/>
      </w:rPr>
      <w:t>(530251)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A9FC" w14:textId="77777777" w:rsidR="000A4FB9" w:rsidRDefault="000A4FB9">
      <w:r>
        <w:rPr>
          <w:b/>
        </w:rPr>
        <w:t>_______________</w:t>
      </w:r>
    </w:p>
  </w:footnote>
  <w:footnote w:type="continuationSeparator" w:id="0">
    <w:p w14:paraId="525E3612" w14:textId="77777777" w:rsidR="000A4FB9" w:rsidRDefault="000A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36D4" w14:textId="3D7C9BDF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62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1734EB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111(Add.10)-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34592790">
    <w:abstractNumId w:val="8"/>
  </w:num>
  <w:num w:numId="2" w16cid:durableId="14260756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84402293">
    <w:abstractNumId w:val="9"/>
  </w:num>
  <w:num w:numId="4" w16cid:durableId="1843666315">
    <w:abstractNumId w:val="7"/>
  </w:num>
  <w:num w:numId="5" w16cid:durableId="1493836119">
    <w:abstractNumId w:val="6"/>
  </w:num>
  <w:num w:numId="6" w16cid:durableId="1727994990">
    <w:abstractNumId w:val="5"/>
  </w:num>
  <w:num w:numId="7" w16cid:durableId="709380463">
    <w:abstractNumId w:val="4"/>
  </w:num>
  <w:num w:numId="8" w16cid:durableId="446319354">
    <w:abstractNumId w:val="3"/>
  </w:num>
  <w:num w:numId="9" w16cid:durableId="779303760">
    <w:abstractNumId w:val="2"/>
  </w:num>
  <w:num w:numId="10" w16cid:durableId="1768693732">
    <w:abstractNumId w:val="1"/>
  </w:num>
  <w:num w:numId="11" w16cid:durableId="152721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05A8"/>
    <w:rsid w:val="0002785D"/>
    <w:rsid w:val="00087AE8"/>
    <w:rsid w:val="00091054"/>
    <w:rsid w:val="000A2A7D"/>
    <w:rsid w:val="000A4FB9"/>
    <w:rsid w:val="000A5B9A"/>
    <w:rsid w:val="000E5BF9"/>
    <w:rsid w:val="000F0E6D"/>
    <w:rsid w:val="00101534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016AE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6E62D9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B2E06"/>
    <w:rsid w:val="008C720D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D2D6C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CF7D96"/>
    <w:rsid w:val="00D00CA8"/>
    <w:rsid w:val="00D0288A"/>
    <w:rsid w:val="00D246A3"/>
    <w:rsid w:val="00D32FC9"/>
    <w:rsid w:val="00D72A5D"/>
    <w:rsid w:val="00DA71A3"/>
    <w:rsid w:val="00DC1922"/>
    <w:rsid w:val="00DC629B"/>
    <w:rsid w:val="00DD756F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A6DD1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DB6B4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R23-WRC23-C-0111!A10!MSW-S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DBEB-0B89-4164-8BB2-FE09B0C6DE71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32a1a8c5-2265-4ebc-b7a0-2071e2c5c9bb"/>
    <ds:schemaRef ds:uri="996b2e75-67fd-4955-a3b0-5ab9934cb50b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BB7426-E720-4070-B493-6602D2216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34359-9DC8-4960-9C73-742EDB83D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521BC-9C51-4CF1-BE2D-2C191FCD4D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D3C4AA-CD57-4487-86C9-D61E6B4B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R23-WRC23-C-0111!A10!MSW-S</vt:lpstr>
      <vt:lpstr>R23-WRC23-C-0111!A10!MSW-S</vt:lpstr>
    </vt:vector>
  </TitlesOfParts>
  <Manager>Secretaría General - Pool</Manager>
  <Company>Unión Internacional de Telecomunicaciones (UIT)</Company>
  <LinksUpToDate>false</LinksUpToDate>
  <CharactersWithSpaces>2815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R23-WRC23-C-0111!A10!MSW-S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3</cp:revision>
  <cp:lastPrinted>2003-02-19T20:20:00Z</cp:lastPrinted>
  <dcterms:created xsi:type="dcterms:W3CDTF">2023-11-07T07:43:00Z</dcterms:created>
  <dcterms:modified xsi:type="dcterms:W3CDTF">2023-11-07T07:49:00Z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