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453"/>
        <w:gridCol w:w="1667"/>
      </w:tblGrid>
      <w:tr w:rsidR="00B23EDF" w:rsidRPr="00334389" w14:paraId="43D5E607" w14:textId="77777777" w:rsidTr="00B23EDF">
        <w:trPr>
          <w:cantSplit/>
        </w:trPr>
        <w:tc>
          <w:tcPr>
            <w:tcW w:w="1418" w:type="dxa"/>
            <w:vAlign w:val="center"/>
          </w:tcPr>
          <w:p w14:paraId="64A69E8E" w14:textId="77777777" w:rsidR="00B23EDF" w:rsidRPr="00334389" w:rsidRDefault="00B23EDF" w:rsidP="002F5D3A">
            <w:pPr>
              <w:spacing w:before="100" w:beforeAutospacing="1"/>
              <w:rPr>
                <w:rFonts w:ascii="Verdana" w:hAnsi="Verdana"/>
                <w:b/>
                <w:bCs/>
                <w:sz w:val="20"/>
              </w:rPr>
            </w:pPr>
            <w:r w:rsidRPr="00334389">
              <w:rPr>
                <w:lang w:eastAsia="fr-CH"/>
              </w:rPr>
              <w:drawing>
                <wp:inline distT="0" distB="0" distL="0" distR="0" wp14:anchorId="088702B6" wp14:editId="3E7FB431">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946" w:type="dxa"/>
            <w:gridSpan w:val="2"/>
          </w:tcPr>
          <w:p w14:paraId="671D9AE7" w14:textId="756F7F6D" w:rsidR="00B23EDF" w:rsidRPr="00334389" w:rsidRDefault="00B23EDF" w:rsidP="002F5D3A">
            <w:pPr>
              <w:spacing w:before="400" w:after="48"/>
              <w:rPr>
                <w:rFonts w:ascii="Verdana" w:hAnsi="Verdana"/>
                <w:b/>
                <w:bCs/>
                <w:sz w:val="20"/>
              </w:rPr>
            </w:pPr>
            <w:r w:rsidRPr="00334389">
              <w:rPr>
                <w:rFonts w:ascii="Verdana" w:hAnsi="Verdana"/>
                <w:b/>
                <w:bCs/>
                <w:sz w:val="20"/>
              </w:rPr>
              <w:t>Conférence mondiale des radiocommunications (CMR-23)</w:t>
            </w:r>
            <w:r w:rsidRPr="00334389">
              <w:rPr>
                <w:rFonts w:ascii="Verdana" w:hAnsi="Verdana"/>
                <w:b/>
                <w:bCs/>
                <w:sz w:val="20"/>
              </w:rPr>
              <w:br/>
            </w:r>
            <w:r w:rsidRPr="00334389">
              <w:rPr>
                <w:rFonts w:ascii="Verdana" w:hAnsi="Verdana"/>
                <w:b/>
                <w:bCs/>
                <w:sz w:val="18"/>
                <w:szCs w:val="18"/>
              </w:rPr>
              <w:t xml:space="preserve">Dubaï, 20 novembre </w:t>
            </w:r>
            <w:r w:rsidR="008C2769" w:rsidRPr="00334389">
              <w:rPr>
                <w:rFonts w:ascii="Verdana" w:hAnsi="Verdana"/>
                <w:b/>
                <w:bCs/>
                <w:sz w:val="18"/>
                <w:szCs w:val="18"/>
              </w:rPr>
              <w:t>–</w:t>
            </w:r>
            <w:r w:rsidRPr="00334389">
              <w:rPr>
                <w:rFonts w:ascii="Verdana" w:hAnsi="Verdana"/>
                <w:b/>
                <w:bCs/>
                <w:sz w:val="18"/>
                <w:szCs w:val="18"/>
              </w:rPr>
              <w:t xml:space="preserve"> 15 décembre 2023</w:t>
            </w:r>
          </w:p>
        </w:tc>
        <w:tc>
          <w:tcPr>
            <w:tcW w:w="1667" w:type="dxa"/>
            <w:vAlign w:val="center"/>
          </w:tcPr>
          <w:p w14:paraId="75CC90A4" w14:textId="77777777" w:rsidR="00B23EDF" w:rsidRPr="00334389" w:rsidRDefault="00B23EDF" w:rsidP="002F5D3A">
            <w:pPr>
              <w:spacing w:before="0"/>
            </w:pPr>
            <w:bookmarkStart w:id="0" w:name="ditulogo"/>
            <w:bookmarkEnd w:id="0"/>
            <w:r w:rsidRPr="00334389">
              <w:rPr>
                <w:lang w:eastAsia="fr-CH"/>
              </w:rPr>
              <w:drawing>
                <wp:inline distT="0" distB="0" distL="0" distR="0" wp14:anchorId="44309EDB" wp14:editId="184B1658">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587A4E" w:rsidRPr="00334389" w14:paraId="325EBE7B" w14:textId="77777777" w:rsidTr="00773113">
        <w:trPr>
          <w:cantSplit/>
        </w:trPr>
        <w:tc>
          <w:tcPr>
            <w:tcW w:w="6911" w:type="dxa"/>
            <w:gridSpan w:val="2"/>
            <w:tcBorders>
              <w:bottom w:val="single" w:sz="12" w:space="0" w:color="auto"/>
            </w:tcBorders>
          </w:tcPr>
          <w:p w14:paraId="7FE67D85" w14:textId="77777777" w:rsidR="00587A4E" w:rsidRPr="00334389" w:rsidRDefault="00587A4E" w:rsidP="002F5D3A">
            <w:pPr>
              <w:spacing w:before="0" w:after="48"/>
              <w:rPr>
                <w:b/>
                <w:smallCaps/>
                <w:szCs w:val="24"/>
              </w:rPr>
            </w:pPr>
            <w:bookmarkStart w:id="1" w:name="dhead"/>
          </w:p>
        </w:tc>
        <w:tc>
          <w:tcPr>
            <w:tcW w:w="3120" w:type="dxa"/>
            <w:gridSpan w:val="2"/>
            <w:tcBorders>
              <w:bottom w:val="single" w:sz="12" w:space="0" w:color="auto"/>
            </w:tcBorders>
          </w:tcPr>
          <w:p w14:paraId="486A557F" w14:textId="77777777" w:rsidR="00587A4E" w:rsidRPr="00334389" w:rsidRDefault="00587A4E" w:rsidP="002F5D3A">
            <w:pPr>
              <w:spacing w:before="0"/>
              <w:rPr>
                <w:rFonts w:ascii="Verdana" w:hAnsi="Verdana"/>
                <w:szCs w:val="24"/>
              </w:rPr>
            </w:pPr>
          </w:p>
        </w:tc>
      </w:tr>
      <w:tr w:rsidR="00587A4E" w:rsidRPr="00334389" w14:paraId="00858E65" w14:textId="77777777" w:rsidTr="00773113">
        <w:trPr>
          <w:cantSplit/>
        </w:trPr>
        <w:tc>
          <w:tcPr>
            <w:tcW w:w="6911" w:type="dxa"/>
            <w:gridSpan w:val="2"/>
            <w:tcBorders>
              <w:top w:val="single" w:sz="12" w:space="0" w:color="auto"/>
            </w:tcBorders>
          </w:tcPr>
          <w:p w14:paraId="77BE4A40" w14:textId="77777777" w:rsidR="00587A4E" w:rsidRPr="00334389" w:rsidRDefault="00587A4E" w:rsidP="002F5D3A">
            <w:pPr>
              <w:spacing w:before="0" w:after="48"/>
              <w:rPr>
                <w:rFonts w:ascii="Verdana" w:hAnsi="Verdana"/>
                <w:b/>
                <w:smallCaps/>
                <w:sz w:val="20"/>
              </w:rPr>
            </w:pPr>
          </w:p>
        </w:tc>
        <w:tc>
          <w:tcPr>
            <w:tcW w:w="3120" w:type="dxa"/>
            <w:gridSpan w:val="2"/>
            <w:tcBorders>
              <w:top w:val="single" w:sz="12" w:space="0" w:color="auto"/>
            </w:tcBorders>
          </w:tcPr>
          <w:p w14:paraId="5A3363B9" w14:textId="77777777" w:rsidR="00587A4E" w:rsidRPr="00334389" w:rsidRDefault="00587A4E" w:rsidP="002F5D3A">
            <w:pPr>
              <w:spacing w:before="0"/>
              <w:rPr>
                <w:rFonts w:ascii="Verdana" w:hAnsi="Verdana"/>
                <w:sz w:val="20"/>
              </w:rPr>
            </w:pPr>
          </w:p>
        </w:tc>
      </w:tr>
      <w:tr w:rsidR="00587A4E" w:rsidRPr="00334389" w14:paraId="43D08519" w14:textId="77777777" w:rsidTr="00773113">
        <w:trPr>
          <w:cantSplit/>
        </w:trPr>
        <w:tc>
          <w:tcPr>
            <w:tcW w:w="6911" w:type="dxa"/>
            <w:gridSpan w:val="2"/>
          </w:tcPr>
          <w:p w14:paraId="1EB47888" w14:textId="77777777" w:rsidR="00587A4E" w:rsidRPr="00334389" w:rsidRDefault="008D6821" w:rsidP="002F5D3A">
            <w:pPr>
              <w:spacing w:before="0"/>
              <w:rPr>
                <w:rFonts w:ascii="Verdana" w:hAnsi="Verdana"/>
                <w:b/>
                <w:sz w:val="20"/>
              </w:rPr>
            </w:pPr>
            <w:r w:rsidRPr="00334389">
              <w:rPr>
                <w:rFonts w:ascii="Verdana" w:hAnsi="Verdana"/>
                <w:b/>
                <w:sz w:val="20"/>
              </w:rPr>
              <w:t>SÉANCE PLÉNIÈRE</w:t>
            </w:r>
          </w:p>
        </w:tc>
        <w:tc>
          <w:tcPr>
            <w:tcW w:w="3120" w:type="dxa"/>
            <w:gridSpan w:val="2"/>
          </w:tcPr>
          <w:p w14:paraId="0C80C9F5" w14:textId="1A3E6616" w:rsidR="00587A4E" w:rsidRPr="00334389" w:rsidRDefault="00587A4E" w:rsidP="002F5D3A">
            <w:pPr>
              <w:spacing w:before="0"/>
              <w:rPr>
                <w:rFonts w:ascii="Verdana" w:hAnsi="Verdana"/>
                <w:sz w:val="20"/>
              </w:rPr>
            </w:pPr>
            <w:r w:rsidRPr="00334389">
              <w:rPr>
                <w:rFonts w:ascii="Verdana" w:hAnsi="Verdana"/>
                <w:b/>
                <w:sz w:val="20"/>
              </w:rPr>
              <w:t xml:space="preserve">Document </w:t>
            </w:r>
            <w:r w:rsidR="00713F18" w:rsidRPr="00334389">
              <w:rPr>
                <w:rFonts w:ascii="Verdana" w:hAnsi="Verdana"/>
                <w:b/>
                <w:sz w:val="20"/>
              </w:rPr>
              <w:t>111</w:t>
            </w:r>
            <w:r w:rsidR="00CE52EA" w:rsidRPr="00334389">
              <w:rPr>
                <w:rFonts w:ascii="Verdana" w:hAnsi="Verdana"/>
                <w:b/>
                <w:sz w:val="20"/>
              </w:rPr>
              <w:t>-</w:t>
            </w:r>
            <w:r w:rsidR="002F5D3A" w:rsidRPr="00334389">
              <w:rPr>
                <w:rFonts w:ascii="Verdana" w:hAnsi="Verdana"/>
                <w:b/>
                <w:sz w:val="20"/>
              </w:rPr>
              <w:t>F</w:t>
            </w:r>
          </w:p>
        </w:tc>
      </w:tr>
      <w:bookmarkEnd w:id="1"/>
      <w:tr w:rsidR="00587A4E" w:rsidRPr="00334389" w14:paraId="1E3A5370" w14:textId="77777777" w:rsidTr="00773113">
        <w:trPr>
          <w:cantSplit/>
        </w:trPr>
        <w:tc>
          <w:tcPr>
            <w:tcW w:w="6911" w:type="dxa"/>
            <w:gridSpan w:val="2"/>
          </w:tcPr>
          <w:p w14:paraId="318EDE0C" w14:textId="77777777" w:rsidR="00587A4E" w:rsidRPr="00334389" w:rsidRDefault="00587A4E" w:rsidP="002F5D3A">
            <w:pPr>
              <w:spacing w:before="0"/>
              <w:rPr>
                <w:rFonts w:ascii="Verdana" w:hAnsi="Verdana"/>
                <w:b/>
                <w:sz w:val="20"/>
              </w:rPr>
            </w:pPr>
          </w:p>
        </w:tc>
        <w:tc>
          <w:tcPr>
            <w:tcW w:w="3120" w:type="dxa"/>
            <w:gridSpan w:val="2"/>
          </w:tcPr>
          <w:p w14:paraId="50E938F1" w14:textId="7A52E853" w:rsidR="00587A4E" w:rsidRPr="00334389" w:rsidRDefault="00713F18" w:rsidP="002F5D3A">
            <w:pPr>
              <w:spacing w:before="0"/>
              <w:rPr>
                <w:rFonts w:ascii="Verdana" w:hAnsi="Verdana"/>
                <w:b/>
                <w:sz w:val="20"/>
              </w:rPr>
            </w:pPr>
            <w:r w:rsidRPr="00334389">
              <w:rPr>
                <w:rFonts w:ascii="Verdana" w:hAnsi="Verdana"/>
                <w:b/>
                <w:sz w:val="20"/>
              </w:rPr>
              <w:t xml:space="preserve">29 </w:t>
            </w:r>
            <w:r w:rsidR="00CE52EA" w:rsidRPr="00334389">
              <w:rPr>
                <w:rFonts w:ascii="Verdana" w:hAnsi="Verdana"/>
                <w:b/>
                <w:sz w:val="20"/>
              </w:rPr>
              <w:t>octobre</w:t>
            </w:r>
            <w:r w:rsidR="00587A4E" w:rsidRPr="00334389">
              <w:rPr>
                <w:rFonts w:ascii="Verdana" w:hAnsi="Verdana"/>
                <w:b/>
                <w:sz w:val="20"/>
              </w:rPr>
              <w:t xml:space="preserve"> 20</w:t>
            </w:r>
            <w:r w:rsidR="00CD3928" w:rsidRPr="00334389">
              <w:rPr>
                <w:rFonts w:ascii="Verdana" w:hAnsi="Verdana"/>
                <w:b/>
                <w:sz w:val="20"/>
              </w:rPr>
              <w:t>23</w:t>
            </w:r>
          </w:p>
        </w:tc>
      </w:tr>
      <w:tr w:rsidR="00587A4E" w:rsidRPr="00334389" w14:paraId="4CDBD381" w14:textId="77777777" w:rsidTr="00773113">
        <w:trPr>
          <w:cantSplit/>
        </w:trPr>
        <w:tc>
          <w:tcPr>
            <w:tcW w:w="6911" w:type="dxa"/>
            <w:gridSpan w:val="2"/>
          </w:tcPr>
          <w:p w14:paraId="3E9FBA04" w14:textId="77777777" w:rsidR="00587A4E" w:rsidRPr="00334389" w:rsidRDefault="00587A4E" w:rsidP="002F5D3A">
            <w:pPr>
              <w:spacing w:before="0" w:after="48"/>
              <w:rPr>
                <w:rFonts w:ascii="Verdana" w:hAnsi="Verdana"/>
                <w:b/>
                <w:smallCaps/>
                <w:sz w:val="20"/>
              </w:rPr>
            </w:pPr>
          </w:p>
        </w:tc>
        <w:tc>
          <w:tcPr>
            <w:tcW w:w="3120" w:type="dxa"/>
            <w:gridSpan w:val="2"/>
          </w:tcPr>
          <w:p w14:paraId="10B00C7D" w14:textId="78039C35" w:rsidR="00587A4E" w:rsidRPr="00334389" w:rsidRDefault="00587A4E" w:rsidP="002F5D3A">
            <w:pPr>
              <w:spacing w:before="0"/>
              <w:rPr>
                <w:rFonts w:ascii="Verdana" w:hAnsi="Verdana"/>
                <w:b/>
                <w:sz w:val="20"/>
              </w:rPr>
            </w:pPr>
            <w:r w:rsidRPr="00334389">
              <w:rPr>
                <w:rFonts w:ascii="Verdana" w:hAnsi="Verdana"/>
                <w:b/>
                <w:sz w:val="20"/>
              </w:rPr>
              <w:t xml:space="preserve">Original: </w:t>
            </w:r>
            <w:r w:rsidR="008C2769" w:rsidRPr="00334389">
              <w:rPr>
                <w:rFonts w:ascii="Verdana" w:hAnsi="Verdana"/>
                <w:b/>
                <w:sz w:val="20"/>
              </w:rPr>
              <w:t>chinois</w:t>
            </w:r>
          </w:p>
        </w:tc>
      </w:tr>
      <w:tr w:rsidR="00587A4E" w:rsidRPr="00334389" w14:paraId="4B2F0188" w14:textId="77777777" w:rsidTr="00773113">
        <w:trPr>
          <w:cantSplit/>
        </w:trPr>
        <w:tc>
          <w:tcPr>
            <w:tcW w:w="10031" w:type="dxa"/>
            <w:gridSpan w:val="4"/>
          </w:tcPr>
          <w:p w14:paraId="284DC944" w14:textId="77777777" w:rsidR="00587A4E" w:rsidRPr="00334389" w:rsidRDefault="00587A4E" w:rsidP="002F5D3A">
            <w:pPr>
              <w:spacing w:before="0"/>
              <w:rPr>
                <w:rFonts w:ascii="Verdana" w:hAnsi="Verdana"/>
                <w:b/>
                <w:sz w:val="20"/>
              </w:rPr>
            </w:pPr>
          </w:p>
        </w:tc>
      </w:tr>
      <w:tr w:rsidR="00587A4E" w:rsidRPr="00334389" w14:paraId="5E870674" w14:textId="77777777" w:rsidTr="00773113">
        <w:trPr>
          <w:cantSplit/>
        </w:trPr>
        <w:tc>
          <w:tcPr>
            <w:tcW w:w="10031" w:type="dxa"/>
            <w:gridSpan w:val="4"/>
          </w:tcPr>
          <w:p w14:paraId="655A915A" w14:textId="0934C2BA" w:rsidR="00587A4E" w:rsidRPr="00334389" w:rsidRDefault="00713F18" w:rsidP="002F5D3A">
            <w:pPr>
              <w:pStyle w:val="Source"/>
            </w:pPr>
            <w:bookmarkStart w:id="2" w:name="dsource" w:colFirst="0" w:colLast="0"/>
            <w:r w:rsidRPr="00334389">
              <w:t>Chine (République populaire de)</w:t>
            </w:r>
          </w:p>
        </w:tc>
      </w:tr>
      <w:tr w:rsidR="00587A4E" w:rsidRPr="00334389" w14:paraId="58639A2D" w14:textId="77777777" w:rsidTr="00773113">
        <w:trPr>
          <w:cantSplit/>
        </w:trPr>
        <w:tc>
          <w:tcPr>
            <w:tcW w:w="10031" w:type="dxa"/>
            <w:gridSpan w:val="4"/>
          </w:tcPr>
          <w:p w14:paraId="7D0F8B65" w14:textId="19F3A554" w:rsidR="00587A4E" w:rsidRPr="00334389" w:rsidRDefault="00CE52EA" w:rsidP="002F5D3A">
            <w:pPr>
              <w:pStyle w:val="Title1"/>
            </w:pPr>
            <w:bookmarkStart w:id="3" w:name="dtitle1" w:colFirst="0" w:colLast="0"/>
            <w:bookmarkEnd w:id="2"/>
            <w:r w:rsidRPr="00334389">
              <w:t>Propositions pour les travaux de la Conférence</w:t>
            </w:r>
          </w:p>
        </w:tc>
      </w:tr>
      <w:tr w:rsidR="00587A4E" w:rsidRPr="00334389" w14:paraId="2F1B1FF0" w14:textId="77777777" w:rsidTr="00773113">
        <w:trPr>
          <w:cantSplit/>
        </w:trPr>
        <w:tc>
          <w:tcPr>
            <w:tcW w:w="10031" w:type="dxa"/>
            <w:gridSpan w:val="4"/>
          </w:tcPr>
          <w:p w14:paraId="001E8D30" w14:textId="77777777" w:rsidR="00587A4E" w:rsidRPr="00334389" w:rsidRDefault="00587A4E" w:rsidP="002F5D3A">
            <w:pPr>
              <w:pStyle w:val="Title2"/>
            </w:pPr>
            <w:bookmarkStart w:id="4" w:name="dtitle2" w:colFirst="0" w:colLast="0"/>
            <w:bookmarkEnd w:id="3"/>
          </w:p>
        </w:tc>
      </w:tr>
      <w:tr w:rsidR="00587A4E" w:rsidRPr="00334389" w14:paraId="5C380508" w14:textId="77777777" w:rsidTr="00773113">
        <w:trPr>
          <w:cantSplit/>
        </w:trPr>
        <w:tc>
          <w:tcPr>
            <w:tcW w:w="10031" w:type="dxa"/>
            <w:gridSpan w:val="4"/>
          </w:tcPr>
          <w:p w14:paraId="3EA50831" w14:textId="77777777" w:rsidR="00587A4E" w:rsidRPr="00334389" w:rsidRDefault="00587A4E" w:rsidP="002F5D3A">
            <w:pPr>
              <w:pStyle w:val="Agendaitem"/>
              <w:rPr>
                <w:lang w:val="fr-FR"/>
              </w:rPr>
            </w:pPr>
            <w:bookmarkStart w:id="5" w:name="dtitle3" w:colFirst="0" w:colLast="0"/>
            <w:bookmarkEnd w:id="4"/>
          </w:p>
        </w:tc>
      </w:tr>
    </w:tbl>
    <w:bookmarkEnd w:id="5"/>
    <w:p w14:paraId="7982E9A7" w14:textId="56228798" w:rsidR="00713F18" w:rsidRPr="00334389" w:rsidRDefault="00713F18" w:rsidP="00713F18">
      <w:pPr>
        <w:rPr>
          <w:lang w:eastAsia="zh-CN"/>
        </w:rPr>
      </w:pPr>
      <w:r w:rsidRPr="00334389">
        <w:rPr>
          <w:lang w:eastAsia="zh-CN"/>
        </w:rPr>
        <w:t>On trouvera dans le présent document les propositions de la Chine pour les travaux de la CMR-23, ainsi qu'un addendum distinct pour chaque point de l'ordre du jour de la CMR-23</w:t>
      </w:r>
      <w:r w:rsidR="005A5DF0" w:rsidRPr="00334389">
        <w:rPr>
          <w:lang w:eastAsia="zh-CN"/>
        </w:rPr>
        <w:t>, question ou thème connexe</w:t>
      </w:r>
      <w:r w:rsidRPr="00334389">
        <w:rPr>
          <w:lang w:eastAsia="zh-CN"/>
        </w:rPr>
        <w:t>.</w:t>
      </w:r>
      <w:r w:rsidR="008C2769" w:rsidRPr="00334389">
        <w:rPr>
          <w:lang w:eastAsia="zh-CN"/>
        </w:rPr>
        <w:t xml:space="preserve"> </w:t>
      </w:r>
      <w:r w:rsidRPr="00334389">
        <w:rPr>
          <w:lang w:eastAsia="zh-CN"/>
        </w:rPr>
        <w:t>Chaque addendum contient une introduction indiquant la base sur laquelle se fonde la proposition correspondante.</w:t>
      </w:r>
    </w:p>
    <w:p w14:paraId="16084409" w14:textId="413AF3FF" w:rsidR="00713F18" w:rsidRPr="00334389" w:rsidRDefault="00713F18" w:rsidP="00713F18">
      <w:pPr>
        <w:rPr>
          <w:lang w:eastAsia="zh-CN"/>
        </w:rPr>
      </w:pPr>
      <w:r w:rsidRPr="00334389">
        <w:rPr>
          <w:lang w:eastAsia="zh-CN"/>
        </w:rPr>
        <w:t>Voir l'Annexe 1 pour connaître le numéro de l'addendum correspondant à chaque point de l'ordre du jour de la CMR-23</w:t>
      </w:r>
      <w:r w:rsidR="005A5DF0" w:rsidRPr="00334389">
        <w:rPr>
          <w:lang w:eastAsia="zh-CN"/>
        </w:rPr>
        <w:t>, question ou thème connexe</w:t>
      </w:r>
      <w:r w:rsidRPr="00334389">
        <w:rPr>
          <w:lang w:eastAsia="zh-CN"/>
        </w:rPr>
        <w:t>.</w:t>
      </w:r>
    </w:p>
    <w:p w14:paraId="454B90FA" w14:textId="52A89CEE" w:rsidR="00713F18" w:rsidRPr="00334389" w:rsidRDefault="00713F18" w:rsidP="00713F18">
      <w:pPr>
        <w:rPr>
          <w:lang w:eastAsia="zh-CN"/>
        </w:rPr>
      </w:pPr>
      <w:r w:rsidRPr="00334389">
        <w:rPr>
          <w:lang w:eastAsia="zh-CN"/>
        </w:rPr>
        <w:t>La Chine a formulé d'autres propositions concernant d'autres points de l'ordre du jour de la</w:t>
      </w:r>
      <w:r w:rsidR="008C2769" w:rsidRPr="00334389">
        <w:rPr>
          <w:lang w:eastAsia="zh-CN"/>
        </w:rPr>
        <w:t> </w:t>
      </w:r>
      <w:r w:rsidRPr="00334389">
        <w:rPr>
          <w:lang w:eastAsia="zh-CN"/>
        </w:rPr>
        <w:t>CMR</w:t>
      </w:r>
      <w:r w:rsidR="008C2769" w:rsidRPr="00334389">
        <w:rPr>
          <w:lang w:eastAsia="zh-CN"/>
        </w:rPr>
        <w:noBreakHyphen/>
      </w:r>
      <w:r w:rsidRPr="00334389">
        <w:rPr>
          <w:lang w:eastAsia="zh-CN"/>
        </w:rPr>
        <w:t>23, qui sont comprises dans les propositions soumises par plusieurs pays correspondantes</w:t>
      </w:r>
      <w:r w:rsidR="008C2769" w:rsidRPr="00334389">
        <w:rPr>
          <w:lang w:eastAsia="zh-CN"/>
        </w:rPr>
        <w:t xml:space="preserve"> </w:t>
      </w:r>
      <w:r w:rsidRPr="00334389">
        <w:rPr>
          <w:lang w:eastAsia="zh-CN"/>
        </w:rPr>
        <w:t>ou dans d'autres propositions indépendantes.</w:t>
      </w:r>
    </w:p>
    <w:p w14:paraId="54F32D64" w14:textId="0C660783" w:rsidR="00D95E60" w:rsidRPr="00334389" w:rsidRDefault="00911EC7" w:rsidP="00713F18">
      <w:pPr>
        <w:tabs>
          <w:tab w:val="clear" w:pos="2268"/>
        </w:tabs>
        <w:spacing w:before="1200"/>
      </w:pPr>
      <w:r w:rsidRPr="00334389">
        <w:rPr>
          <w:b/>
          <w:bCs/>
        </w:rPr>
        <w:t>Anne</w:t>
      </w:r>
      <w:r w:rsidR="00434DC5" w:rsidRPr="00334389">
        <w:rPr>
          <w:b/>
          <w:bCs/>
        </w:rPr>
        <w:t>xe</w:t>
      </w:r>
      <w:r w:rsidR="00434DC5" w:rsidRPr="00334389">
        <w:t>:</w:t>
      </w:r>
      <w:r w:rsidR="00403711" w:rsidRPr="00334389">
        <w:t xml:space="preserve"> </w:t>
      </w:r>
      <w:r w:rsidR="00713F18" w:rsidRPr="00334389">
        <w:t>1</w:t>
      </w:r>
    </w:p>
    <w:p w14:paraId="207FBF6F" w14:textId="77777777" w:rsidR="00D95E60" w:rsidRPr="00334389" w:rsidRDefault="00D95E60">
      <w:pPr>
        <w:tabs>
          <w:tab w:val="clear" w:pos="1134"/>
          <w:tab w:val="clear" w:pos="1871"/>
          <w:tab w:val="clear" w:pos="2268"/>
        </w:tabs>
        <w:overflowPunct/>
        <w:autoSpaceDE/>
        <w:autoSpaceDN/>
        <w:adjustRightInd/>
        <w:spacing w:before="0"/>
        <w:textAlignment w:val="auto"/>
      </w:pPr>
      <w:r w:rsidRPr="00334389">
        <w:br w:type="page"/>
      </w:r>
    </w:p>
    <w:p w14:paraId="603C1D73" w14:textId="2F74779E" w:rsidR="0093791E" w:rsidRPr="00334389" w:rsidRDefault="00D95E60" w:rsidP="007F614C">
      <w:pPr>
        <w:pStyle w:val="AnnexNo"/>
      </w:pPr>
      <w:r w:rsidRPr="00334389">
        <w:lastRenderedPageBreak/>
        <w:t>ANNEXE</w:t>
      </w:r>
    </w:p>
    <w:p w14:paraId="66B72E65" w14:textId="2E3676EB" w:rsidR="0093791E" w:rsidRPr="00334389" w:rsidRDefault="0093791E" w:rsidP="007F614C">
      <w:pPr>
        <w:pStyle w:val="Annextitle"/>
      </w:pPr>
      <w:r w:rsidRPr="00334389">
        <w:t xml:space="preserve">Tableau de correspondance entre les </w:t>
      </w:r>
      <w:r w:rsidR="005D19E8" w:rsidRPr="00334389">
        <w:t xml:space="preserve">numéros des addenda et les </w:t>
      </w:r>
      <w:r w:rsidRPr="00334389">
        <w:t>points de l'ordre du jour de la CMR-23</w:t>
      </w:r>
      <w:r w:rsidR="005D19E8" w:rsidRPr="00334389">
        <w:t>, Questions ou Thèmes connexes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2"/>
        <w:gridCol w:w="1417"/>
        <w:gridCol w:w="5098"/>
        <w:gridCol w:w="1276"/>
      </w:tblGrid>
      <w:tr w:rsidR="003E75D0" w:rsidRPr="00334389" w14:paraId="6121FE34" w14:textId="77777777" w:rsidTr="008C2769">
        <w:trPr>
          <w:cantSplit/>
          <w:tblHeader/>
          <w:jc w:val="center"/>
        </w:trPr>
        <w:tc>
          <w:tcPr>
            <w:tcW w:w="1702" w:type="dxa"/>
            <w:shd w:val="clear" w:color="auto" w:fill="BFBFBF" w:themeFill="background1" w:themeFillShade="BF"/>
            <w:vAlign w:val="center"/>
          </w:tcPr>
          <w:p w14:paraId="5CBF4879" w14:textId="695FB2F0" w:rsidR="003E75D0" w:rsidRPr="00334389" w:rsidRDefault="003E75D0" w:rsidP="008C2769">
            <w:pPr>
              <w:pStyle w:val="Tablehead"/>
              <w:rPr>
                <w:b w:val="0"/>
                <w:bCs/>
              </w:rPr>
            </w:pPr>
            <w:r w:rsidRPr="00334389">
              <w:rPr>
                <w:b w:val="0"/>
                <w:bCs/>
              </w:rPr>
              <w:t>Point de l'ordre du</w:t>
            </w:r>
            <w:r w:rsidR="008C2769" w:rsidRPr="00334389">
              <w:rPr>
                <w:b w:val="0"/>
                <w:bCs/>
              </w:rPr>
              <w:t> </w:t>
            </w:r>
            <w:r w:rsidRPr="00334389">
              <w:rPr>
                <w:b w:val="0"/>
                <w:bCs/>
              </w:rPr>
              <w:t>jour de la CMR</w:t>
            </w:r>
            <w:r w:rsidR="008C2769" w:rsidRPr="00334389">
              <w:rPr>
                <w:b w:val="0"/>
                <w:bCs/>
              </w:rPr>
              <w:noBreakHyphen/>
            </w:r>
            <w:r w:rsidRPr="00334389">
              <w:rPr>
                <w:b w:val="0"/>
                <w:bCs/>
              </w:rPr>
              <w:t>23</w:t>
            </w:r>
          </w:p>
        </w:tc>
        <w:tc>
          <w:tcPr>
            <w:tcW w:w="1417" w:type="dxa"/>
            <w:shd w:val="clear" w:color="auto" w:fill="BFBFBF" w:themeFill="background1" w:themeFillShade="BF"/>
            <w:vAlign w:val="center"/>
          </w:tcPr>
          <w:p w14:paraId="314C2C1D" w14:textId="17D06AEB" w:rsidR="003E75D0" w:rsidRPr="00334389" w:rsidRDefault="003E75D0" w:rsidP="008C2769">
            <w:pPr>
              <w:pStyle w:val="Tablehead"/>
              <w:rPr>
                <w:b w:val="0"/>
                <w:bCs/>
              </w:rPr>
            </w:pPr>
            <w:r w:rsidRPr="00334389">
              <w:rPr>
                <w:b w:val="0"/>
                <w:bCs/>
              </w:rPr>
              <w:t>Sous-point de l'ordre du jour/Question</w:t>
            </w:r>
            <w:r w:rsidR="005D19E8" w:rsidRPr="00334389">
              <w:rPr>
                <w:b w:val="0"/>
                <w:bCs/>
              </w:rPr>
              <w:t>/Thème</w:t>
            </w:r>
          </w:p>
        </w:tc>
        <w:tc>
          <w:tcPr>
            <w:tcW w:w="5098" w:type="dxa"/>
            <w:shd w:val="clear" w:color="auto" w:fill="BFBFBF" w:themeFill="background1" w:themeFillShade="BF"/>
            <w:vAlign w:val="center"/>
          </w:tcPr>
          <w:p w14:paraId="52452C6D" w14:textId="57BE88A3" w:rsidR="003E75D0" w:rsidRPr="00334389" w:rsidRDefault="003E75D0" w:rsidP="008C2769">
            <w:pPr>
              <w:pStyle w:val="Tablehead"/>
              <w:rPr>
                <w:b w:val="0"/>
                <w:bCs/>
              </w:rPr>
            </w:pPr>
            <w:r w:rsidRPr="00334389">
              <w:rPr>
                <w:b w:val="0"/>
                <w:bCs/>
              </w:rPr>
              <w:t>Texte du point de l'ordre du jour</w:t>
            </w:r>
            <w:r w:rsidR="005A5DF0" w:rsidRPr="00334389">
              <w:rPr>
                <w:b w:val="0"/>
                <w:bCs/>
              </w:rPr>
              <w:t>/Question/Thème</w:t>
            </w:r>
          </w:p>
        </w:tc>
        <w:tc>
          <w:tcPr>
            <w:tcW w:w="1276" w:type="dxa"/>
            <w:shd w:val="clear" w:color="auto" w:fill="BFBFBF" w:themeFill="background1" w:themeFillShade="BF"/>
            <w:vAlign w:val="center"/>
          </w:tcPr>
          <w:p w14:paraId="42C62DE9" w14:textId="221DABD6" w:rsidR="003E75D0" w:rsidRPr="00334389" w:rsidRDefault="003E75D0" w:rsidP="008C2769">
            <w:pPr>
              <w:pStyle w:val="Tablehead"/>
              <w:rPr>
                <w:b w:val="0"/>
                <w:bCs/>
              </w:rPr>
            </w:pPr>
            <w:r w:rsidRPr="00334389">
              <w:rPr>
                <w:b w:val="0"/>
                <w:bCs/>
              </w:rPr>
              <w:t>Numéro de l'addendum</w:t>
            </w:r>
          </w:p>
        </w:tc>
      </w:tr>
      <w:tr w:rsidR="003E75D0" w:rsidRPr="00334389" w14:paraId="4219DA63" w14:textId="77777777" w:rsidTr="008C2769">
        <w:trPr>
          <w:cantSplit/>
          <w:jc w:val="center"/>
        </w:trPr>
        <w:tc>
          <w:tcPr>
            <w:tcW w:w="1702" w:type="dxa"/>
          </w:tcPr>
          <w:p w14:paraId="06A7E227" w14:textId="77777777" w:rsidR="003E75D0" w:rsidRPr="00334389" w:rsidRDefault="003E75D0" w:rsidP="002F5D3A">
            <w:pPr>
              <w:pStyle w:val="TableText0"/>
              <w:jc w:val="center"/>
              <w:rPr>
                <w:lang w:val="fr-FR"/>
              </w:rPr>
            </w:pPr>
            <w:r w:rsidRPr="00334389">
              <w:rPr>
                <w:lang w:val="fr-FR"/>
              </w:rPr>
              <w:t>1.1</w:t>
            </w:r>
          </w:p>
        </w:tc>
        <w:tc>
          <w:tcPr>
            <w:tcW w:w="1417" w:type="dxa"/>
          </w:tcPr>
          <w:p w14:paraId="719BAE08" w14:textId="77777777" w:rsidR="003E75D0" w:rsidRPr="00334389" w:rsidRDefault="003E75D0" w:rsidP="002F5D3A">
            <w:pPr>
              <w:pStyle w:val="TableText0"/>
              <w:jc w:val="center"/>
              <w:rPr>
                <w:lang w:val="fr-FR"/>
              </w:rPr>
            </w:pPr>
          </w:p>
        </w:tc>
        <w:tc>
          <w:tcPr>
            <w:tcW w:w="5098" w:type="dxa"/>
          </w:tcPr>
          <w:p w14:paraId="7C706E20" w14:textId="5D4F83A2" w:rsidR="003E75D0" w:rsidRPr="00334389" w:rsidRDefault="003E75D0" w:rsidP="002F5D3A">
            <w:pPr>
              <w:pStyle w:val="TableText0"/>
              <w:rPr>
                <w:lang w:val="fr-FR"/>
              </w:rPr>
            </w:pPr>
            <w:r w:rsidRPr="00334389">
              <w:rPr>
                <w:lang w:val="fr-FR"/>
              </w:rPr>
              <w:t>examiner, sur la base des résultats des études menées par l'UIT-R, les mesures qui pourraient être prises pour assurer, dans la bande de fréquences 4</w:t>
            </w:r>
            <w:r w:rsidR="008C2769" w:rsidRPr="00334389">
              <w:rPr>
                <w:lang w:val="fr-FR"/>
              </w:rPr>
              <w:t> </w:t>
            </w:r>
            <w:r w:rsidRPr="00334389">
              <w:rPr>
                <w:lang w:val="fr-FR"/>
              </w:rPr>
              <w:t>800</w:t>
            </w:r>
            <w:r w:rsidRPr="00334389">
              <w:rPr>
                <w:lang w:val="fr-FR"/>
              </w:rPr>
              <w:noBreakHyphen/>
              <w:t>4</w:t>
            </w:r>
            <w:r w:rsidR="008C2769" w:rsidRPr="00334389">
              <w:rPr>
                <w:lang w:val="fr-FR"/>
              </w:rPr>
              <w:t> </w:t>
            </w:r>
            <w:r w:rsidRPr="00334389">
              <w:rPr>
                <w:lang w:val="fr-FR"/>
              </w:rPr>
              <w:t>990 MHz, la protection des stations du service mobile aéronautique et du service mobile maritime situées dans l'espace aérien international et dans les eaux internationales vis-à-vis d'autres stations situées sur le territoire des pays, et examiner le critère de puissance surfacique indiqué dans le renvoi </w:t>
            </w:r>
            <w:r w:rsidRPr="00334389">
              <w:rPr>
                <w:b/>
                <w:bCs/>
                <w:lang w:val="fr-FR"/>
              </w:rPr>
              <w:t>5.441B</w:t>
            </w:r>
            <w:r w:rsidRPr="00334389">
              <w:rPr>
                <w:lang w:val="fr-FR"/>
              </w:rPr>
              <w:t xml:space="preserve"> conformément à la Résolution </w:t>
            </w:r>
            <w:r w:rsidRPr="00334389">
              <w:rPr>
                <w:b/>
                <w:bCs/>
                <w:lang w:val="fr-FR"/>
              </w:rPr>
              <w:t>223 (Rév.CMR-19)</w:t>
            </w:r>
            <w:r w:rsidRPr="00334389">
              <w:rPr>
                <w:lang w:val="fr-FR"/>
              </w:rPr>
              <w:t>;</w:t>
            </w:r>
          </w:p>
        </w:tc>
        <w:tc>
          <w:tcPr>
            <w:tcW w:w="1276" w:type="dxa"/>
          </w:tcPr>
          <w:p w14:paraId="003DC055" w14:textId="1E97AD72" w:rsidR="003E75D0" w:rsidRPr="00334389" w:rsidRDefault="003E75D0" w:rsidP="002F5D3A">
            <w:pPr>
              <w:pStyle w:val="TableText0"/>
              <w:jc w:val="center"/>
              <w:rPr>
                <w:lang w:val="fr-FR"/>
              </w:rPr>
            </w:pPr>
            <w:r w:rsidRPr="00334389">
              <w:rPr>
                <w:lang w:val="fr-FR"/>
              </w:rPr>
              <w:t>A1</w:t>
            </w:r>
          </w:p>
        </w:tc>
      </w:tr>
      <w:tr w:rsidR="003E75D0" w:rsidRPr="00334389" w14:paraId="639F074C" w14:textId="77777777" w:rsidTr="008C2769">
        <w:trPr>
          <w:cantSplit/>
          <w:jc w:val="center"/>
        </w:trPr>
        <w:tc>
          <w:tcPr>
            <w:tcW w:w="1702" w:type="dxa"/>
          </w:tcPr>
          <w:p w14:paraId="72C2B5E3" w14:textId="77777777" w:rsidR="003E75D0" w:rsidRPr="00334389" w:rsidRDefault="003E75D0" w:rsidP="002F5D3A">
            <w:pPr>
              <w:pStyle w:val="TableText0"/>
              <w:jc w:val="center"/>
              <w:rPr>
                <w:lang w:val="fr-FR"/>
              </w:rPr>
            </w:pPr>
            <w:r w:rsidRPr="00334389">
              <w:rPr>
                <w:lang w:val="fr-FR"/>
              </w:rPr>
              <w:t>1.2</w:t>
            </w:r>
          </w:p>
        </w:tc>
        <w:tc>
          <w:tcPr>
            <w:tcW w:w="1417" w:type="dxa"/>
          </w:tcPr>
          <w:p w14:paraId="32C8CD6C" w14:textId="77777777" w:rsidR="003E75D0" w:rsidRPr="00334389" w:rsidRDefault="003E75D0" w:rsidP="002F5D3A">
            <w:pPr>
              <w:pStyle w:val="TableText0"/>
              <w:jc w:val="center"/>
              <w:rPr>
                <w:lang w:val="fr-FR"/>
              </w:rPr>
            </w:pPr>
          </w:p>
        </w:tc>
        <w:tc>
          <w:tcPr>
            <w:tcW w:w="5098" w:type="dxa"/>
          </w:tcPr>
          <w:p w14:paraId="5C7D8585" w14:textId="2D99298B" w:rsidR="003E75D0" w:rsidRPr="00334389" w:rsidRDefault="003E75D0" w:rsidP="002F5D3A">
            <w:pPr>
              <w:pStyle w:val="TableText0"/>
              <w:rPr>
                <w:lang w:val="fr-FR"/>
              </w:rPr>
            </w:pPr>
            <w:r w:rsidRPr="00334389">
              <w:rPr>
                <w:lang w:val="fr-FR"/>
              </w:rPr>
              <w:t>envisager l'identification des bandes de fréquences 3</w:t>
            </w:r>
            <w:r w:rsidR="008C2769" w:rsidRPr="00334389">
              <w:rPr>
                <w:lang w:val="fr-FR"/>
              </w:rPr>
              <w:t> </w:t>
            </w:r>
            <w:r w:rsidRPr="00334389">
              <w:rPr>
                <w:lang w:val="fr-FR"/>
              </w:rPr>
              <w:t>300-3 400 MHz, 3 600</w:t>
            </w:r>
            <w:r w:rsidRPr="00334389">
              <w:rPr>
                <w:lang w:val="fr-FR"/>
              </w:rPr>
              <w:noBreakHyphen/>
              <w:t>3 800 MHz, 6 425</w:t>
            </w:r>
            <w:r w:rsidR="008C2769" w:rsidRPr="00334389">
              <w:rPr>
                <w:lang w:val="fr-FR"/>
              </w:rPr>
              <w:noBreakHyphen/>
            </w:r>
            <w:r w:rsidRPr="00334389">
              <w:rPr>
                <w:lang w:val="fr-FR"/>
              </w:rPr>
              <w:t>7</w:t>
            </w:r>
            <w:r w:rsidR="008C2769" w:rsidRPr="00334389">
              <w:rPr>
                <w:lang w:val="fr-FR"/>
              </w:rPr>
              <w:t> </w:t>
            </w:r>
            <w:r w:rsidRPr="00334389">
              <w:rPr>
                <w:lang w:val="fr-FR"/>
              </w:rPr>
              <w:t>025</w:t>
            </w:r>
            <w:r w:rsidR="008C2769" w:rsidRPr="00334389">
              <w:rPr>
                <w:lang w:val="fr-FR"/>
              </w:rPr>
              <w:t> </w:t>
            </w:r>
            <w:r w:rsidRPr="00334389">
              <w:rPr>
                <w:lang w:val="fr-FR"/>
              </w:rPr>
              <w:t>MHz, 7 025</w:t>
            </w:r>
            <w:r w:rsidRPr="00334389">
              <w:rPr>
                <w:lang w:val="fr-FR"/>
              </w:rPr>
              <w:noBreakHyphen/>
              <w:t>7 125 MHz et 10,0</w:t>
            </w:r>
            <w:r w:rsidRPr="00334389">
              <w:rPr>
                <w:lang w:val="fr-FR"/>
              </w:rPr>
              <w:noBreakHyphen/>
              <w:t>10,5</w:t>
            </w:r>
            <w:r w:rsidR="008C2769" w:rsidRPr="00334389">
              <w:rPr>
                <w:lang w:val="fr-FR"/>
              </w:rPr>
              <w:t> </w:t>
            </w:r>
            <w:r w:rsidRPr="00334389">
              <w:rPr>
                <w:lang w:val="fr-FR"/>
              </w:rPr>
              <w:t>GHz pour les Télécommunications mobiles internationales (IMT), y compris des attributions additionnelles possibles au service mobile à titre primaire, conformément à la Résolution </w:t>
            </w:r>
            <w:r w:rsidRPr="00334389">
              <w:rPr>
                <w:b/>
                <w:lang w:val="fr-FR"/>
              </w:rPr>
              <w:t>245 (CMR</w:t>
            </w:r>
            <w:r w:rsidRPr="00334389">
              <w:rPr>
                <w:b/>
                <w:lang w:val="fr-FR"/>
              </w:rPr>
              <w:noBreakHyphen/>
              <w:t>19)</w:t>
            </w:r>
            <w:r w:rsidRPr="00334389">
              <w:rPr>
                <w:bCs/>
                <w:lang w:val="fr-FR"/>
              </w:rPr>
              <w:t>;</w:t>
            </w:r>
          </w:p>
        </w:tc>
        <w:tc>
          <w:tcPr>
            <w:tcW w:w="1276" w:type="dxa"/>
          </w:tcPr>
          <w:p w14:paraId="56781EA0" w14:textId="4AC4EEDF" w:rsidR="003E75D0" w:rsidRPr="00334389" w:rsidRDefault="003E75D0" w:rsidP="002F5D3A">
            <w:pPr>
              <w:pStyle w:val="TableText0"/>
              <w:jc w:val="center"/>
              <w:rPr>
                <w:lang w:val="fr-FR"/>
              </w:rPr>
            </w:pPr>
            <w:r w:rsidRPr="00334389">
              <w:rPr>
                <w:lang w:val="fr-FR"/>
              </w:rPr>
              <w:t>A2</w:t>
            </w:r>
          </w:p>
        </w:tc>
      </w:tr>
      <w:tr w:rsidR="003E75D0" w:rsidRPr="00334389" w14:paraId="2E31DDD3" w14:textId="77777777" w:rsidTr="008C2769">
        <w:trPr>
          <w:cantSplit/>
          <w:jc w:val="center"/>
        </w:trPr>
        <w:tc>
          <w:tcPr>
            <w:tcW w:w="1702" w:type="dxa"/>
          </w:tcPr>
          <w:p w14:paraId="66E7D82E" w14:textId="77777777" w:rsidR="003E75D0" w:rsidRPr="00334389" w:rsidRDefault="003E75D0" w:rsidP="002F5D3A">
            <w:pPr>
              <w:pStyle w:val="TableText0"/>
              <w:jc w:val="center"/>
              <w:rPr>
                <w:lang w:val="fr-FR"/>
              </w:rPr>
            </w:pPr>
            <w:r w:rsidRPr="00334389">
              <w:rPr>
                <w:lang w:val="fr-FR"/>
              </w:rPr>
              <w:t>1.3</w:t>
            </w:r>
          </w:p>
        </w:tc>
        <w:tc>
          <w:tcPr>
            <w:tcW w:w="1417" w:type="dxa"/>
          </w:tcPr>
          <w:p w14:paraId="675D5A4A" w14:textId="77777777" w:rsidR="003E75D0" w:rsidRPr="00334389" w:rsidRDefault="003E75D0" w:rsidP="002F5D3A">
            <w:pPr>
              <w:pStyle w:val="TableText0"/>
              <w:jc w:val="center"/>
              <w:rPr>
                <w:bCs/>
                <w:iCs/>
                <w:lang w:val="fr-FR"/>
              </w:rPr>
            </w:pPr>
          </w:p>
        </w:tc>
        <w:tc>
          <w:tcPr>
            <w:tcW w:w="5098" w:type="dxa"/>
          </w:tcPr>
          <w:p w14:paraId="035DB336" w14:textId="4E9171FD" w:rsidR="003E75D0" w:rsidRPr="00334389" w:rsidRDefault="003E75D0" w:rsidP="002F5D3A">
            <w:pPr>
              <w:pStyle w:val="TableText0"/>
              <w:rPr>
                <w:lang w:val="fr-FR"/>
              </w:rPr>
            </w:pPr>
            <w:r w:rsidRPr="00334389">
              <w:rPr>
                <w:bCs/>
                <w:iCs/>
                <w:lang w:val="fr-FR"/>
              </w:rPr>
              <w:t>envisager l'attribution à titre primaire de la bande de fréquences 3 600-3 800 MHz au service mobile en Région 1 et prendre les mesures réglementaires appropriées, conformément à la Résolution </w:t>
            </w:r>
            <w:r w:rsidRPr="00334389">
              <w:rPr>
                <w:b/>
                <w:iCs/>
                <w:lang w:val="fr-FR"/>
              </w:rPr>
              <w:t>246 (CMR</w:t>
            </w:r>
            <w:r w:rsidRPr="00334389">
              <w:rPr>
                <w:b/>
                <w:iCs/>
                <w:lang w:val="fr-FR"/>
              </w:rPr>
              <w:noBreakHyphen/>
              <w:t>19)</w:t>
            </w:r>
            <w:r w:rsidRPr="00334389">
              <w:rPr>
                <w:bCs/>
                <w:iCs/>
                <w:lang w:val="fr-FR"/>
              </w:rPr>
              <w:t>;</w:t>
            </w:r>
          </w:p>
        </w:tc>
        <w:tc>
          <w:tcPr>
            <w:tcW w:w="1276" w:type="dxa"/>
          </w:tcPr>
          <w:p w14:paraId="3CB0C86D" w14:textId="3CB2B642" w:rsidR="003E75D0" w:rsidRPr="00334389" w:rsidRDefault="003E75D0" w:rsidP="002F5D3A">
            <w:pPr>
              <w:pStyle w:val="TableText0"/>
              <w:jc w:val="center"/>
              <w:rPr>
                <w:lang w:val="fr-FR"/>
              </w:rPr>
            </w:pPr>
            <w:r w:rsidRPr="00334389">
              <w:rPr>
                <w:lang w:val="fr-FR"/>
              </w:rPr>
              <w:t>A3</w:t>
            </w:r>
          </w:p>
        </w:tc>
      </w:tr>
      <w:tr w:rsidR="003E75D0" w:rsidRPr="00334389" w14:paraId="760B5998" w14:textId="77777777" w:rsidTr="008C2769">
        <w:trPr>
          <w:cantSplit/>
          <w:jc w:val="center"/>
        </w:trPr>
        <w:tc>
          <w:tcPr>
            <w:tcW w:w="1702" w:type="dxa"/>
          </w:tcPr>
          <w:p w14:paraId="4A17ABE9" w14:textId="77777777" w:rsidR="003E75D0" w:rsidRPr="00334389" w:rsidRDefault="003E75D0" w:rsidP="002F5D3A">
            <w:pPr>
              <w:pStyle w:val="TableText0"/>
              <w:jc w:val="center"/>
              <w:rPr>
                <w:lang w:val="fr-FR"/>
              </w:rPr>
            </w:pPr>
            <w:r w:rsidRPr="00334389">
              <w:rPr>
                <w:lang w:val="fr-FR"/>
              </w:rPr>
              <w:t>1.4</w:t>
            </w:r>
          </w:p>
        </w:tc>
        <w:tc>
          <w:tcPr>
            <w:tcW w:w="1417" w:type="dxa"/>
          </w:tcPr>
          <w:p w14:paraId="092AF5B2" w14:textId="77777777" w:rsidR="003E75D0" w:rsidRPr="00334389" w:rsidRDefault="003E75D0" w:rsidP="002F5D3A">
            <w:pPr>
              <w:pStyle w:val="TableText0"/>
              <w:jc w:val="center"/>
              <w:rPr>
                <w:bCs/>
                <w:iCs/>
                <w:lang w:val="fr-FR"/>
              </w:rPr>
            </w:pPr>
          </w:p>
        </w:tc>
        <w:tc>
          <w:tcPr>
            <w:tcW w:w="5098" w:type="dxa"/>
          </w:tcPr>
          <w:p w14:paraId="50205E4B" w14:textId="00CF3667" w:rsidR="003E75D0" w:rsidRPr="00334389" w:rsidRDefault="003E75D0" w:rsidP="002F5D3A">
            <w:pPr>
              <w:pStyle w:val="TableText0"/>
              <w:rPr>
                <w:lang w:val="fr-FR"/>
              </w:rPr>
            </w:pPr>
            <w:r w:rsidRPr="00334389">
              <w:rPr>
                <w:bCs/>
                <w:iCs/>
                <w:lang w:val="fr-FR"/>
              </w:rPr>
              <w:t>examiner, conformément à la Résolution </w:t>
            </w:r>
            <w:r w:rsidRPr="00334389">
              <w:rPr>
                <w:b/>
                <w:iCs/>
                <w:lang w:val="fr-FR"/>
              </w:rPr>
              <w:t>247</w:t>
            </w:r>
            <w:r w:rsidR="008C2769" w:rsidRPr="00334389">
              <w:rPr>
                <w:b/>
                <w:iCs/>
                <w:lang w:val="fr-FR"/>
              </w:rPr>
              <w:t xml:space="preserve"> </w:t>
            </w:r>
            <w:r w:rsidRPr="00334389">
              <w:rPr>
                <w:b/>
                <w:iCs/>
                <w:lang w:val="fr-FR"/>
              </w:rPr>
              <w:t>(CMR</w:t>
            </w:r>
            <w:r w:rsidR="008C2769" w:rsidRPr="00334389">
              <w:rPr>
                <w:b/>
                <w:iCs/>
                <w:lang w:val="fr-FR"/>
              </w:rPr>
              <w:noBreakHyphen/>
            </w:r>
            <w:r w:rsidRPr="00334389">
              <w:rPr>
                <w:b/>
                <w:iCs/>
                <w:lang w:val="fr-FR"/>
              </w:rPr>
              <w:t>19)</w:t>
            </w:r>
            <w:r w:rsidRPr="00334389">
              <w:rPr>
                <w:bCs/>
                <w:iCs/>
                <w:lang w:val="fr-FR"/>
              </w:rPr>
              <w:t>, l'utilisation de stations placées sur des plates-formes à haute altitude en tant que stations de base IMT (HIBS) dans le service mobile dans certaines bandes au-dessous de 2,7 GHz qui sont déjà identifiées pour les IMT, à l'échelle mondiale ou régionale;</w:t>
            </w:r>
          </w:p>
        </w:tc>
        <w:tc>
          <w:tcPr>
            <w:tcW w:w="1276" w:type="dxa"/>
          </w:tcPr>
          <w:p w14:paraId="04CE38AB" w14:textId="1CECC062" w:rsidR="003E75D0" w:rsidRPr="00334389" w:rsidRDefault="003E75D0" w:rsidP="002F5D3A">
            <w:pPr>
              <w:pStyle w:val="TableText0"/>
              <w:jc w:val="center"/>
              <w:rPr>
                <w:lang w:val="fr-FR"/>
              </w:rPr>
            </w:pPr>
            <w:r w:rsidRPr="00334389">
              <w:rPr>
                <w:lang w:val="fr-FR"/>
              </w:rPr>
              <w:t>A4</w:t>
            </w:r>
          </w:p>
        </w:tc>
      </w:tr>
      <w:tr w:rsidR="003E75D0" w:rsidRPr="00334389" w14:paraId="57F4265E" w14:textId="77777777" w:rsidTr="008C2769">
        <w:trPr>
          <w:cantSplit/>
          <w:jc w:val="center"/>
        </w:trPr>
        <w:tc>
          <w:tcPr>
            <w:tcW w:w="1702" w:type="dxa"/>
          </w:tcPr>
          <w:p w14:paraId="2C792138" w14:textId="77777777" w:rsidR="003E75D0" w:rsidRPr="00334389" w:rsidRDefault="003E75D0" w:rsidP="002F5D3A">
            <w:pPr>
              <w:pStyle w:val="TableText0"/>
              <w:jc w:val="center"/>
              <w:rPr>
                <w:lang w:val="fr-FR"/>
              </w:rPr>
            </w:pPr>
            <w:r w:rsidRPr="00334389">
              <w:rPr>
                <w:lang w:val="fr-FR"/>
              </w:rPr>
              <w:t>1.5</w:t>
            </w:r>
          </w:p>
        </w:tc>
        <w:tc>
          <w:tcPr>
            <w:tcW w:w="1417" w:type="dxa"/>
          </w:tcPr>
          <w:p w14:paraId="3DFC24B4" w14:textId="77777777" w:rsidR="003E75D0" w:rsidRPr="00334389" w:rsidRDefault="003E75D0" w:rsidP="002F5D3A">
            <w:pPr>
              <w:pStyle w:val="TableText0"/>
              <w:jc w:val="center"/>
              <w:rPr>
                <w:bCs/>
                <w:iCs/>
                <w:lang w:val="fr-FR"/>
              </w:rPr>
            </w:pPr>
          </w:p>
        </w:tc>
        <w:tc>
          <w:tcPr>
            <w:tcW w:w="5098" w:type="dxa"/>
          </w:tcPr>
          <w:p w14:paraId="0D18F28C" w14:textId="29DA128B" w:rsidR="003E75D0" w:rsidRPr="00334389" w:rsidRDefault="003E75D0" w:rsidP="002F5D3A">
            <w:pPr>
              <w:pStyle w:val="TableText0"/>
              <w:rPr>
                <w:lang w:val="fr-FR"/>
              </w:rPr>
            </w:pPr>
            <w:r w:rsidRPr="00334389">
              <w:rPr>
                <w:bCs/>
                <w:iCs/>
                <w:lang w:val="fr-FR"/>
              </w:rPr>
              <w:t>examiner l'utilisation du spectre et les besoins de spectre des services existants dans la bande de fréquences 470-960 MHz en Région 1 et envisager les mesures réglementaires qui pourraient être prises dans la bande de fréquences 470-694 MHz en Région 1 compte tenu de l'examen effectué conformément à la Résolution </w:t>
            </w:r>
            <w:r w:rsidRPr="00334389">
              <w:rPr>
                <w:b/>
                <w:bCs/>
                <w:iCs/>
                <w:lang w:val="fr-FR"/>
              </w:rPr>
              <w:t>235 (CMR</w:t>
            </w:r>
            <w:r w:rsidRPr="00334389">
              <w:rPr>
                <w:b/>
                <w:bCs/>
                <w:iCs/>
                <w:lang w:val="fr-FR"/>
              </w:rPr>
              <w:noBreakHyphen/>
              <w:t>15)</w:t>
            </w:r>
            <w:r w:rsidRPr="00334389">
              <w:rPr>
                <w:bCs/>
                <w:iCs/>
                <w:lang w:val="fr-FR"/>
              </w:rPr>
              <w:t>;</w:t>
            </w:r>
          </w:p>
        </w:tc>
        <w:tc>
          <w:tcPr>
            <w:tcW w:w="1276" w:type="dxa"/>
          </w:tcPr>
          <w:p w14:paraId="111DA095" w14:textId="2F06E602" w:rsidR="003E75D0" w:rsidRPr="00334389" w:rsidRDefault="003E75D0" w:rsidP="002F5D3A">
            <w:pPr>
              <w:pStyle w:val="TableText0"/>
              <w:jc w:val="center"/>
              <w:rPr>
                <w:lang w:val="fr-FR"/>
              </w:rPr>
            </w:pPr>
            <w:r w:rsidRPr="00334389">
              <w:rPr>
                <w:lang w:val="fr-FR"/>
              </w:rPr>
              <w:t>A5</w:t>
            </w:r>
          </w:p>
        </w:tc>
      </w:tr>
      <w:tr w:rsidR="003E75D0" w:rsidRPr="00334389" w14:paraId="0203C039" w14:textId="77777777" w:rsidTr="008C2769">
        <w:trPr>
          <w:cantSplit/>
          <w:trHeight w:val="437"/>
          <w:jc w:val="center"/>
        </w:trPr>
        <w:tc>
          <w:tcPr>
            <w:tcW w:w="1702" w:type="dxa"/>
          </w:tcPr>
          <w:p w14:paraId="4C70DB95" w14:textId="77777777" w:rsidR="003E75D0" w:rsidRPr="00334389" w:rsidRDefault="003E75D0" w:rsidP="00557ED3">
            <w:pPr>
              <w:pStyle w:val="TableText0"/>
              <w:jc w:val="center"/>
              <w:rPr>
                <w:lang w:val="fr-FR"/>
              </w:rPr>
            </w:pPr>
            <w:r w:rsidRPr="00334389">
              <w:rPr>
                <w:lang w:val="fr-FR"/>
              </w:rPr>
              <w:t>1.6</w:t>
            </w:r>
          </w:p>
        </w:tc>
        <w:tc>
          <w:tcPr>
            <w:tcW w:w="1417" w:type="dxa"/>
          </w:tcPr>
          <w:p w14:paraId="20A4D180" w14:textId="77777777" w:rsidR="003E75D0" w:rsidRPr="00334389" w:rsidRDefault="003E75D0" w:rsidP="002F5D3A">
            <w:pPr>
              <w:pStyle w:val="TableText0"/>
              <w:jc w:val="center"/>
              <w:rPr>
                <w:bCs/>
                <w:iCs/>
                <w:lang w:val="fr-FR"/>
              </w:rPr>
            </w:pPr>
          </w:p>
        </w:tc>
        <w:tc>
          <w:tcPr>
            <w:tcW w:w="5098" w:type="dxa"/>
          </w:tcPr>
          <w:p w14:paraId="6E05E454" w14:textId="0AB4EF57" w:rsidR="003E75D0" w:rsidRPr="00334389" w:rsidRDefault="003E75D0" w:rsidP="002F5D3A">
            <w:pPr>
              <w:pStyle w:val="TableText0"/>
              <w:rPr>
                <w:lang w:val="fr-FR"/>
              </w:rPr>
            </w:pPr>
            <w:r w:rsidRPr="00334389">
              <w:rPr>
                <w:bCs/>
                <w:iCs/>
                <w:lang w:val="fr-FR"/>
              </w:rPr>
              <w:t>étudier, conformément à la Résolution </w:t>
            </w:r>
            <w:r w:rsidRPr="00334389">
              <w:rPr>
                <w:b/>
                <w:bCs/>
                <w:iCs/>
                <w:lang w:val="fr-FR"/>
              </w:rPr>
              <w:t>772</w:t>
            </w:r>
            <w:r w:rsidR="008C2769" w:rsidRPr="00334389">
              <w:rPr>
                <w:b/>
                <w:bCs/>
                <w:iCs/>
                <w:lang w:val="fr-FR"/>
              </w:rPr>
              <w:t xml:space="preserve"> </w:t>
            </w:r>
            <w:r w:rsidRPr="00334389">
              <w:rPr>
                <w:b/>
                <w:bCs/>
                <w:iCs/>
                <w:lang w:val="fr-FR"/>
              </w:rPr>
              <w:t>(CMR</w:t>
            </w:r>
            <w:r w:rsidRPr="00334389">
              <w:rPr>
                <w:b/>
                <w:bCs/>
                <w:iCs/>
                <w:lang w:val="fr-FR"/>
              </w:rPr>
              <w:noBreakHyphen/>
              <w:t>19)</w:t>
            </w:r>
            <w:r w:rsidRPr="00334389">
              <w:rPr>
                <w:bCs/>
                <w:iCs/>
                <w:lang w:val="fr-FR"/>
              </w:rPr>
              <w:t>, les dispositions réglementaires propres à faciliter les radiocommunications pour les véhicules suborbitaux;</w:t>
            </w:r>
          </w:p>
        </w:tc>
        <w:tc>
          <w:tcPr>
            <w:tcW w:w="1276" w:type="dxa"/>
          </w:tcPr>
          <w:p w14:paraId="731559A2" w14:textId="36B2A103" w:rsidR="003E75D0" w:rsidRPr="00334389" w:rsidRDefault="003E75D0" w:rsidP="00557ED3">
            <w:pPr>
              <w:pStyle w:val="TableText0"/>
              <w:jc w:val="center"/>
              <w:rPr>
                <w:lang w:val="fr-FR"/>
              </w:rPr>
            </w:pPr>
            <w:r w:rsidRPr="00334389">
              <w:rPr>
                <w:lang w:val="fr-FR"/>
              </w:rPr>
              <w:t>A6</w:t>
            </w:r>
          </w:p>
        </w:tc>
      </w:tr>
      <w:tr w:rsidR="003E75D0" w:rsidRPr="00334389" w14:paraId="4A77D34E" w14:textId="77777777" w:rsidTr="008C2769">
        <w:trPr>
          <w:cantSplit/>
          <w:jc w:val="center"/>
        </w:trPr>
        <w:tc>
          <w:tcPr>
            <w:tcW w:w="1702" w:type="dxa"/>
          </w:tcPr>
          <w:p w14:paraId="64F1ECB9" w14:textId="77777777" w:rsidR="003E75D0" w:rsidRPr="00334389" w:rsidRDefault="003E75D0" w:rsidP="00557ED3">
            <w:pPr>
              <w:pStyle w:val="TableText0"/>
              <w:jc w:val="center"/>
              <w:rPr>
                <w:lang w:val="fr-FR"/>
              </w:rPr>
            </w:pPr>
            <w:r w:rsidRPr="00334389">
              <w:rPr>
                <w:lang w:val="fr-FR"/>
              </w:rPr>
              <w:t>1.7</w:t>
            </w:r>
          </w:p>
        </w:tc>
        <w:tc>
          <w:tcPr>
            <w:tcW w:w="1417" w:type="dxa"/>
          </w:tcPr>
          <w:p w14:paraId="301360E2" w14:textId="77777777" w:rsidR="003E75D0" w:rsidRPr="00334389" w:rsidRDefault="003E75D0" w:rsidP="002F5D3A">
            <w:pPr>
              <w:pStyle w:val="TableText0"/>
              <w:jc w:val="center"/>
              <w:rPr>
                <w:bCs/>
                <w:iCs/>
                <w:lang w:val="fr-FR"/>
              </w:rPr>
            </w:pPr>
          </w:p>
        </w:tc>
        <w:tc>
          <w:tcPr>
            <w:tcW w:w="5098" w:type="dxa"/>
          </w:tcPr>
          <w:p w14:paraId="72788940" w14:textId="1DB5B561" w:rsidR="003E75D0" w:rsidRPr="00334389" w:rsidRDefault="003E75D0" w:rsidP="002F5D3A">
            <w:pPr>
              <w:pStyle w:val="TableText0"/>
              <w:rPr>
                <w:lang w:val="fr-FR"/>
              </w:rPr>
            </w:pPr>
            <w:r w:rsidRPr="00334389">
              <w:rPr>
                <w:bCs/>
                <w:iCs/>
                <w:lang w:val="fr-FR"/>
              </w:rPr>
              <w:t>envisager une nouvelle attribution au service mobile aéronautique (R) par satellite, conformément à la Résolution </w:t>
            </w:r>
            <w:r w:rsidRPr="00334389">
              <w:rPr>
                <w:b/>
                <w:iCs/>
                <w:lang w:val="fr-FR"/>
              </w:rPr>
              <w:t>428</w:t>
            </w:r>
            <w:r w:rsidRPr="00334389">
              <w:rPr>
                <w:bCs/>
                <w:iCs/>
                <w:lang w:val="fr-FR"/>
              </w:rPr>
              <w:t> </w:t>
            </w:r>
            <w:r w:rsidRPr="00334389">
              <w:rPr>
                <w:b/>
                <w:iCs/>
                <w:lang w:val="fr-FR"/>
              </w:rPr>
              <w:t>(CMR-19)</w:t>
            </w:r>
            <w:r w:rsidRPr="00334389">
              <w:rPr>
                <w:bCs/>
                <w:iCs/>
                <w:lang w:val="fr-FR"/>
              </w:rPr>
              <w:t xml:space="preserve"> pour les communications aéronautiques en ondes métriques dans les sens Terre vers espace et espace vers Terre dans tout ou partie de la bande de fréquences 117,975</w:t>
            </w:r>
            <w:r w:rsidRPr="00334389">
              <w:rPr>
                <w:bCs/>
                <w:iCs/>
                <w:lang w:val="fr-FR"/>
              </w:rPr>
              <w:noBreakHyphen/>
              <w:t>137 MHz, tout en évitant d'imposer des contraintes excessives aux systèmes existants en ondes métriques fonctionnant dans le service mobile aéronautique (R), le service de radionavigation aéronautique et dans les bandes de fréquences adjacentes;</w:t>
            </w:r>
          </w:p>
        </w:tc>
        <w:tc>
          <w:tcPr>
            <w:tcW w:w="1276" w:type="dxa"/>
          </w:tcPr>
          <w:p w14:paraId="15366393" w14:textId="077CBB1F" w:rsidR="003E75D0" w:rsidRPr="00334389" w:rsidRDefault="003E75D0" w:rsidP="00557ED3">
            <w:pPr>
              <w:pStyle w:val="TableText0"/>
              <w:jc w:val="center"/>
              <w:rPr>
                <w:lang w:val="fr-FR"/>
              </w:rPr>
            </w:pPr>
            <w:r w:rsidRPr="00334389">
              <w:rPr>
                <w:lang w:val="fr-FR"/>
              </w:rPr>
              <w:t>A7</w:t>
            </w:r>
          </w:p>
        </w:tc>
      </w:tr>
      <w:tr w:rsidR="003E75D0" w:rsidRPr="00334389" w14:paraId="626FD3E8" w14:textId="77777777" w:rsidTr="008C2769">
        <w:trPr>
          <w:cantSplit/>
          <w:jc w:val="center"/>
        </w:trPr>
        <w:tc>
          <w:tcPr>
            <w:tcW w:w="1702" w:type="dxa"/>
          </w:tcPr>
          <w:p w14:paraId="71F240E8" w14:textId="77777777" w:rsidR="003E75D0" w:rsidRPr="00334389" w:rsidRDefault="003E75D0" w:rsidP="00557ED3">
            <w:pPr>
              <w:pStyle w:val="TableText0"/>
              <w:jc w:val="center"/>
              <w:rPr>
                <w:lang w:val="fr-FR"/>
              </w:rPr>
            </w:pPr>
            <w:r w:rsidRPr="00334389">
              <w:rPr>
                <w:lang w:val="fr-FR"/>
              </w:rPr>
              <w:t>1.8</w:t>
            </w:r>
          </w:p>
        </w:tc>
        <w:tc>
          <w:tcPr>
            <w:tcW w:w="1417" w:type="dxa"/>
          </w:tcPr>
          <w:p w14:paraId="75B101DC" w14:textId="77777777" w:rsidR="003E75D0" w:rsidRPr="00334389" w:rsidRDefault="003E75D0" w:rsidP="002F5D3A">
            <w:pPr>
              <w:pStyle w:val="TableText0"/>
              <w:jc w:val="center"/>
              <w:rPr>
                <w:bCs/>
                <w:iCs/>
                <w:lang w:val="fr-FR"/>
              </w:rPr>
            </w:pPr>
          </w:p>
        </w:tc>
        <w:tc>
          <w:tcPr>
            <w:tcW w:w="5098" w:type="dxa"/>
          </w:tcPr>
          <w:p w14:paraId="22A13F3F" w14:textId="2605D2FD" w:rsidR="003E75D0" w:rsidRPr="00334389" w:rsidRDefault="003E75D0" w:rsidP="002F5D3A">
            <w:pPr>
              <w:pStyle w:val="TableText0"/>
              <w:rPr>
                <w:lang w:val="fr-FR"/>
              </w:rPr>
            </w:pPr>
            <w:r w:rsidRPr="00334389">
              <w:rPr>
                <w:bCs/>
                <w:iCs/>
                <w:lang w:val="fr-FR"/>
              </w:rPr>
              <w:t>envisager, sur la base des études menées par</w:t>
            </w:r>
            <w:r w:rsidR="008C2769" w:rsidRPr="00334389">
              <w:rPr>
                <w:bCs/>
                <w:iCs/>
                <w:lang w:val="fr-FR"/>
              </w:rPr>
              <w:t xml:space="preserve"> </w:t>
            </w:r>
            <w:r w:rsidRPr="00334389">
              <w:rPr>
                <w:bCs/>
                <w:iCs/>
                <w:lang w:val="fr-FR"/>
              </w:rPr>
              <w:t>l'UIT-R conformément à la Résolution </w:t>
            </w:r>
            <w:r w:rsidRPr="00334389">
              <w:rPr>
                <w:b/>
                <w:bCs/>
                <w:iCs/>
                <w:lang w:val="fr-FR"/>
              </w:rPr>
              <w:t>171</w:t>
            </w:r>
            <w:r w:rsidR="008C2769" w:rsidRPr="00334389">
              <w:rPr>
                <w:b/>
                <w:bCs/>
                <w:iCs/>
                <w:lang w:val="fr-FR"/>
              </w:rPr>
              <w:t xml:space="preserve"> </w:t>
            </w:r>
            <w:r w:rsidRPr="00334389">
              <w:rPr>
                <w:b/>
                <w:bCs/>
                <w:iCs/>
                <w:lang w:val="fr-FR"/>
              </w:rPr>
              <w:t>(CMR-19)</w:t>
            </w:r>
            <w:r w:rsidRPr="00334389">
              <w:rPr>
                <w:bCs/>
                <w:iCs/>
                <w:lang w:val="fr-FR"/>
              </w:rPr>
              <w:t xml:space="preserve">, des mesures réglementaires appropriées, en vue d'examiner et, au besoin, de réviser la Résolution </w:t>
            </w:r>
            <w:r w:rsidRPr="00334389">
              <w:rPr>
                <w:b/>
                <w:bCs/>
                <w:iCs/>
                <w:lang w:val="fr-FR"/>
              </w:rPr>
              <w:t>155 (Rév.CMR</w:t>
            </w:r>
            <w:r w:rsidR="008C2769" w:rsidRPr="00334389">
              <w:rPr>
                <w:b/>
                <w:bCs/>
                <w:iCs/>
                <w:lang w:val="fr-FR"/>
              </w:rPr>
              <w:noBreakHyphen/>
            </w:r>
            <w:r w:rsidRPr="00334389">
              <w:rPr>
                <w:b/>
                <w:bCs/>
                <w:iCs/>
                <w:lang w:val="fr-FR"/>
              </w:rPr>
              <w:t>19)</w:t>
            </w:r>
            <w:r w:rsidRPr="00334389">
              <w:rPr>
                <w:bCs/>
                <w:iCs/>
                <w:lang w:val="fr-FR"/>
              </w:rPr>
              <w:t xml:space="preserve"> et le numéro </w:t>
            </w:r>
            <w:r w:rsidRPr="00334389">
              <w:rPr>
                <w:b/>
                <w:bCs/>
                <w:iCs/>
                <w:lang w:val="fr-FR"/>
              </w:rPr>
              <w:t>5.484B</w:t>
            </w:r>
            <w:r w:rsidRPr="00334389">
              <w:rPr>
                <w:bCs/>
                <w:iCs/>
                <w:lang w:val="fr-FR"/>
              </w:rPr>
              <w:t>, pour tenir compte de l'utilisation des réseaux du service fixe par satellite pour les communications de contrôle et non associées à la charge utile des systèmes d'aéronef sans pilote;</w:t>
            </w:r>
          </w:p>
        </w:tc>
        <w:tc>
          <w:tcPr>
            <w:tcW w:w="1276" w:type="dxa"/>
          </w:tcPr>
          <w:p w14:paraId="1F042423" w14:textId="7DD7B219" w:rsidR="003E75D0" w:rsidRPr="00334389" w:rsidRDefault="003E75D0" w:rsidP="00557ED3">
            <w:pPr>
              <w:pStyle w:val="TableText0"/>
              <w:jc w:val="center"/>
              <w:rPr>
                <w:lang w:val="fr-FR"/>
              </w:rPr>
            </w:pPr>
            <w:r w:rsidRPr="00334389">
              <w:rPr>
                <w:lang w:val="fr-FR"/>
              </w:rPr>
              <w:t>A8</w:t>
            </w:r>
          </w:p>
        </w:tc>
      </w:tr>
      <w:tr w:rsidR="003E75D0" w:rsidRPr="00334389" w14:paraId="7BDDD32F" w14:textId="77777777" w:rsidTr="008C2769">
        <w:trPr>
          <w:cantSplit/>
          <w:trHeight w:val="95"/>
          <w:jc w:val="center"/>
        </w:trPr>
        <w:tc>
          <w:tcPr>
            <w:tcW w:w="1702" w:type="dxa"/>
          </w:tcPr>
          <w:p w14:paraId="7721565A" w14:textId="77777777" w:rsidR="003E75D0" w:rsidRPr="00334389" w:rsidRDefault="003E75D0" w:rsidP="002F5D3A">
            <w:pPr>
              <w:pStyle w:val="TableText0"/>
              <w:jc w:val="center"/>
              <w:rPr>
                <w:lang w:val="fr-FR"/>
              </w:rPr>
            </w:pPr>
            <w:r w:rsidRPr="00334389">
              <w:rPr>
                <w:lang w:val="fr-FR"/>
              </w:rPr>
              <w:t>1.9</w:t>
            </w:r>
          </w:p>
        </w:tc>
        <w:tc>
          <w:tcPr>
            <w:tcW w:w="1417" w:type="dxa"/>
          </w:tcPr>
          <w:p w14:paraId="54FAAA30" w14:textId="77777777" w:rsidR="003E75D0" w:rsidRPr="00334389" w:rsidRDefault="003E75D0" w:rsidP="002F5D3A">
            <w:pPr>
              <w:pStyle w:val="TableText0"/>
              <w:jc w:val="center"/>
              <w:rPr>
                <w:bCs/>
                <w:iCs/>
                <w:lang w:val="fr-FR"/>
              </w:rPr>
            </w:pPr>
          </w:p>
        </w:tc>
        <w:tc>
          <w:tcPr>
            <w:tcW w:w="5098" w:type="dxa"/>
          </w:tcPr>
          <w:p w14:paraId="2F5FD811" w14:textId="7ECD8077" w:rsidR="003E75D0" w:rsidRPr="00334389" w:rsidRDefault="003E75D0" w:rsidP="002F5D3A">
            <w:pPr>
              <w:pStyle w:val="TableText0"/>
              <w:rPr>
                <w:lang w:val="fr-FR"/>
              </w:rPr>
            </w:pPr>
            <w:r w:rsidRPr="00334389">
              <w:rPr>
                <w:bCs/>
                <w:iCs/>
                <w:lang w:val="fr-FR"/>
              </w:rPr>
              <w:t xml:space="preserve">examiner l'Appendice </w:t>
            </w:r>
            <w:r w:rsidRPr="00334389">
              <w:rPr>
                <w:b/>
                <w:bCs/>
                <w:iCs/>
                <w:lang w:val="fr-FR"/>
              </w:rPr>
              <w:t>27</w:t>
            </w:r>
            <w:r w:rsidRPr="00334389">
              <w:rPr>
                <w:bCs/>
                <w:iCs/>
                <w:lang w:val="fr-FR"/>
              </w:rPr>
              <w:t xml:space="preserve"> du Règlement des radiocommunications et envisager des mesures et des mises à jour réglementaires appropriées sur la base des études de</w:t>
            </w:r>
            <w:r w:rsidR="008C2769" w:rsidRPr="00334389">
              <w:rPr>
                <w:bCs/>
                <w:iCs/>
                <w:lang w:val="fr-FR"/>
              </w:rPr>
              <w:t xml:space="preserve"> </w:t>
            </w:r>
            <w:r w:rsidRPr="00334389">
              <w:rPr>
                <w:bCs/>
                <w:iCs/>
                <w:lang w:val="fr-FR"/>
              </w:rPr>
              <w:t>l'UIT</w:t>
            </w:r>
            <w:r w:rsidRPr="00334389">
              <w:rPr>
                <w:bCs/>
                <w:iCs/>
                <w:lang w:val="fr-FR"/>
              </w:rPr>
              <w:noBreakHyphen/>
              <w:t>R, afin de tenir compte des techniques numériques pour les applications liées à la sécurité de la vie humaine dans le domaine de l'aviation commerciale dans les bandes d'ondes décamétriques existantes attribuées au service mobile aéronautique</w:t>
            </w:r>
            <w:r w:rsidR="008C2769" w:rsidRPr="00334389">
              <w:rPr>
                <w:bCs/>
                <w:iCs/>
                <w:lang w:val="fr-FR"/>
              </w:rPr>
              <w:t xml:space="preserve"> </w:t>
            </w:r>
            <w:r w:rsidRPr="00334389">
              <w:rPr>
                <w:bCs/>
                <w:iCs/>
                <w:lang w:val="fr-FR"/>
              </w:rPr>
              <w:t>(R) et d'assurer la coexistence entre les systèmes actuels en ondes décamétriques et les systèmes modernisés en ondes décamétriques, conformément à la Résolution </w:t>
            </w:r>
            <w:r w:rsidRPr="00334389">
              <w:rPr>
                <w:b/>
                <w:iCs/>
                <w:lang w:val="fr-FR"/>
              </w:rPr>
              <w:t>429</w:t>
            </w:r>
            <w:r w:rsidR="008C2769" w:rsidRPr="00334389">
              <w:rPr>
                <w:b/>
                <w:bCs/>
                <w:iCs/>
                <w:lang w:val="fr-FR"/>
              </w:rPr>
              <w:t xml:space="preserve"> </w:t>
            </w:r>
            <w:r w:rsidRPr="00334389">
              <w:rPr>
                <w:b/>
                <w:bCs/>
                <w:iCs/>
                <w:lang w:val="fr-FR"/>
              </w:rPr>
              <w:t>(CMR</w:t>
            </w:r>
            <w:r w:rsidRPr="00334389">
              <w:rPr>
                <w:b/>
                <w:bCs/>
                <w:iCs/>
                <w:lang w:val="fr-FR"/>
              </w:rPr>
              <w:noBreakHyphen/>
              <w:t>19)</w:t>
            </w:r>
            <w:r w:rsidRPr="00334389">
              <w:rPr>
                <w:bCs/>
                <w:iCs/>
                <w:lang w:val="fr-FR"/>
              </w:rPr>
              <w:t>;</w:t>
            </w:r>
          </w:p>
        </w:tc>
        <w:tc>
          <w:tcPr>
            <w:tcW w:w="1276" w:type="dxa"/>
          </w:tcPr>
          <w:p w14:paraId="0AF0DBD8" w14:textId="08C9811B" w:rsidR="003E75D0" w:rsidRPr="00334389" w:rsidRDefault="005D19E8" w:rsidP="002F5D3A">
            <w:pPr>
              <w:pStyle w:val="TableText0"/>
              <w:jc w:val="center"/>
              <w:rPr>
                <w:lang w:val="fr-FR"/>
              </w:rPr>
            </w:pPr>
            <w:r w:rsidRPr="00334389">
              <w:rPr>
                <w:lang w:val="fr-FR"/>
              </w:rPr>
              <w:t>Néant</w:t>
            </w:r>
          </w:p>
        </w:tc>
      </w:tr>
      <w:tr w:rsidR="003E75D0" w:rsidRPr="00334389" w14:paraId="7A58942B" w14:textId="77777777" w:rsidTr="008C2769">
        <w:trPr>
          <w:cantSplit/>
          <w:jc w:val="center"/>
        </w:trPr>
        <w:tc>
          <w:tcPr>
            <w:tcW w:w="1702" w:type="dxa"/>
          </w:tcPr>
          <w:p w14:paraId="07FB9BCD" w14:textId="77777777" w:rsidR="003E75D0" w:rsidRPr="00334389" w:rsidRDefault="003E75D0" w:rsidP="002F5D3A">
            <w:pPr>
              <w:pStyle w:val="TableText0"/>
              <w:jc w:val="center"/>
              <w:rPr>
                <w:lang w:val="fr-FR"/>
              </w:rPr>
            </w:pPr>
            <w:r w:rsidRPr="00334389">
              <w:rPr>
                <w:lang w:val="fr-FR"/>
              </w:rPr>
              <w:t>1.10</w:t>
            </w:r>
          </w:p>
        </w:tc>
        <w:tc>
          <w:tcPr>
            <w:tcW w:w="1417" w:type="dxa"/>
          </w:tcPr>
          <w:p w14:paraId="5A94C656" w14:textId="77777777" w:rsidR="003E75D0" w:rsidRPr="00334389" w:rsidRDefault="003E75D0" w:rsidP="002F5D3A">
            <w:pPr>
              <w:pStyle w:val="TableText0"/>
              <w:jc w:val="center"/>
              <w:rPr>
                <w:bCs/>
                <w:iCs/>
                <w:lang w:val="fr-FR"/>
              </w:rPr>
            </w:pPr>
          </w:p>
        </w:tc>
        <w:tc>
          <w:tcPr>
            <w:tcW w:w="5098" w:type="dxa"/>
          </w:tcPr>
          <w:p w14:paraId="1889BA4B" w14:textId="4563700D" w:rsidR="003E75D0" w:rsidRPr="00334389" w:rsidRDefault="003E75D0" w:rsidP="002F5D3A">
            <w:pPr>
              <w:pStyle w:val="TableText0"/>
              <w:rPr>
                <w:lang w:val="fr-FR"/>
              </w:rPr>
            </w:pPr>
            <w:r w:rsidRPr="00334389">
              <w:rPr>
                <w:bCs/>
                <w:iCs/>
                <w:lang w:val="fr-FR"/>
              </w:rPr>
              <w:t>procéder à des études sur les besoins de spectre, la coexistence avec les services de radiocommunication et les mesures réglementaires à prendre en vue de faire de nouvelles attributions éventuelles au service mobile aéronautique pour l'utilisation des applications du service mobile aéronautique non liées à la sécurité, conformément à la Résolution </w:t>
            </w:r>
            <w:r w:rsidRPr="00334389">
              <w:rPr>
                <w:b/>
                <w:bCs/>
                <w:iCs/>
                <w:lang w:val="fr-FR"/>
              </w:rPr>
              <w:t>430 (CMR</w:t>
            </w:r>
            <w:r w:rsidRPr="00334389">
              <w:rPr>
                <w:b/>
                <w:bCs/>
                <w:iCs/>
                <w:lang w:val="fr-FR"/>
              </w:rPr>
              <w:noBreakHyphen/>
              <w:t>19)</w:t>
            </w:r>
            <w:r w:rsidRPr="00334389">
              <w:rPr>
                <w:bCs/>
                <w:iCs/>
                <w:lang w:val="fr-FR"/>
              </w:rPr>
              <w:t>;</w:t>
            </w:r>
          </w:p>
        </w:tc>
        <w:tc>
          <w:tcPr>
            <w:tcW w:w="1276" w:type="dxa"/>
          </w:tcPr>
          <w:p w14:paraId="76BC9C0B" w14:textId="56D86A42" w:rsidR="003E75D0" w:rsidRPr="00334389" w:rsidRDefault="003E75D0" w:rsidP="002F5D3A">
            <w:pPr>
              <w:pStyle w:val="TableText0"/>
              <w:jc w:val="center"/>
              <w:rPr>
                <w:lang w:val="fr-FR"/>
              </w:rPr>
            </w:pPr>
            <w:r w:rsidRPr="00334389">
              <w:rPr>
                <w:lang w:val="fr-FR"/>
              </w:rPr>
              <w:t>A10</w:t>
            </w:r>
          </w:p>
        </w:tc>
      </w:tr>
      <w:tr w:rsidR="003E75D0" w:rsidRPr="00334389" w14:paraId="3A1F292D" w14:textId="77777777" w:rsidTr="008C2769">
        <w:trPr>
          <w:cantSplit/>
          <w:jc w:val="center"/>
        </w:trPr>
        <w:tc>
          <w:tcPr>
            <w:tcW w:w="1702" w:type="dxa"/>
            <w:vMerge w:val="restart"/>
          </w:tcPr>
          <w:p w14:paraId="333935C0" w14:textId="77777777" w:rsidR="003E75D0" w:rsidRPr="00334389" w:rsidRDefault="003E75D0" w:rsidP="002F5D3A">
            <w:pPr>
              <w:pStyle w:val="TableText0"/>
              <w:jc w:val="center"/>
              <w:rPr>
                <w:lang w:val="fr-FR"/>
              </w:rPr>
            </w:pPr>
            <w:r w:rsidRPr="00334389">
              <w:rPr>
                <w:lang w:val="fr-FR"/>
              </w:rPr>
              <w:t>1.11</w:t>
            </w:r>
          </w:p>
        </w:tc>
        <w:tc>
          <w:tcPr>
            <w:tcW w:w="1417" w:type="dxa"/>
          </w:tcPr>
          <w:p w14:paraId="34CFD19B" w14:textId="77777777" w:rsidR="003E75D0" w:rsidRPr="00334389" w:rsidRDefault="003E75D0" w:rsidP="002F5D3A">
            <w:pPr>
              <w:pStyle w:val="TableText0"/>
              <w:jc w:val="center"/>
              <w:rPr>
                <w:bCs/>
                <w:iCs/>
                <w:lang w:val="fr-FR"/>
              </w:rPr>
            </w:pPr>
          </w:p>
        </w:tc>
        <w:tc>
          <w:tcPr>
            <w:tcW w:w="5098" w:type="dxa"/>
          </w:tcPr>
          <w:p w14:paraId="23A8EC65" w14:textId="3BF7CD14" w:rsidR="003E75D0" w:rsidRPr="00334389" w:rsidRDefault="003E75D0" w:rsidP="002F5D3A">
            <w:pPr>
              <w:pStyle w:val="TableText0"/>
              <w:rPr>
                <w:lang w:val="fr-FR"/>
              </w:rPr>
            </w:pPr>
            <w:r w:rsidRPr="00334389">
              <w:rPr>
                <w:bCs/>
                <w:iCs/>
                <w:lang w:val="fr-FR"/>
              </w:rPr>
              <w:t>examiner les mesures réglementaires qui pourraient être prises en vue de permettre la modernisation du Système mondial de détresse et de sécurité en mer (SMDSM) et la mise en œuvre de la navigation électronique, conformément à la Résolution </w:t>
            </w:r>
            <w:r w:rsidRPr="00334389">
              <w:rPr>
                <w:b/>
                <w:iCs/>
                <w:lang w:val="fr-FR"/>
              </w:rPr>
              <w:t>361 (Rév.CMR-19)</w:t>
            </w:r>
            <w:r w:rsidRPr="00334389">
              <w:rPr>
                <w:bCs/>
                <w:iCs/>
                <w:lang w:val="fr-FR"/>
              </w:rPr>
              <w:t>;</w:t>
            </w:r>
          </w:p>
        </w:tc>
        <w:tc>
          <w:tcPr>
            <w:tcW w:w="1276" w:type="dxa"/>
          </w:tcPr>
          <w:p w14:paraId="2281A44D" w14:textId="594CD84F" w:rsidR="003E75D0" w:rsidRPr="00334389" w:rsidRDefault="003E75D0" w:rsidP="002F5D3A">
            <w:pPr>
              <w:pStyle w:val="TableText0"/>
              <w:jc w:val="center"/>
              <w:rPr>
                <w:lang w:val="fr-FR"/>
              </w:rPr>
            </w:pPr>
          </w:p>
        </w:tc>
      </w:tr>
      <w:tr w:rsidR="003E75D0" w:rsidRPr="00334389" w14:paraId="08FE16EE" w14:textId="77777777" w:rsidTr="008C2769">
        <w:trPr>
          <w:cantSplit/>
          <w:jc w:val="center"/>
        </w:trPr>
        <w:tc>
          <w:tcPr>
            <w:tcW w:w="1702" w:type="dxa"/>
            <w:vMerge/>
          </w:tcPr>
          <w:p w14:paraId="213838D6" w14:textId="77777777" w:rsidR="003E75D0" w:rsidRPr="00334389" w:rsidRDefault="003E75D0" w:rsidP="002F5D3A">
            <w:pPr>
              <w:pStyle w:val="TableText0"/>
              <w:jc w:val="center"/>
              <w:rPr>
                <w:lang w:val="fr-FR"/>
              </w:rPr>
            </w:pPr>
          </w:p>
        </w:tc>
        <w:tc>
          <w:tcPr>
            <w:tcW w:w="1417" w:type="dxa"/>
          </w:tcPr>
          <w:p w14:paraId="04E93619" w14:textId="38B60D76" w:rsidR="003E75D0" w:rsidRPr="00334389" w:rsidRDefault="003E75D0" w:rsidP="002F5D3A">
            <w:pPr>
              <w:pStyle w:val="TableText0"/>
              <w:jc w:val="center"/>
              <w:rPr>
                <w:bCs/>
                <w:iCs/>
                <w:lang w:val="fr-FR"/>
              </w:rPr>
            </w:pPr>
            <w:r w:rsidRPr="00334389">
              <w:rPr>
                <w:bCs/>
                <w:iCs/>
                <w:lang w:val="fr-FR"/>
              </w:rPr>
              <w:t>Question A/B</w:t>
            </w:r>
          </w:p>
        </w:tc>
        <w:tc>
          <w:tcPr>
            <w:tcW w:w="5098" w:type="dxa"/>
          </w:tcPr>
          <w:p w14:paraId="01CD1415" w14:textId="487BF819" w:rsidR="003E75D0" w:rsidRPr="00334389" w:rsidRDefault="003E75D0" w:rsidP="002F5D3A">
            <w:pPr>
              <w:pStyle w:val="TableText0"/>
              <w:rPr>
                <w:bCs/>
                <w:iCs/>
                <w:lang w:val="fr-FR"/>
              </w:rPr>
            </w:pPr>
            <w:r w:rsidRPr="00334389">
              <w:rPr>
                <w:bCs/>
                <w:iCs/>
                <w:lang w:val="fr-FR"/>
              </w:rPr>
              <w:t>Modernisation du SMDSM/Navigation électronique</w:t>
            </w:r>
          </w:p>
        </w:tc>
        <w:tc>
          <w:tcPr>
            <w:tcW w:w="1276" w:type="dxa"/>
          </w:tcPr>
          <w:p w14:paraId="3388298B" w14:textId="10C94479" w:rsidR="003E75D0" w:rsidRPr="00334389" w:rsidRDefault="003E75D0" w:rsidP="002F5D3A">
            <w:pPr>
              <w:pStyle w:val="TableText0"/>
              <w:jc w:val="center"/>
              <w:rPr>
                <w:lang w:val="fr-FR"/>
              </w:rPr>
            </w:pPr>
            <w:r w:rsidRPr="00334389">
              <w:rPr>
                <w:lang w:val="fr-FR"/>
              </w:rPr>
              <w:t>A11-A1</w:t>
            </w:r>
          </w:p>
        </w:tc>
      </w:tr>
      <w:tr w:rsidR="003E75D0" w:rsidRPr="00334389" w14:paraId="6B7CD815" w14:textId="77777777" w:rsidTr="008C2769">
        <w:trPr>
          <w:cantSplit/>
          <w:jc w:val="center"/>
        </w:trPr>
        <w:tc>
          <w:tcPr>
            <w:tcW w:w="1702" w:type="dxa"/>
            <w:vMerge/>
          </w:tcPr>
          <w:p w14:paraId="183E2682" w14:textId="77777777" w:rsidR="003E75D0" w:rsidRPr="00334389" w:rsidRDefault="003E75D0" w:rsidP="002F5D3A">
            <w:pPr>
              <w:pStyle w:val="TableText0"/>
              <w:jc w:val="center"/>
              <w:rPr>
                <w:lang w:val="fr-FR"/>
              </w:rPr>
            </w:pPr>
          </w:p>
        </w:tc>
        <w:tc>
          <w:tcPr>
            <w:tcW w:w="1417" w:type="dxa"/>
          </w:tcPr>
          <w:p w14:paraId="2357FA75" w14:textId="5AC1B6BE" w:rsidR="003E75D0" w:rsidRPr="00334389" w:rsidRDefault="003E75D0" w:rsidP="002F5D3A">
            <w:pPr>
              <w:pStyle w:val="TableText0"/>
              <w:jc w:val="center"/>
              <w:rPr>
                <w:bCs/>
                <w:iCs/>
                <w:lang w:val="fr-FR"/>
              </w:rPr>
            </w:pPr>
            <w:r w:rsidRPr="00334389">
              <w:rPr>
                <w:bCs/>
                <w:iCs/>
                <w:lang w:val="fr-FR"/>
              </w:rPr>
              <w:t>Question C</w:t>
            </w:r>
          </w:p>
        </w:tc>
        <w:tc>
          <w:tcPr>
            <w:tcW w:w="5098" w:type="dxa"/>
          </w:tcPr>
          <w:p w14:paraId="01301AF2" w14:textId="6BDA2157" w:rsidR="003E75D0" w:rsidRPr="00334389" w:rsidRDefault="003E75D0" w:rsidP="002F5D3A">
            <w:pPr>
              <w:pStyle w:val="TableText0"/>
              <w:rPr>
                <w:bCs/>
                <w:iCs/>
                <w:lang w:val="fr-FR"/>
              </w:rPr>
            </w:pPr>
            <w:r w:rsidRPr="00334389">
              <w:rPr>
                <w:bCs/>
                <w:iCs/>
                <w:lang w:val="fr-FR"/>
              </w:rPr>
              <w:t>Nouveaux systèmes à satellites</w:t>
            </w:r>
          </w:p>
        </w:tc>
        <w:tc>
          <w:tcPr>
            <w:tcW w:w="1276" w:type="dxa"/>
          </w:tcPr>
          <w:p w14:paraId="2D86717C" w14:textId="56229345" w:rsidR="003E75D0" w:rsidRPr="00334389" w:rsidRDefault="003E75D0" w:rsidP="002F5D3A">
            <w:pPr>
              <w:pStyle w:val="TableText0"/>
              <w:jc w:val="center"/>
              <w:rPr>
                <w:lang w:val="fr-FR"/>
              </w:rPr>
            </w:pPr>
            <w:r w:rsidRPr="00334389">
              <w:rPr>
                <w:lang w:val="fr-FR"/>
              </w:rPr>
              <w:t>A11-A2</w:t>
            </w:r>
          </w:p>
        </w:tc>
      </w:tr>
      <w:tr w:rsidR="003E75D0" w:rsidRPr="00334389" w14:paraId="02A0348C" w14:textId="77777777" w:rsidTr="008C2769">
        <w:trPr>
          <w:cantSplit/>
          <w:jc w:val="center"/>
        </w:trPr>
        <w:tc>
          <w:tcPr>
            <w:tcW w:w="1702" w:type="dxa"/>
          </w:tcPr>
          <w:p w14:paraId="587B7F82" w14:textId="77777777" w:rsidR="003E75D0" w:rsidRPr="00334389" w:rsidRDefault="003E75D0" w:rsidP="002F5D3A">
            <w:pPr>
              <w:pStyle w:val="TableText0"/>
              <w:jc w:val="center"/>
              <w:rPr>
                <w:lang w:val="fr-FR"/>
              </w:rPr>
            </w:pPr>
            <w:r w:rsidRPr="00334389">
              <w:rPr>
                <w:lang w:val="fr-FR"/>
              </w:rPr>
              <w:t>1.12</w:t>
            </w:r>
          </w:p>
        </w:tc>
        <w:tc>
          <w:tcPr>
            <w:tcW w:w="1417" w:type="dxa"/>
          </w:tcPr>
          <w:p w14:paraId="14D7881A" w14:textId="77777777" w:rsidR="003E75D0" w:rsidRPr="00334389" w:rsidRDefault="003E75D0" w:rsidP="002F5D3A">
            <w:pPr>
              <w:pStyle w:val="TableText0"/>
              <w:jc w:val="center"/>
              <w:rPr>
                <w:bCs/>
                <w:iCs/>
                <w:lang w:val="fr-FR"/>
              </w:rPr>
            </w:pPr>
          </w:p>
        </w:tc>
        <w:tc>
          <w:tcPr>
            <w:tcW w:w="5098" w:type="dxa"/>
          </w:tcPr>
          <w:p w14:paraId="2B8D1A2C" w14:textId="5D970685" w:rsidR="003E75D0" w:rsidRPr="00334389" w:rsidRDefault="003E75D0" w:rsidP="002F5D3A">
            <w:pPr>
              <w:pStyle w:val="TableText0"/>
              <w:rPr>
                <w:lang w:val="fr-FR"/>
              </w:rPr>
            </w:pPr>
            <w:r w:rsidRPr="00334389">
              <w:rPr>
                <w:bCs/>
                <w:iCs/>
                <w:lang w:val="fr-FR"/>
              </w:rPr>
              <w:t>mener, et achever à temps pour la CMR-23, des études concernant la possibilité de faire une nouvelle attribution à titre secondaire au service d'exploration de la Terre par satellite</w:t>
            </w:r>
            <w:r w:rsidRPr="00334389">
              <w:rPr>
                <w:lang w:val="fr-FR"/>
              </w:rPr>
              <w:t> </w:t>
            </w:r>
            <w:r w:rsidRPr="00334389">
              <w:rPr>
                <w:bCs/>
                <w:iCs/>
                <w:lang w:val="fr-FR"/>
              </w:rPr>
              <w:t>(active) pour les sondeurs radar spatioportés dans la gamme de fréquences au voisinage de 45 MHz, compte tenu de la protection des services existants, y compris dans les bandes de fréquences adjacentes, conformément à la Résolution </w:t>
            </w:r>
            <w:r w:rsidRPr="00334389">
              <w:rPr>
                <w:b/>
                <w:bCs/>
                <w:iCs/>
                <w:lang w:val="fr-FR"/>
              </w:rPr>
              <w:t>656</w:t>
            </w:r>
            <w:r w:rsidR="008C2769" w:rsidRPr="00334389">
              <w:rPr>
                <w:b/>
                <w:bCs/>
                <w:iCs/>
                <w:lang w:val="fr-FR"/>
              </w:rPr>
              <w:t xml:space="preserve"> </w:t>
            </w:r>
            <w:r w:rsidRPr="00334389">
              <w:rPr>
                <w:b/>
                <w:bCs/>
                <w:iCs/>
                <w:lang w:val="fr-FR"/>
              </w:rPr>
              <w:t>(Rév.CMR</w:t>
            </w:r>
            <w:r w:rsidRPr="00334389">
              <w:rPr>
                <w:b/>
                <w:bCs/>
                <w:iCs/>
                <w:lang w:val="fr-FR"/>
              </w:rPr>
              <w:noBreakHyphen/>
              <w:t>19)</w:t>
            </w:r>
            <w:r w:rsidRPr="00334389">
              <w:rPr>
                <w:bCs/>
                <w:iCs/>
                <w:lang w:val="fr-FR"/>
              </w:rPr>
              <w:t>;</w:t>
            </w:r>
          </w:p>
        </w:tc>
        <w:tc>
          <w:tcPr>
            <w:tcW w:w="1276" w:type="dxa"/>
          </w:tcPr>
          <w:p w14:paraId="5F31E3D2" w14:textId="47714583" w:rsidR="003E75D0" w:rsidRPr="00334389" w:rsidRDefault="003E75D0" w:rsidP="002F5D3A">
            <w:pPr>
              <w:pStyle w:val="TableText0"/>
              <w:jc w:val="center"/>
              <w:rPr>
                <w:lang w:val="fr-FR"/>
              </w:rPr>
            </w:pPr>
            <w:r w:rsidRPr="00334389">
              <w:rPr>
                <w:lang w:val="fr-FR"/>
              </w:rPr>
              <w:t>A12</w:t>
            </w:r>
          </w:p>
        </w:tc>
      </w:tr>
      <w:tr w:rsidR="003E75D0" w:rsidRPr="00334389" w14:paraId="1A844260" w14:textId="77777777" w:rsidTr="008C2769">
        <w:trPr>
          <w:cantSplit/>
          <w:jc w:val="center"/>
        </w:trPr>
        <w:tc>
          <w:tcPr>
            <w:tcW w:w="1702" w:type="dxa"/>
          </w:tcPr>
          <w:p w14:paraId="570C86B8" w14:textId="77777777" w:rsidR="003E75D0" w:rsidRPr="00334389" w:rsidRDefault="003E75D0" w:rsidP="002F5D3A">
            <w:pPr>
              <w:pStyle w:val="TableText0"/>
              <w:jc w:val="center"/>
              <w:rPr>
                <w:lang w:val="fr-FR"/>
              </w:rPr>
            </w:pPr>
            <w:r w:rsidRPr="00334389">
              <w:rPr>
                <w:lang w:val="fr-FR"/>
              </w:rPr>
              <w:t>1.13</w:t>
            </w:r>
          </w:p>
        </w:tc>
        <w:tc>
          <w:tcPr>
            <w:tcW w:w="1417" w:type="dxa"/>
          </w:tcPr>
          <w:p w14:paraId="169932F7" w14:textId="77777777" w:rsidR="003E75D0" w:rsidRPr="00334389" w:rsidRDefault="003E75D0" w:rsidP="002F5D3A">
            <w:pPr>
              <w:pStyle w:val="TableText0"/>
              <w:jc w:val="center"/>
              <w:rPr>
                <w:bCs/>
                <w:iCs/>
                <w:lang w:val="fr-FR"/>
              </w:rPr>
            </w:pPr>
          </w:p>
        </w:tc>
        <w:tc>
          <w:tcPr>
            <w:tcW w:w="5098" w:type="dxa"/>
          </w:tcPr>
          <w:p w14:paraId="0E44EA5A" w14:textId="0592D139" w:rsidR="003E75D0" w:rsidRPr="00334389" w:rsidRDefault="003E75D0" w:rsidP="002F5D3A">
            <w:pPr>
              <w:pStyle w:val="TableText0"/>
              <w:rPr>
                <w:lang w:val="fr-FR"/>
              </w:rPr>
            </w:pPr>
            <w:r w:rsidRPr="00334389">
              <w:rPr>
                <w:bCs/>
                <w:iCs/>
                <w:lang w:val="fr-FR"/>
              </w:rPr>
              <w:t>envisager la possibilité de relever le statut de l'attribution de la bande de fréquences 14,8</w:t>
            </w:r>
            <w:r w:rsidRPr="00334389">
              <w:rPr>
                <w:bCs/>
                <w:iCs/>
                <w:lang w:val="fr-FR"/>
              </w:rPr>
              <w:noBreakHyphen/>
              <w:t>15,35 GHz au service de recherche spatiale, conformément à la Résolution </w:t>
            </w:r>
            <w:r w:rsidRPr="00334389">
              <w:rPr>
                <w:b/>
                <w:bCs/>
                <w:iCs/>
                <w:lang w:val="fr-FR"/>
              </w:rPr>
              <w:t>661 (CMR</w:t>
            </w:r>
            <w:r w:rsidRPr="00334389">
              <w:rPr>
                <w:b/>
                <w:bCs/>
                <w:iCs/>
                <w:lang w:val="fr-FR"/>
              </w:rPr>
              <w:noBreakHyphen/>
              <w:t>19)</w:t>
            </w:r>
            <w:r w:rsidRPr="00334389">
              <w:rPr>
                <w:bCs/>
                <w:iCs/>
                <w:lang w:val="fr-FR"/>
              </w:rPr>
              <w:t>;</w:t>
            </w:r>
          </w:p>
        </w:tc>
        <w:tc>
          <w:tcPr>
            <w:tcW w:w="1276" w:type="dxa"/>
          </w:tcPr>
          <w:p w14:paraId="04DF3027" w14:textId="5F847CC4" w:rsidR="003E75D0" w:rsidRPr="00334389" w:rsidRDefault="003E75D0" w:rsidP="002F5D3A">
            <w:pPr>
              <w:pStyle w:val="TableText0"/>
              <w:jc w:val="center"/>
              <w:rPr>
                <w:lang w:val="fr-FR"/>
              </w:rPr>
            </w:pPr>
            <w:r w:rsidRPr="00334389">
              <w:rPr>
                <w:lang w:val="fr-FR"/>
              </w:rPr>
              <w:t>A13</w:t>
            </w:r>
          </w:p>
        </w:tc>
      </w:tr>
      <w:tr w:rsidR="003E75D0" w:rsidRPr="00334389" w14:paraId="3C0C1077" w14:textId="77777777" w:rsidTr="008C2769">
        <w:trPr>
          <w:cantSplit/>
          <w:jc w:val="center"/>
        </w:trPr>
        <w:tc>
          <w:tcPr>
            <w:tcW w:w="1702" w:type="dxa"/>
          </w:tcPr>
          <w:p w14:paraId="5EF320FC" w14:textId="77777777" w:rsidR="003E75D0" w:rsidRPr="00334389" w:rsidRDefault="003E75D0" w:rsidP="002F5D3A">
            <w:pPr>
              <w:pStyle w:val="TableText0"/>
              <w:jc w:val="center"/>
              <w:rPr>
                <w:lang w:val="fr-FR"/>
              </w:rPr>
            </w:pPr>
            <w:r w:rsidRPr="00334389">
              <w:rPr>
                <w:lang w:val="fr-FR"/>
              </w:rPr>
              <w:t>1.14</w:t>
            </w:r>
          </w:p>
        </w:tc>
        <w:tc>
          <w:tcPr>
            <w:tcW w:w="1417" w:type="dxa"/>
          </w:tcPr>
          <w:p w14:paraId="30454D29" w14:textId="77777777" w:rsidR="003E75D0" w:rsidRPr="00334389" w:rsidRDefault="003E75D0" w:rsidP="002F5D3A">
            <w:pPr>
              <w:pStyle w:val="TableText0"/>
              <w:jc w:val="center"/>
              <w:rPr>
                <w:lang w:val="fr-FR"/>
              </w:rPr>
            </w:pPr>
          </w:p>
        </w:tc>
        <w:tc>
          <w:tcPr>
            <w:tcW w:w="5098" w:type="dxa"/>
          </w:tcPr>
          <w:p w14:paraId="6DADE560" w14:textId="0BB093F6" w:rsidR="003E75D0" w:rsidRPr="00334389" w:rsidRDefault="003E75D0" w:rsidP="002F5D3A">
            <w:pPr>
              <w:pStyle w:val="TableText0"/>
              <w:rPr>
                <w:lang w:val="fr-FR"/>
              </w:rPr>
            </w:pPr>
            <w:r w:rsidRPr="00334389">
              <w:rPr>
                <w:lang w:val="fr-FR"/>
              </w:rPr>
              <w:t>examiner et envisager la possibilité d'apporter des ajustements aux attributions de fréquences existantes ou de faire de nouvelles attributions de fréquences à titre primaire au service d</w:t>
            </w:r>
            <w:r w:rsidR="00051D73" w:rsidRPr="00334389">
              <w:rPr>
                <w:lang w:val="fr-FR"/>
              </w:rPr>
              <w:t>'</w:t>
            </w:r>
            <w:r w:rsidRPr="00334389">
              <w:rPr>
                <w:lang w:val="fr-FR"/>
              </w:rPr>
              <w:t>exploration de la Terre par satellite (passive) dans la gamme de fréquences 231,5</w:t>
            </w:r>
            <w:r w:rsidRPr="00334389">
              <w:rPr>
                <w:lang w:val="fr-FR"/>
              </w:rPr>
              <w:noBreakHyphen/>
              <w:t>252 GHz, pour s'assurer qu'elles correspondent aux besoins récents en matière d'observation des systèmes de télédétection, conformément à la Résolution </w:t>
            </w:r>
            <w:r w:rsidRPr="00334389">
              <w:rPr>
                <w:b/>
                <w:lang w:val="fr-FR"/>
              </w:rPr>
              <w:t>662 (CMR</w:t>
            </w:r>
            <w:r w:rsidRPr="00334389">
              <w:rPr>
                <w:b/>
                <w:lang w:val="fr-FR"/>
              </w:rPr>
              <w:noBreakHyphen/>
              <w:t>19)</w:t>
            </w:r>
            <w:r w:rsidRPr="00334389">
              <w:rPr>
                <w:lang w:val="fr-FR"/>
              </w:rPr>
              <w:t>;</w:t>
            </w:r>
          </w:p>
        </w:tc>
        <w:tc>
          <w:tcPr>
            <w:tcW w:w="1276" w:type="dxa"/>
          </w:tcPr>
          <w:p w14:paraId="434578A7" w14:textId="2C9E85F0" w:rsidR="003E75D0" w:rsidRPr="00334389" w:rsidRDefault="005D19E8" w:rsidP="002F5D3A">
            <w:pPr>
              <w:pStyle w:val="TableText0"/>
              <w:jc w:val="center"/>
              <w:rPr>
                <w:lang w:val="fr-FR"/>
              </w:rPr>
            </w:pPr>
            <w:r w:rsidRPr="00334389">
              <w:rPr>
                <w:lang w:val="fr-FR"/>
              </w:rPr>
              <w:t>Néant</w:t>
            </w:r>
          </w:p>
        </w:tc>
      </w:tr>
      <w:tr w:rsidR="003E75D0" w:rsidRPr="00334389" w14:paraId="50AB9414" w14:textId="77777777" w:rsidTr="008C2769">
        <w:trPr>
          <w:cantSplit/>
          <w:jc w:val="center"/>
        </w:trPr>
        <w:tc>
          <w:tcPr>
            <w:tcW w:w="1702" w:type="dxa"/>
          </w:tcPr>
          <w:p w14:paraId="35E07FAB" w14:textId="77777777" w:rsidR="003E75D0" w:rsidRPr="00334389" w:rsidRDefault="003E75D0" w:rsidP="002F5D3A">
            <w:pPr>
              <w:pStyle w:val="TableText0"/>
              <w:jc w:val="center"/>
              <w:rPr>
                <w:lang w:val="fr-FR"/>
              </w:rPr>
            </w:pPr>
            <w:r w:rsidRPr="00334389">
              <w:rPr>
                <w:lang w:val="fr-FR"/>
              </w:rPr>
              <w:t>1.15</w:t>
            </w:r>
          </w:p>
        </w:tc>
        <w:tc>
          <w:tcPr>
            <w:tcW w:w="1417" w:type="dxa"/>
          </w:tcPr>
          <w:p w14:paraId="008EA62E" w14:textId="77777777" w:rsidR="003E75D0" w:rsidRPr="00334389" w:rsidRDefault="003E75D0" w:rsidP="002F5D3A">
            <w:pPr>
              <w:pStyle w:val="TableText0"/>
              <w:jc w:val="center"/>
              <w:rPr>
                <w:bCs/>
                <w:iCs/>
                <w:lang w:val="fr-FR"/>
              </w:rPr>
            </w:pPr>
          </w:p>
        </w:tc>
        <w:tc>
          <w:tcPr>
            <w:tcW w:w="5098" w:type="dxa"/>
          </w:tcPr>
          <w:p w14:paraId="7B89EB21" w14:textId="4814D50F" w:rsidR="003E75D0" w:rsidRPr="00334389" w:rsidRDefault="003E75D0" w:rsidP="002F5D3A">
            <w:pPr>
              <w:pStyle w:val="TableText0"/>
              <w:rPr>
                <w:lang w:val="fr-FR"/>
              </w:rPr>
            </w:pPr>
            <w:r w:rsidRPr="00334389">
              <w:rPr>
                <w:bCs/>
                <w:iCs/>
                <w:lang w:val="fr-FR"/>
              </w:rPr>
              <w:t>harmoniser l'utilisation de la bande de fréquences 12,75</w:t>
            </w:r>
            <w:r w:rsidRPr="00334389">
              <w:rPr>
                <w:bCs/>
                <w:iCs/>
                <w:lang w:val="fr-FR"/>
              </w:rPr>
              <w:noBreakHyphen/>
              <w:t>13,25 GHz (Terre vers espace) par les stations terriennes à bord d'aéronefs et de navires communiquant avec des stations spatiales géostationnaires du service fixe par satellite partout dans le monde, conformément à la Résolution </w:t>
            </w:r>
            <w:r w:rsidRPr="00334389">
              <w:rPr>
                <w:b/>
                <w:iCs/>
                <w:lang w:val="fr-FR"/>
              </w:rPr>
              <w:t>172</w:t>
            </w:r>
            <w:r w:rsidR="008C2769" w:rsidRPr="00334389">
              <w:rPr>
                <w:b/>
                <w:iCs/>
                <w:lang w:val="fr-FR"/>
              </w:rPr>
              <w:t xml:space="preserve"> </w:t>
            </w:r>
            <w:r w:rsidRPr="00334389">
              <w:rPr>
                <w:b/>
                <w:iCs/>
                <w:lang w:val="fr-FR"/>
              </w:rPr>
              <w:t>(CMR</w:t>
            </w:r>
            <w:r w:rsidRPr="00334389">
              <w:rPr>
                <w:b/>
                <w:iCs/>
                <w:lang w:val="fr-FR"/>
              </w:rPr>
              <w:noBreakHyphen/>
              <w:t>19)</w:t>
            </w:r>
            <w:r w:rsidRPr="00334389">
              <w:rPr>
                <w:bCs/>
                <w:iCs/>
                <w:lang w:val="fr-FR"/>
              </w:rPr>
              <w:t>;</w:t>
            </w:r>
          </w:p>
        </w:tc>
        <w:tc>
          <w:tcPr>
            <w:tcW w:w="1276" w:type="dxa"/>
          </w:tcPr>
          <w:p w14:paraId="750E4892" w14:textId="48EDC56D" w:rsidR="003E75D0" w:rsidRPr="00334389" w:rsidRDefault="003E75D0" w:rsidP="002F5D3A">
            <w:pPr>
              <w:pStyle w:val="TableText0"/>
              <w:jc w:val="center"/>
              <w:rPr>
                <w:lang w:val="fr-FR"/>
              </w:rPr>
            </w:pPr>
            <w:r w:rsidRPr="00334389">
              <w:rPr>
                <w:lang w:val="fr-FR"/>
              </w:rPr>
              <w:t>A15</w:t>
            </w:r>
          </w:p>
        </w:tc>
      </w:tr>
      <w:tr w:rsidR="003E75D0" w:rsidRPr="00334389" w14:paraId="7A5DB7CD" w14:textId="77777777" w:rsidTr="008C2769">
        <w:trPr>
          <w:cantSplit/>
          <w:jc w:val="center"/>
        </w:trPr>
        <w:tc>
          <w:tcPr>
            <w:tcW w:w="1702" w:type="dxa"/>
          </w:tcPr>
          <w:p w14:paraId="615CA545" w14:textId="77777777" w:rsidR="003E75D0" w:rsidRPr="00334389" w:rsidRDefault="003E75D0" w:rsidP="002F5D3A">
            <w:pPr>
              <w:pStyle w:val="TableText0"/>
              <w:jc w:val="center"/>
              <w:rPr>
                <w:lang w:val="fr-FR"/>
              </w:rPr>
            </w:pPr>
            <w:r w:rsidRPr="00334389">
              <w:rPr>
                <w:lang w:val="fr-FR"/>
              </w:rPr>
              <w:t>1.16</w:t>
            </w:r>
          </w:p>
        </w:tc>
        <w:tc>
          <w:tcPr>
            <w:tcW w:w="1417" w:type="dxa"/>
          </w:tcPr>
          <w:p w14:paraId="3A3D3862" w14:textId="77777777" w:rsidR="003E75D0" w:rsidRPr="00334389" w:rsidRDefault="003E75D0" w:rsidP="002F5D3A">
            <w:pPr>
              <w:pStyle w:val="TableText0"/>
              <w:jc w:val="center"/>
              <w:rPr>
                <w:bCs/>
                <w:iCs/>
                <w:lang w:val="fr-FR"/>
              </w:rPr>
            </w:pPr>
          </w:p>
        </w:tc>
        <w:tc>
          <w:tcPr>
            <w:tcW w:w="5098" w:type="dxa"/>
          </w:tcPr>
          <w:p w14:paraId="59A8EC27" w14:textId="1011AFA3" w:rsidR="003E75D0" w:rsidRPr="00334389" w:rsidRDefault="003E75D0" w:rsidP="002F5D3A">
            <w:pPr>
              <w:pStyle w:val="TableText0"/>
              <w:rPr>
                <w:lang w:val="fr-FR"/>
              </w:rPr>
            </w:pPr>
            <w:r w:rsidRPr="00334389">
              <w:rPr>
                <w:bCs/>
                <w:iCs/>
                <w:lang w:val="fr-FR"/>
              </w:rPr>
              <w:t>étudier et définir les mesures d'ordre technique, opérationnel et réglementaire, selon le cas, à prendre pour faciliter l'utilisation des bandes de fréquences 17,7</w:t>
            </w:r>
            <w:r w:rsidRPr="00334389">
              <w:rPr>
                <w:bCs/>
                <w:iCs/>
                <w:lang w:val="fr-FR"/>
              </w:rPr>
              <w:noBreakHyphen/>
              <w:t>18,6 GHz, 18,8</w:t>
            </w:r>
            <w:r w:rsidRPr="00334389">
              <w:rPr>
                <w:bCs/>
                <w:iCs/>
                <w:lang w:val="fr-FR"/>
              </w:rPr>
              <w:noBreakHyphen/>
              <w:t>19,3 GHz et 19,7</w:t>
            </w:r>
            <w:r w:rsidRPr="00334389">
              <w:rPr>
                <w:bCs/>
                <w:iCs/>
                <w:lang w:val="fr-FR"/>
              </w:rPr>
              <w:noBreakHyphen/>
              <w:t>20,2 GHz (espace vers Terre), ainsi que 27,5</w:t>
            </w:r>
            <w:r w:rsidRPr="00334389">
              <w:rPr>
                <w:bCs/>
                <w:iCs/>
                <w:lang w:val="fr-FR"/>
              </w:rPr>
              <w:noBreakHyphen/>
              <w:t>29,1 GHz et 29,5</w:t>
            </w:r>
            <w:r w:rsidRPr="00334389">
              <w:rPr>
                <w:bCs/>
                <w:iCs/>
                <w:lang w:val="fr-FR"/>
              </w:rPr>
              <w:noBreakHyphen/>
              <w:t xml:space="preserve">30 GHz (Terre vers espace) par les stations terriennes en mouvement du </w:t>
            </w:r>
            <w:r w:rsidR="003B6317" w:rsidRPr="00334389">
              <w:rPr>
                <w:bCs/>
                <w:iCs/>
                <w:lang w:val="fr-FR"/>
              </w:rPr>
              <w:t>service fixe par satellite non géostationnaire</w:t>
            </w:r>
            <w:r w:rsidRPr="00334389">
              <w:rPr>
                <w:bCs/>
                <w:iCs/>
                <w:lang w:val="fr-FR"/>
              </w:rPr>
              <w:t>, tout en assurant la protection voulue des services existants dans ces bandes de fréquences, conformément à la Résolution </w:t>
            </w:r>
            <w:r w:rsidRPr="00334389">
              <w:rPr>
                <w:b/>
                <w:iCs/>
                <w:lang w:val="fr-FR"/>
              </w:rPr>
              <w:t>173</w:t>
            </w:r>
            <w:r w:rsidR="008C2769" w:rsidRPr="00334389">
              <w:rPr>
                <w:b/>
                <w:iCs/>
                <w:lang w:val="fr-FR"/>
              </w:rPr>
              <w:t xml:space="preserve"> </w:t>
            </w:r>
            <w:r w:rsidRPr="00334389">
              <w:rPr>
                <w:b/>
                <w:iCs/>
                <w:lang w:val="fr-FR"/>
              </w:rPr>
              <w:t>(CMR</w:t>
            </w:r>
            <w:r w:rsidRPr="00334389">
              <w:rPr>
                <w:b/>
                <w:iCs/>
                <w:lang w:val="fr-FR"/>
              </w:rPr>
              <w:noBreakHyphen/>
              <w:t>19)</w:t>
            </w:r>
            <w:r w:rsidRPr="00334389">
              <w:rPr>
                <w:bCs/>
                <w:iCs/>
                <w:lang w:val="fr-FR"/>
              </w:rPr>
              <w:t>;</w:t>
            </w:r>
          </w:p>
        </w:tc>
        <w:tc>
          <w:tcPr>
            <w:tcW w:w="1276" w:type="dxa"/>
          </w:tcPr>
          <w:p w14:paraId="40788B3B" w14:textId="02EEFA09" w:rsidR="003E75D0" w:rsidRPr="00334389" w:rsidRDefault="003E75D0" w:rsidP="002F5D3A">
            <w:pPr>
              <w:pStyle w:val="TableText0"/>
              <w:jc w:val="center"/>
              <w:rPr>
                <w:lang w:val="fr-FR"/>
              </w:rPr>
            </w:pPr>
            <w:r w:rsidRPr="00334389">
              <w:rPr>
                <w:lang w:val="fr-FR"/>
              </w:rPr>
              <w:t>A16</w:t>
            </w:r>
          </w:p>
        </w:tc>
      </w:tr>
      <w:tr w:rsidR="003E75D0" w:rsidRPr="00334389" w14:paraId="032AE310" w14:textId="77777777" w:rsidTr="008C2769">
        <w:trPr>
          <w:cantSplit/>
          <w:jc w:val="center"/>
        </w:trPr>
        <w:tc>
          <w:tcPr>
            <w:tcW w:w="1702" w:type="dxa"/>
          </w:tcPr>
          <w:p w14:paraId="786120CA" w14:textId="77777777" w:rsidR="003E75D0" w:rsidRPr="00334389" w:rsidRDefault="003E75D0" w:rsidP="002F5D3A">
            <w:pPr>
              <w:pStyle w:val="TableText0"/>
              <w:jc w:val="center"/>
              <w:rPr>
                <w:lang w:val="fr-FR"/>
              </w:rPr>
            </w:pPr>
            <w:r w:rsidRPr="00334389">
              <w:rPr>
                <w:lang w:val="fr-FR"/>
              </w:rPr>
              <w:t>1.17</w:t>
            </w:r>
          </w:p>
        </w:tc>
        <w:tc>
          <w:tcPr>
            <w:tcW w:w="1417" w:type="dxa"/>
          </w:tcPr>
          <w:p w14:paraId="4133E62F" w14:textId="77777777" w:rsidR="003E75D0" w:rsidRPr="00334389" w:rsidRDefault="003E75D0" w:rsidP="002F5D3A">
            <w:pPr>
              <w:pStyle w:val="TableText0"/>
              <w:jc w:val="center"/>
              <w:rPr>
                <w:bCs/>
                <w:iCs/>
                <w:lang w:val="fr-FR"/>
              </w:rPr>
            </w:pPr>
          </w:p>
        </w:tc>
        <w:tc>
          <w:tcPr>
            <w:tcW w:w="5098" w:type="dxa"/>
          </w:tcPr>
          <w:p w14:paraId="7F127C33" w14:textId="7BDF9853" w:rsidR="003E75D0" w:rsidRPr="00334389" w:rsidRDefault="003E75D0" w:rsidP="002F5D3A">
            <w:pPr>
              <w:pStyle w:val="TableText0"/>
              <w:rPr>
                <w:bCs/>
                <w:iCs/>
                <w:lang w:val="fr-FR"/>
              </w:rPr>
            </w:pPr>
            <w:r w:rsidRPr="00334389">
              <w:rPr>
                <w:bCs/>
                <w:iCs/>
                <w:lang w:val="fr-FR"/>
              </w:rPr>
              <w:t>déterminer et prendre, sur la base des études menées par l'UIT-R conformément à la Résolution </w:t>
            </w:r>
            <w:r w:rsidRPr="00334389">
              <w:rPr>
                <w:b/>
                <w:bCs/>
                <w:iCs/>
                <w:lang w:val="fr-FR"/>
              </w:rPr>
              <w:t>773 (CMR</w:t>
            </w:r>
            <w:r w:rsidRPr="00334389">
              <w:rPr>
                <w:b/>
                <w:bCs/>
                <w:iCs/>
                <w:lang w:val="fr-FR"/>
              </w:rPr>
              <w:noBreakHyphen/>
              <w:t>19)</w:t>
            </w:r>
            <w:r w:rsidRPr="00334389">
              <w:rPr>
                <w:bCs/>
                <w:iCs/>
                <w:lang w:val="fr-FR"/>
              </w:rPr>
              <w:t>, les mesures réglementaires qui conviennent concernant l'établissement de liaisons inter-satellites dans certaines bandes de fréquences, ou dans des parties de ces bandes, en ajoutant une attribution au service inter-satellites, s'il y a lieu;</w:t>
            </w:r>
          </w:p>
        </w:tc>
        <w:tc>
          <w:tcPr>
            <w:tcW w:w="1276" w:type="dxa"/>
          </w:tcPr>
          <w:p w14:paraId="0333BCA6" w14:textId="4563A7E5" w:rsidR="003E75D0" w:rsidRPr="00334389" w:rsidRDefault="003E75D0" w:rsidP="002F5D3A">
            <w:pPr>
              <w:pStyle w:val="TableText0"/>
              <w:jc w:val="center"/>
              <w:rPr>
                <w:lang w:val="fr-FR"/>
              </w:rPr>
            </w:pPr>
            <w:r w:rsidRPr="00334389">
              <w:rPr>
                <w:lang w:val="fr-FR"/>
              </w:rPr>
              <w:t>A17</w:t>
            </w:r>
          </w:p>
        </w:tc>
      </w:tr>
      <w:tr w:rsidR="003E75D0" w:rsidRPr="00334389" w14:paraId="6C0C7329" w14:textId="77777777" w:rsidTr="008C2769">
        <w:trPr>
          <w:cantSplit/>
          <w:jc w:val="center"/>
        </w:trPr>
        <w:tc>
          <w:tcPr>
            <w:tcW w:w="1702" w:type="dxa"/>
          </w:tcPr>
          <w:p w14:paraId="1F55825B" w14:textId="77777777" w:rsidR="003E75D0" w:rsidRPr="00334389" w:rsidRDefault="003E75D0" w:rsidP="002F5D3A">
            <w:pPr>
              <w:pStyle w:val="TableText0"/>
              <w:jc w:val="center"/>
              <w:rPr>
                <w:lang w:val="fr-FR"/>
              </w:rPr>
            </w:pPr>
            <w:r w:rsidRPr="00334389">
              <w:rPr>
                <w:lang w:val="fr-FR"/>
              </w:rPr>
              <w:t>1.18</w:t>
            </w:r>
          </w:p>
        </w:tc>
        <w:tc>
          <w:tcPr>
            <w:tcW w:w="1417" w:type="dxa"/>
          </w:tcPr>
          <w:p w14:paraId="2E76909D" w14:textId="77777777" w:rsidR="003E75D0" w:rsidRPr="00334389" w:rsidRDefault="003E75D0" w:rsidP="002F5D3A">
            <w:pPr>
              <w:pStyle w:val="TableText0"/>
              <w:jc w:val="center"/>
              <w:rPr>
                <w:bCs/>
                <w:iCs/>
                <w:lang w:val="fr-FR"/>
              </w:rPr>
            </w:pPr>
          </w:p>
        </w:tc>
        <w:tc>
          <w:tcPr>
            <w:tcW w:w="5098" w:type="dxa"/>
          </w:tcPr>
          <w:p w14:paraId="1596A051" w14:textId="4D9C54E5" w:rsidR="003E75D0" w:rsidRPr="00334389" w:rsidRDefault="003E75D0" w:rsidP="002F5D3A">
            <w:pPr>
              <w:pStyle w:val="TableText0"/>
              <w:rPr>
                <w:lang w:val="fr-FR"/>
              </w:rPr>
            </w:pPr>
            <w:r w:rsidRPr="00334389">
              <w:rPr>
                <w:bCs/>
                <w:iCs/>
                <w:lang w:val="fr-FR"/>
              </w:rPr>
              <w:t>envisager des études relatives aux besoins de spectre et aux nouvelles attributions éventuelles au service mobile par satellite pour le développement futur des systèmes mobiles à satellites à bande étroite, conformément à la Résolution </w:t>
            </w:r>
            <w:r w:rsidRPr="00334389">
              <w:rPr>
                <w:b/>
                <w:iCs/>
                <w:lang w:val="fr-FR"/>
              </w:rPr>
              <w:t>248</w:t>
            </w:r>
            <w:r w:rsidRPr="00334389">
              <w:rPr>
                <w:b/>
                <w:bCs/>
                <w:iCs/>
                <w:lang w:val="fr-FR"/>
              </w:rPr>
              <w:t> (CMR</w:t>
            </w:r>
            <w:r w:rsidRPr="00334389">
              <w:rPr>
                <w:b/>
                <w:bCs/>
                <w:iCs/>
                <w:lang w:val="fr-FR"/>
              </w:rPr>
              <w:noBreakHyphen/>
              <w:t>19)</w:t>
            </w:r>
            <w:r w:rsidRPr="00334389">
              <w:rPr>
                <w:bCs/>
                <w:iCs/>
                <w:lang w:val="fr-FR"/>
              </w:rPr>
              <w:t>;</w:t>
            </w:r>
          </w:p>
        </w:tc>
        <w:tc>
          <w:tcPr>
            <w:tcW w:w="1276" w:type="dxa"/>
          </w:tcPr>
          <w:p w14:paraId="4E910FA1" w14:textId="1334C404" w:rsidR="003E75D0" w:rsidRPr="00334389" w:rsidRDefault="003E75D0" w:rsidP="002F5D3A">
            <w:pPr>
              <w:pStyle w:val="TableText0"/>
              <w:jc w:val="center"/>
              <w:rPr>
                <w:lang w:val="fr-FR"/>
              </w:rPr>
            </w:pPr>
            <w:r w:rsidRPr="00334389">
              <w:rPr>
                <w:lang w:val="fr-FR"/>
              </w:rPr>
              <w:t>A18</w:t>
            </w:r>
          </w:p>
        </w:tc>
      </w:tr>
      <w:tr w:rsidR="003E75D0" w:rsidRPr="00334389" w14:paraId="6BD9DBB9" w14:textId="77777777" w:rsidTr="008C2769">
        <w:trPr>
          <w:cantSplit/>
          <w:jc w:val="center"/>
        </w:trPr>
        <w:tc>
          <w:tcPr>
            <w:tcW w:w="1702" w:type="dxa"/>
          </w:tcPr>
          <w:p w14:paraId="34AAE907" w14:textId="77777777" w:rsidR="003E75D0" w:rsidRPr="00334389" w:rsidRDefault="003E75D0" w:rsidP="002F5D3A">
            <w:pPr>
              <w:pStyle w:val="TableText0"/>
              <w:jc w:val="center"/>
              <w:rPr>
                <w:lang w:val="fr-FR"/>
              </w:rPr>
            </w:pPr>
            <w:r w:rsidRPr="00334389">
              <w:rPr>
                <w:lang w:val="fr-FR"/>
              </w:rPr>
              <w:t>1.19</w:t>
            </w:r>
          </w:p>
        </w:tc>
        <w:tc>
          <w:tcPr>
            <w:tcW w:w="1417" w:type="dxa"/>
          </w:tcPr>
          <w:p w14:paraId="1BBA7235" w14:textId="77777777" w:rsidR="003E75D0" w:rsidRPr="00334389" w:rsidRDefault="003E75D0" w:rsidP="002F5D3A">
            <w:pPr>
              <w:pStyle w:val="TableText0"/>
              <w:jc w:val="center"/>
              <w:rPr>
                <w:bCs/>
                <w:iCs/>
                <w:lang w:val="fr-FR"/>
              </w:rPr>
            </w:pPr>
          </w:p>
        </w:tc>
        <w:tc>
          <w:tcPr>
            <w:tcW w:w="5098" w:type="dxa"/>
          </w:tcPr>
          <w:p w14:paraId="5ABC2BBA" w14:textId="3A565DFF" w:rsidR="003E75D0" w:rsidRPr="00334389" w:rsidRDefault="003E75D0" w:rsidP="002F5D3A">
            <w:pPr>
              <w:pStyle w:val="TableText0"/>
              <w:rPr>
                <w:lang w:val="fr-FR"/>
              </w:rPr>
            </w:pPr>
            <w:r w:rsidRPr="00334389">
              <w:rPr>
                <w:bCs/>
                <w:iCs/>
                <w:lang w:val="fr-FR"/>
              </w:rPr>
              <w:t>envisager une nouvelle attribution à titre primaire au service fixe par satellite dans le sens espace vers Terre dans la bande de fréquences 17,3-17,7 GHz en Région</w:t>
            </w:r>
            <w:r w:rsidR="008C2769" w:rsidRPr="00334389">
              <w:rPr>
                <w:bCs/>
                <w:iCs/>
                <w:lang w:val="fr-FR"/>
              </w:rPr>
              <w:t> </w:t>
            </w:r>
            <w:r w:rsidRPr="00334389">
              <w:rPr>
                <w:bCs/>
                <w:iCs/>
                <w:lang w:val="fr-FR"/>
              </w:rPr>
              <w:t>2, tout en assurant la protection des services primaires existants dans la bande de fréquences, conformément à la Résolution </w:t>
            </w:r>
            <w:r w:rsidRPr="00334389">
              <w:rPr>
                <w:b/>
                <w:iCs/>
                <w:lang w:val="fr-FR"/>
              </w:rPr>
              <w:t>174</w:t>
            </w:r>
            <w:r w:rsidRPr="00334389">
              <w:rPr>
                <w:bCs/>
                <w:iCs/>
                <w:lang w:val="fr-FR"/>
              </w:rPr>
              <w:t xml:space="preserve"> </w:t>
            </w:r>
            <w:r w:rsidRPr="00334389">
              <w:rPr>
                <w:b/>
                <w:bCs/>
                <w:iCs/>
                <w:lang w:val="fr-FR"/>
              </w:rPr>
              <w:t>(CMR-19)</w:t>
            </w:r>
            <w:r w:rsidRPr="00334389">
              <w:rPr>
                <w:bCs/>
                <w:iCs/>
                <w:lang w:val="fr-FR"/>
              </w:rPr>
              <w:t>;</w:t>
            </w:r>
          </w:p>
        </w:tc>
        <w:tc>
          <w:tcPr>
            <w:tcW w:w="1276" w:type="dxa"/>
          </w:tcPr>
          <w:p w14:paraId="7FE65B8E" w14:textId="3B0670EB" w:rsidR="003E75D0" w:rsidRPr="00334389" w:rsidRDefault="003E75D0" w:rsidP="002F5D3A">
            <w:pPr>
              <w:pStyle w:val="TableText0"/>
              <w:jc w:val="center"/>
              <w:rPr>
                <w:lang w:val="fr-FR"/>
              </w:rPr>
            </w:pPr>
            <w:r w:rsidRPr="00334389">
              <w:rPr>
                <w:lang w:val="fr-FR"/>
              </w:rPr>
              <w:t>A19</w:t>
            </w:r>
          </w:p>
        </w:tc>
      </w:tr>
      <w:tr w:rsidR="003E75D0" w:rsidRPr="00334389" w14:paraId="388158B5" w14:textId="77777777" w:rsidTr="008C2769">
        <w:trPr>
          <w:cantSplit/>
          <w:jc w:val="center"/>
        </w:trPr>
        <w:tc>
          <w:tcPr>
            <w:tcW w:w="1702" w:type="dxa"/>
          </w:tcPr>
          <w:p w14:paraId="1FCF262B" w14:textId="77777777" w:rsidR="003E75D0" w:rsidRPr="00334389" w:rsidRDefault="003E75D0" w:rsidP="002F5D3A">
            <w:pPr>
              <w:pStyle w:val="TableText0"/>
              <w:jc w:val="center"/>
              <w:rPr>
                <w:lang w:val="fr-FR"/>
              </w:rPr>
            </w:pPr>
            <w:r w:rsidRPr="00334389">
              <w:rPr>
                <w:lang w:val="fr-FR"/>
              </w:rPr>
              <w:t>2</w:t>
            </w:r>
          </w:p>
        </w:tc>
        <w:tc>
          <w:tcPr>
            <w:tcW w:w="1417" w:type="dxa"/>
          </w:tcPr>
          <w:p w14:paraId="68F81111" w14:textId="77777777" w:rsidR="003E75D0" w:rsidRPr="00334389" w:rsidRDefault="003E75D0" w:rsidP="002F5D3A">
            <w:pPr>
              <w:pStyle w:val="TableText0"/>
              <w:jc w:val="center"/>
              <w:rPr>
                <w:lang w:val="fr-FR"/>
              </w:rPr>
            </w:pPr>
          </w:p>
        </w:tc>
        <w:tc>
          <w:tcPr>
            <w:tcW w:w="5098" w:type="dxa"/>
          </w:tcPr>
          <w:p w14:paraId="0FB3A407" w14:textId="0230E9C4" w:rsidR="003E75D0" w:rsidRPr="00334389" w:rsidRDefault="003E75D0" w:rsidP="002F5D3A">
            <w:pPr>
              <w:pStyle w:val="TableText0"/>
              <w:rPr>
                <w:lang w:val="fr-FR"/>
              </w:rPr>
            </w:pPr>
            <w:r w:rsidRPr="00334389">
              <w:rPr>
                <w:lang w:val="fr-FR"/>
              </w:rPr>
              <w:t xml:space="preserve">examiner les Recommandations UIT-R révisées et incorporées par référence dans le Règlement des radiocommunications, communiquées par l'Assemblée des radiocommunications conformément au </w:t>
            </w:r>
            <w:r w:rsidRPr="00334389">
              <w:rPr>
                <w:i/>
                <w:lang w:val="fr-FR"/>
              </w:rPr>
              <w:t>décide en outre</w:t>
            </w:r>
            <w:r w:rsidRPr="00334389">
              <w:rPr>
                <w:lang w:val="fr-FR"/>
              </w:rPr>
              <w:t xml:space="preserve"> de la Résolution </w:t>
            </w:r>
            <w:r w:rsidRPr="00334389">
              <w:rPr>
                <w:b/>
                <w:bCs/>
                <w:lang w:val="fr-FR"/>
              </w:rPr>
              <w:t>27</w:t>
            </w:r>
            <w:r w:rsidR="008C2769" w:rsidRPr="00334389">
              <w:rPr>
                <w:lang w:val="fr-FR"/>
              </w:rPr>
              <w:t xml:space="preserve"> </w:t>
            </w:r>
            <w:r w:rsidRPr="00334389">
              <w:rPr>
                <w:b/>
                <w:bCs/>
                <w:lang w:val="fr-FR"/>
              </w:rPr>
              <w:t>(Rév.CMR</w:t>
            </w:r>
            <w:r w:rsidRPr="00334389">
              <w:rPr>
                <w:b/>
                <w:bCs/>
                <w:lang w:val="fr-FR"/>
              </w:rPr>
              <w:noBreakHyphen/>
              <w:t>19)</w:t>
            </w:r>
            <w:r w:rsidRPr="00334389">
              <w:rPr>
                <w:lang w:val="fr-FR"/>
              </w:rPr>
              <w:t>,</w:t>
            </w:r>
            <w:r w:rsidRPr="00334389">
              <w:rPr>
                <w:b/>
                <w:bCs/>
                <w:lang w:val="fr-FR"/>
              </w:rPr>
              <w:t xml:space="preserve"> </w:t>
            </w:r>
            <w:r w:rsidRPr="00334389">
              <w:rPr>
                <w:lang w:val="fr-FR"/>
              </w:rPr>
              <w:t xml:space="preserve">et décider s'il convient ou non de mettre à jour les références correspondantes dans le Règlement des radiocommunications, conformément aux principes énoncés dans le </w:t>
            </w:r>
            <w:r w:rsidRPr="00334389">
              <w:rPr>
                <w:i/>
                <w:lang w:val="fr-FR"/>
              </w:rPr>
              <w:t>décide</w:t>
            </w:r>
            <w:r w:rsidRPr="00334389">
              <w:rPr>
                <w:lang w:val="fr-FR"/>
              </w:rPr>
              <w:t xml:space="preserve"> de cette Résolution;</w:t>
            </w:r>
          </w:p>
        </w:tc>
        <w:tc>
          <w:tcPr>
            <w:tcW w:w="1276" w:type="dxa"/>
          </w:tcPr>
          <w:p w14:paraId="79A854C4" w14:textId="77E1F914" w:rsidR="003E75D0" w:rsidRPr="00334389" w:rsidRDefault="003E75D0" w:rsidP="002F5D3A">
            <w:pPr>
              <w:pStyle w:val="TableText0"/>
              <w:jc w:val="center"/>
              <w:rPr>
                <w:lang w:val="fr-FR"/>
              </w:rPr>
            </w:pPr>
            <w:r w:rsidRPr="00334389">
              <w:rPr>
                <w:lang w:val="fr-FR"/>
              </w:rPr>
              <w:t>A20</w:t>
            </w:r>
          </w:p>
        </w:tc>
      </w:tr>
      <w:tr w:rsidR="003E75D0" w:rsidRPr="00334389" w14:paraId="63C5EC01" w14:textId="77777777" w:rsidTr="008C2769">
        <w:trPr>
          <w:cantSplit/>
          <w:jc w:val="center"/>
        </w:trPr>
        <w:tc>
          <w:tcPr>
            <w:tcW w:w="1702" w:type="dxa"/>
          </w:tcPr>
          <w:p w14:paraId="2ABF4FDF" w14:textId="77777777" w:rsidR="003E75D0" w:rsidRPr="00334389" w:rsidRDefault="003E75D0" w:rsidP="002F5D3A">
            <w:pPr>
              <w:pStyle w:val="TableText0"/>
              <w:jc w:val="center"/>
              <w:rPr>
                <w:lang w:val="fr-FR"/>
              </w:rPr>
            </w:pPr>
            <w:r w:rsidRPr="00334389">
              <w:rPr>
                <w:lang w:val="fr-FR"/>
              </w:rPr>
              <w:t>4</w:t>
            </w:r>
          </w:p>
        </w:tc>
        <w:tc>
          <w:tcPr>
            <w:tcW w:w="1417" w:type="dxa"/>
          </w:tcPr>
          <w:p w14:paraId="0867F9F4" w14:textId="77777777" w:rsidR="003E75D0" w:rsidRPr="00334389" w:rsidRDefault="003E75D0" w:rsidP="002F5D3A">
            <w:pPr>
              <w:pStyle w:val="TableText0"/>
              <w:jc w:val="center"/>
              <w:rPr>
                <w:lang w:val="fr-FR"/>
              </w:rPr>
            </w:pPr>
          </w:p>
        </w:tc>
        <w:tc>
          <w:tcPr>
            <w:tcW w:w="5098" w:type="dxa"/>
          </w:tcPr>
          <w:p w14:paraId="17ECB440" w14:textId="507E290E" w:rsidR="003E75D0" w:rsidRPr="00334389" w:rsidRDefault="003E75D0" w:rsidP="002F5D3A">
            <w:pPr>
              <w:pStyle w:val="TableText0"/>
              <w:rPr>
                <w:lang w:val="fr-FR"/>
              </w:rPr>
            </w:pPr>
            <w:r w:rsidRPr="00334389">
              <w:rPr>
                <w:lang w:val="fr-FR"/>
              </w:rPr>
              <w:t>conformément à la Résolution </w:t>
            </w:r>
            <w:r w:rsidRPr="00334389">
              <w:rPr>
                <w:b/>
                <w:bCs/>
                <w:lang w:val="fr-FR"/>
              </w:rPr>
              <w:t>95</w:t>
            </w:r>
            <w:r w:rsidR="009C7D89" w:rsidRPr="00334389">
              <w:rPr>
                <w:b/>
                <w:bCs/>
                <w:lang w:val="fr-FR"/>
              </w:rPr>
              <w:t xml:space="preserve"> </w:t>
            </w:r>
            <w:r w:rsidRPr="00334389">
              <w:rPr>
                <w:b/>
                <w:bCs/>
                <w:lang w:val="fr-FR"/>
              </w:rPr>
              <w:t>(Rév.CMR</w:t>
            </w:r>
            <w:r w:rsidRPr="00334389">
              <w:rPr>
                <w:b/>
                <w:bCs/>
                <w:lang w:val="fr-FR"/>
              </w:rPr>
              <w:noBreakHyphen/>
              <w:t>19)</w:t>
            </w:r>
            <w:r w:rsidRPr="00334389">
              <w:rPr>
                <w:lang w:val="fr-FR"/>
              </w:rPr>
              <w:t>, examiner les Résolutions et Recommandations des conférences précédentes en vue, le cas échéant, de les réviser, de les remplacer ou de les supprimer;</w:t>
            </w:r>
          </w:p>
        </w:tc>
        <w:tc>
          <w:tcPr>
            <w:tcW w:w="1276" w:type="dxa"/>
          </w:tcPr>
          <w:p w14:paraId="6ECBADF9" w14:textId="72253BEC" w:rsidR="003E75D0" w:rsidRPr="00334389" w:rsidRDefault="005D19E8" w:rsidP="002F5D3A">
            <w:pPr>
              <w:pStyle w:val="TableText0"/>
              <w:jc w:val="center"/>
              <w:rPr>
                <w:lang w:val="fr-FR"/>
              </w:rPr>
            </w:pPr>
            <w:r w:rsidRPr="00334389">
              <w:rPr>
                <w:lang w:val="fr-FR"/>
              </w:rPr>
              <w:t>Néant</w:t>
            </w:r>
          </w:p>
        </w:tc>
      </w:tr>
      <w:tr w:rsidR="003E75D0" w:rsidRPr="00334389" w14:paraId="5638287B" w14:textId="77777777" w:rsidTr="008C2769">
        <w:trPr>
          <w:cantSplit/>
          <w:jc w:val="center"/>
        </w:trPr>
        <w:tc>
          <w:tcPr>
            <w:tcW w:w="1702" w:type="dxa"/>
            <w:vMerge w:val="restart"/>
          </w:tcPr>
          <w:p w14:paraId="6A2B09EC" w14:textId="77777777" w:rsidR="003E75D0" w:rsidRPr="00334389" w:rsidRDefault="003E75D0" w:rsidP="002F5D3A">
            <w:pPr>
              <w:pStyle w:val="TableText0"/>
              <w:jc w:val="center"/>
              <w:rPr>
                <w:lang w:val="fr-FR"/>
              </w:rPr>
            </w:pPr>
            <w:r w:rsidRPr="00334389">
              <w:rPr>
                <w:lang w:val="fr-FR"/>
              </w:rPr>
              <w:t>7</w:t>
            </w:r>
          </w:p>
        </w:tc>
        <w:tc>
          <w:tcPr>
            <w:tcW w:w="1417" w:type="dxa"/>
          </w:tcPr>
          <w:p w14:paraId="10288412" w14:textId="77777777" w:rsidR="003E75D0" w:rsidRPr="00334389" w:rsidRDefault="003E75D0" w:rsidP="002F5D3A">
            <w:pPr>
              <w:pStyle w:val="TableText0"/>
              <w:jc w:val="center"/>
              <w:rPr>
                <w:lang w:val="fr-FR"/>
              </w:rPr>
            </w:pPr>
          </w:p>
        </w:tc>
        <w:tc>
          <w:tcPr>
            <w:tcW w:w="5098" w:type="dxa"/>
          </w:tcPr>
          <w:p w14:paraId="7D5F5823" w14:textId="10ED8475" w:rsidR="003E75D0" w:rsidRPr="00334389" w:rsidRDefault="003E75D0" w:rsidP="002F5D3A">
            <w:pPr>
              <w:pStyle w:val="TableText0"/>
              <w:rPr>
                <w:lang w:val="fr-FR"/>
              </w:rPr>
            </w:pPr>
            <w:r w:rsidRPr="00334389">
              <w:rPr>
                <w:lang w:val="fr-FR"/>
              </w:rPr>
              <w:t>examiner d'éventuels changements à apporter en application de la Résolution </w:t>
            </w:r>
            <w:r w:rsidRPr="00334389">
              <w:rPr>
                <w:b/>
                <w:bCs/>
                <w:lang w:val="fr-FR"/>
              </w:rPr>
              <w:t>86</w:t>
            </w:r>
            <w:r w:rsidR="009C7D89" w:rsidRPr="00334389">
              <w:rPr>
                <w:b/>
                <w:bCs/>
                <w:lang w:val="fr-FR"/>
              </w:rPr>
              <w:t xml:space="preserve"> </w:t>
            </w:r>
            <w:r w:rsidRPr="00334389">
              <w:rPr>
                <w:b/>
                <w:bCs/>
                <w:lang w:val="fr-FR"/>
              </w:rPr>
              <w:t>(Rév. Marrakech,</w:t>
            </w:r>
            <w:r w:rsidR="009C7D89" w:rsidRPr="00334389">
              <w:rPr>
                <w:b/>
                <w:bCs/>
                <w:lang w:val="fr-FR"/>
              </w:rPr>
              <w:t> </w:t>
            </w:r>
            <w:r w:rsidRPr="00334389">
              <w:rPr>
                <w:b/>
                <w:bCs/>
                <w:lang w:val="fr-FR"/>
              </w:rPr>
              <w:t>2002)</w:t>
            </w:r>
            <w:r w:rsidRPr="00334389">
              <w:rPr>
                <w:lang w:val="fr-FR"/>
              </w:rPr>
              <w:t xml:space="preserve"> de la Conférence de plénipotentiaires, intitulée «Procédures de publication anticipée, de coordination, de notification et d'inscription des assignations de fréquence relatives aux réseaux à satellite», conformément à la Résolution </w:t>
            </w:r>
            <w:r w:rsidRPr="00334389">
              <w:rPr>
                <w:b/>
                <w:bCs/>
                <w:lang w:val="fr-FR"/>
              </w:rPr>
              <w:t>86</w:t>
            </w:r>
            <w:r w:rsidR="009C7D89" w:rsidRPr="00334389">
              <w:rPr>
                <w:b/>
                <w:bCs/>
                <w:lang w:val="fr-FR"/>
              </w:rPr>
              <w:t xml:space="preserve"> </w:t>
            </w:r>
            <w:r w:rsidRPr="00334389">
              <w:rPr>
                <w:b/>
                <w:bCs/>
                <w:lang w:val="fr-FR"/>
              </w:rPr>
              <w:t>(Rév.CMR</w:t>
            </w:r>
            <w:r w:rsidRPr="00334389">
              <w:rPr>
                <w:b/>
                <w:bCs/>
                <w:lang w:val="fr-FR"/>
              </w:rPr>
              <w:noBreakHyphen/>
              <w:t>07)</w:t>
            </w:r>
            <w:r w:rsidRPr="00334389">
              <w:rPr>
                <w:lang w:val="fr-FR"/>
              </w:rPr>
              <w:t>, afin de faciliter l'utilisation rationnelle, efficace et économique des fréquences radioélectriques et des orbites associées, y compris de l'orbite des satellites géostationnaires;</w:t>
            </w:r>
          </w:p>
        </w:tc>
        <w:tc>
          <w:tcPr>
            <w:tcW w:w="1276" w:type="dxa"/>
          </w:tcPr>
          <w:p w14:paraId="4DC5405C" w14:textId="2DCD85D4" w:rsidR="003E75D0" w:rsidRPr="00334389" w:rsidRDefault="003E75D0" w:rsidP="002F5D3A">
            <w:pPr>
              <w:pStyle w:val="TableText0"/>
              <w:jc w:val="center"/>
              <w:rPr>
                <w:lang w:val="fr-FR"/>
              </w:rPr>
            </w:pPr>
          </w:p>
        </w:tc>
      </w:tr>
      <w:tr w:rsidR="003E75D0" w:rsidRPr="00334389" w14:paraId="1D325FAC" w14:textId="77777777" w:rsidTr="008C2769">
        <w:trPr>
          <w:cantSplit/>
          <w:jc w:val="center"/>
        </w:trPr>
        <w:tc>
          <w:tcPr>
            <w:tcW w:w="1702" w:type="dxa"/>
            <w:vMerge/>
          </w:tcPr>
          <w:p w14:paraId="2E5E5C2C" w14:textId="77777777" w:rsidR="003E75D0" w:rsidRPr="00334389" w:rsidRDefault="003E75D0" w:rsidP="002F5D3A">
            <w:pPr>
              <w:pStyle w:val="TableText0"/>
              <w:jc w:val="center"/>
              <w:rPr>
                <w:lang w:val="fr-FR"/>
              </w:rPr>
            </w:pPr>
          </w:p>
        </w:tc>
        <w:tc>
          <w:tcPr>
            <w:tcW w:w="1417" w:type="dxa"/>
            <w:shd w:val="clear" w:color="auto" w:fill="auto"/>
          </w:tcPr>
          <w:p w14:paraId="7502BF1A" w14:textId="061EC465" w:rsidR="003E75D0" w:rsidRPr="00334389" w:rsidRDefault="003E75D0" w:rsidP="002F5D3A">
            <w:pPr>
              <w:pStyle w:val="TableText0"/>
              <w:jc w:val="center"/>
              <w:rPr>
                <w:lang w:val="fr-FR"/>
              </w:rPr>
            </w:pPr>
            <w:r w:rsidRPr="00334389">
              <w:rPr>
                <w:lang w:val="fr-FR"/>
              </w:rPr>
              <w:t>Question A</w:t>
            </w:r>
          </w:p>
        </w:tc>
        <w:tc>
          <w:tcPr>
            <w:tcW w:w="5098" w:type="dxa"/>
            <w:shd w:val="clear" w:color="auto" w:fill="auto"/>
          </w:tcPr>
          <w:p w14:paraId="056A2E5A" w14:textId="57F3ADEB" w:rsidR="003E75D0" w:rsidRPr="00334389" w:rsidRDefault="003E75D0" w:rsidP="002F5D3A">
            <w:pPr>
              <w:pStyle w:val="TableText0"/>
              <w:rPr>
                <w:lang w:val="fr-FR"/>
              </w:rPr>
            </w:pPr>
            <w:r w:rsidRPr="00334389">
              <w:rPr>
                <w:lang w:val="fr-FR"/>
              </w:rPr>
              <w:t>Tolérances pour certaines caractéristiques orbitales des stations spatiales non OSG du SFS, du SRS ou du SMS</w:t>
            </w:r>
          </w:p>
        </w:tc>
        <w:tc>
          <w:tcPr>
            <w:tcW w:w="1276" w:type="dxa"/>
            <w:shd w:val="clear" w:color="auto" w:fill="auto"/>
          </w:tcPr>
          <w:p w14:paraId="5580E75E" w14:textId="1D52D8CC" w:rsidR="003E75D0" w:rsidRPr="00334389" w:rsidRDefault="003E75D0" w:rsidP="002F5D3A">
            <w:pPr>
              <w:pStyle w:val="TableText0"/>
              <w:jc w:val="center"/>
              <w:rPr>
                <w:lang w:val="fr-FR"/>
              </w:rPr>
            </w:pPr>
            <w:r w:rsidRPr="00334389">
              <w:rPr>
                <w:lang w:val="fr-FR"/>
              </w:rPr>
              <w:t>A22-A1</w:t>
            </w:r>
          </w:p>
        </w:tc>
      </w:tr>
      <w:tr w:rsidR="003E75D0" w:rsidRPr="00334389" w14:paraId="67C52A93" w14:textId="77777777" w:rsidTr="008C2769">
        <w:trPr>
          <w:cantSplit/>
          <w:jc w:val="center"/>
        </w:trPr>
        <w:tc>
          <w:tcPr>
            <w:tcW w:w="1702" w:type="dxa"/>
            <w:vMerge/>
          </w:tcPr>
          <w:p w14:paraId="1ABAF77A" w14:textId="77777777" w:rsidR="003E75D0" w:rsidRPr="00334389" w:rsidRDefault="003E75D0" w:rsidP="002F5D3A">
            <w:pPr>
              <w:pStyle w:val="TableText0"/>
              <w:jc w:val="center"/>
              <w:rPr>
                <w:lang w:val="fr-FR"/>
              </w:rPr>
            </w:pPr>
          </w:p>
        </w:tc>
        <w:tc>
          <w:tcPr>
            <w:tcW w:w="1417" w:type="dxa"/>
          </w:tcPr>
          <w:p w14:paraId="11B4CD34" w14:textId="127F7C81" w:rsidR="003E75D0" w:rsidRPr="00334389" w:rsidRDefault="003E75D0" w:rsidP="002F5D3A">
            <w:pPr>
              <w:pStyle w:val="TableText0"/>
              <w:jc w:val="center"/>
              <w:rPr>
                <w:lang w:val="fr-FR"/>
              </w:rPr>
            </w:pPr>
            <w:r w:rsidRPr="00334389">
              <w:rPr>
                <w:lang w:val="fr-FR"/>
              </w:rPr>
              <w:t>Question B</w:t>
            </w:r>
          </w:p>
        </w:tc>
        <w:tc>
          <w:tcPr>
            <w:tcW w:w="5098" w:type="dxa"/>
          </w:tcPr>
          <w:p w14:paraId="6030FB1C" w14:textId="25FA6CD8" w:rsidR="003E75D0" w:rsidRPr="00334389" w:rsidRDefault="003E75D0" w:rsidP="002F5D3A">
            <w:pPr>
              <w:pStyle w:val="TableText0"/>
              <w:rPr>
                <w:lang w:val="fr-FR"/>
              </w:rPr>
            </w:pPr>
            <w:r w:rsidRPr="00334389">
              <w:rPr>
                <w:lang w:val="fr-FR"/>
              </w:rPr>
              <w:t>Procédure à suivre après les étapes pour la mise en service des systèmes non OSG</w:t>
            </w:r>
          </w:p>
        </w:tc>
        <w:tc>
          <w:tcPr>
            <w:tcW w:w="1276" w:type="dxa"/>
          </w:tcPr>
          <w:p w14:paraId="521E5C5A" w14:textId="246ED35A" w:rsidR="003E75D0" w:rsidRPr="00334389" w:rsidRDefault="003E75D0" w:rsidP="002F5D3A">
            <w:pPr>
              <w:pStyle w:val="TableText0"/>
              <w:jc w:val="center"/>
              <w:rPr>
                <w:lang w:val="fr-FR"/>
              </w:rPr>
            </w:pPr>
            <w:r w:rsidRPr="00334389">
              <w:rPr>
                <w:lang w:val="fr-FR"/>
              </w:rPr>
              <w:t>A22-A2</w:t>
            </w:r>
          </w:p>
        </w:tc>
      </w:tr>
      <w:tr w:rsidR="003E75D0" w:rsidRPr="00334389" w14:paraId="422B7415" w14:textId="77777777" w:rsidTr="008C2769">
        <w:trPr>
          <w:cantSplit/>
          <w:jc w:val="center"/>
        </w:trPr>
        <w:tc>
          <w:tcPr>
            <w:tcW w:w="1702" w:type="dxa"/>
            <w:vMerge/>
          </w:tcPr>
          <w:p w14:paraId="602B6328" w14:textId="77777777" w:rsidR="003E75D0" w:rsidRPr="00334389" w:rsidRDefault="003E75D0" w:rsidP="002F5D3A">
            <w:pPr>
              <w:pStyle w:val="TableText0"/>
              <w:jc w:val="center"/>
              <w:rPr>
                <w:lang w:val="fr-FR"/>
              </w:rPr>
            </w:pPr>
          </w:p>
        </w:tc>
        <w:tc>
          <w:tcPr>
            <w:tcW w:w="1417" w:type="dxa"/>
          </w:tcPr>
          <w:p w14:paraId="7B87DD27" w14:textId="634B7457" w:rsidR="003E75D0" w:rsidRPr="00334389" w:rsidRDefault="003E75D0" w:rsidP="002F5D3A">
            <w:pPr>
              <w:pStyle w:val="TableText0"/>
              <w:jc w:val="center"/>
              <w:rPr>
                <w:lang w:val="fr-FR"/>
              </w:rPr>
            </w:pPr>
            <w:r w:rsidRPr="00334389">
              <w:rPr>
                <w:lang w:val="fr-FR"/>
              </w:rPr>
              <w:t>Question C</w:t>
            </w:r>
          </w:p>
        </w:tc>
        <w:tc>
          <w:tcPr>
            <w:tcW w:w="5098" w:type="dxa"/>
          </w:tcPr>
          <w:p w14:paraId="263C2964" w14:textId="4DC44E32" w:rsidR="003E75D0" w:rsidRPr="00334389" w:rsidRDefault="003E75D0" w:rsidP="002342AB">
            <w:pPr>
              <w:pStyle w:val="TableText0"/>
              <w:tabs>
                <w:tab w:val="clear" w:pos="284"/>
                <w:tab w:val="clear" w:pos="567"/>
                <w:tab w:val="clear" w:pos="851"/>
                <w:tab w:val="clear" w:pos="1134"/>
                <w:tab w:val="clear" w:pos="1701"/>
                <w:tab w:val="clear" w:pos="1985"/>
                <w:tab w:val="clear" w:pos="2268"/>
                <w:tab w:val="clear" w:pos="2552"/>
                <w:tab w:val="clear" w:pos="2835"/>
                <w:tab w:val="clear" w:pos="3119"/>
                <w:tab w:val="clear" w:pos="3402"/>
                <w:tab w:val="clear" w:pos="3686"/>
                <w:tab w:val="clear" w:pos="3969"/>
              </w:tabs>
              <w:rPr>
                <w:lang w:val="fr-FR"/>
              </w:rPr>
            </w:pPr>
            <w:r w:rsidRPr="00334389">
              <w:rPr>
                <w:lang w:val="fr-FR"/>
              </w:rPr>
              <w:t>Protection des réseaux à satellite géostationnaire du service mobile par satellite fonctionnant dans les bandes des 7/8 GHz et des 20/30 GHz</w:t>
            </w:r>
          </w:p>
        </w:tc>
        <w:tc>
          <w:tcPr>
            <w:tcW w:w="1276" w:type="dxa"/>
          </w:tcPr>
          <w:p w14:paraId="6D0C9D7E" w14:textId="4AAEEBC7" w:rsidR="003E75D0" w:rsidRPr="00334389" w:rsidRDefault="003E75D0" w:rsidP="002F5D3A">
            <w:pPr>
              <w:pStyle w:val="TableText0"/>
              <w:jc w:val="center"/>
              <w:rPr>
                <w:lang w:val="fr-FR"/>
              </w:rPr>
            </w:pPr>
            <w:r w:rsidRPr="00334389">
              <w:rPr>
                <w:lang w:val="fr-FR"/>
              </w:rPr>
              <w:t>A22-A3</w:t>
            </w:r>
          </w:p>
        </w:tc>
      </w:tr>
      <w:tr w:rsidR="003E75D0" w:rsidRPr="00334389" w14:paraId="00712AAB" w14:textId="77777777" w:rsidTr="008C2769">
        <w:trPr>
          <w:cantSplit/>
          <w:jc w:val="center"/>
        </w:trPr>
        <w:tc>
          <w:tcPr>
            <w:tcW w:w="1702" w:type="dxa"/>
            <w:vMerge/>
          </w:tcPr>
          <w:p w14:paraId="4E61CAD6" w14:textId="77777777" w:rsidR="003E75D0" w:rsidRPr="00334389" w:rsidRDefault="003E75D0" w:rsidP="002F5D3A">
            <w:pPr>
              <w:pStyle w:val="TableText0"/>
              <w:jc w:val="center"/>
              <w:rPr>
                <w:lang w:val="fr-FR"/>
              </w:rPr>
            </w:pPr>
          </w:p>
        </w:tc>
        <w:tc>
          <w:tcPr>
            <w:tcW w:w="1417" w:type="dxa"/>
          </w:tcPr>
          <w:p w14:paraId="18AF4E42" w14:textId="03F69C9F" w:rsidR="003E75D0" w:rsidRPr="00334389" w:rsidRDefault="003E75D0" w:rsidP="002F5D3A">
            <w:pPr>
              <w:pStyle w:val="TableText0"/>
              <w:jc w:val="center"/>
              <w:rPr>
                <w:lang w:val="fr-FR"/>
              </w:rPr>
            </w:pPr>
            <w:r w:rsidRPr="00334389">
              <w:rPr>
                <w:lang w:val="fr-FR"/>
              </w:rPr>
              <w:t>Question D1</w:t>
            </w:r>
          </w:p>
        </w:tc>
        <w:tc>
          <w:tcPr>
            <w:tcW w:w="5098" w:type="dxa"/>
          </w:tcPr>
          <w:p w14:paraId="1859FDA4" w14:textId="4CF43759" w:rsidR="003E75D0" w:rsidRPr="00334389" w:rsidRDefault="003E75D0" w:rsidP="002F5D3A">
            <w:pPr>
              <w:pStyle w:val="TableText0"/>
              <w:rPr>
                <w:lang w:val="fr-FR"/>
              </w:rPr>
            </w:pPr>
            <w:r w:rsidRPr="00334389">
              <w:rPr>
                <w:lang w:val="fr-FR"/>
              </w:rPr>
              <w:t>Modifications de l'Appendice 1 de l'Annexe </w:t>
            </w:r>
            <w:r w:rsidRPr="00334389">
              <w:rPr>
                <w:b/>
                <w:bCs/>
                <w:lang w:val="fr-FR"/>
              </w:rPr>
              <w:t>4</w:t>
            </w:r>
            <w:r w:rsidRPr="00334389">
              <w:rPr>
                <w:lang w:val="fr-FR"/>
              </w:rPr>
              <w:t xml:space="preserve"> de l'Appendice </w:t>
            </w:r>
            <w:r w:rsidRPr="00334389">
              <w:rPr>
                <w:b/>
                <w:bCs/>
                <w:lang w:val="fr-FR"/>
              </w:rPr>
              <w:t>30B</w:t>
            </w:r>
            <w:r w:rsidRPr="00334389">
              <w:rPr>
                <w:lang w:val="fr-FR"/>
              </w:rPr>
              <w:t xml:space="preserve"> du RR</w:t>
            </w:r>
          </w:p>
        </w:tc>
        <w:tc>
          <w:tcPr>
            <w:tcW w:w="1276" w:type="dxa"/>
          </w:tcPr>
          <w:p w14:paraId="4F6430E1" w14:textId="13935E43" w:rsidR="003E75D0" w:rsidRPr="00334389" w:rsidRDefault="005D19E8" w:rsidP="002F5D3A">
            <w:pPr>
              <w:pStyle w:val="TableText0"/>
              <w:jc w:val="center"/>
              <w:rPr>
                <w:lang w:val="fr-FR"/>
              </w:rPr>
            </w:pPr>
            <w:r w:rsidRPr="00334389">
              <w:rPr>
                <w:lang w:val="fr-FR"/>
              </w:rPr>
              <w:t>Néant</w:t>
            </w:r>
          </w:p>
        </w:tc>
      </w:tr>
      <w:tr w:rsidR="003E75D0" w:rsidRPr="00334389" w14:paraId="2B93BD68" w14:textId="77777777" w:rsidTr="008C2769">
        <w:trPr>
          <w:cantSplit/>
          <w:jc w:val="center"/>
        </w:trPr>
        <w:tc>
          <w:tcPr>
            <w:tcW w:w="1702" w:type="dxa"/>
            <w:vMerge/>
          </w:tcPr>
          <w:p w14:paraId="48D9F913" w14:textId="77777777" w:rsidR="003E75D0" w:rsidRPr="00334389" w:rsidRDefault="003E75D0" w:rsidP="002F5D3A">
            <w:pPr>
              <w:pStyle w:val="TableText0"/>
              <w:jc w:val="center"/>
              <w:rPr>
                <w:lang w:val="fr-FR"/>
              </w:rPr>
            </w:pPr>
          </w:p>
        </w:tc>
        <w:tc>
          <w:tcPr>
            <w:tcW w:w="1417" w:type="dxa"/>
          </w:tcPr>
          <w:p w14:paraId="6D352FFB" w14:textId="7617727C" w:rsidR="003E75D0" w:rsidRPr="00334389" w:rsidRDefault="003E75D0" w:rsidP="002F5D3A">
            <w:pPr>
              <w:pStyle w:val="TableText0"/>
              <w:jc w:val="center"/>
              <w:rPr>
                <w:lang w:val="fr-FR"/>
              </w:rPr>
            </w:pPr>
            <w:r w:rsidRPr="00334389">
              <w:rPr>
                <w:lang w:val="fr-FR"/>
              </w:rPr>
              <w:t>Question D2</w:t>
            </w:r>
          </w:p>
        </w:tc>
        <w:tc>
          <w:tcPr>
            <w:tcW w:w="5098" w:type="dxa"/>
          </w:tcPr>
          <w:p w14:paraId="2C7EA779" w14:textId="1B1FE295" w:rsidR="003E75D0" w:rsidRPr="00334389" w:rsidRDefault="003E75D0" w:rsidP="002342AB">
            <w:pPr>
              <w:pStyle w:val="TableText0"/>
              <w:tabs>
                <w:tab w:val="clear" w:pos="284"/>
                <w:tab w:val="clear" w:pos="567"/>
                <w:tab w:val="clear" w:pos="851"/>
                <w:tab w:val="clear" w:pos="1134"/>
                <w:tab w:val="clear" w:pos="1701"/>
                <w:tab w:val="clear" w:pos="1985"/>
                <w:tab w:val="clear" w:pos="2268"/>
                <w:tab w:val="clear" w:pos="2552"/>
                <w:tab w:val="clear" w:pos="2835"/>
                <w:tab w:val="clear" w:pos="3119"/>
                <w:tab w:val="clear" w:pos="3402"/>
                <w:tab w:val="clear" w:pos="3686"/>
                <w:tab w:val="clear" w:pos="3969"/>
              </w:tabs>
              <w:rPr>
                <w:lang w:val="fr-FR"/>
              </w:rPr>
            </w:pPr>
            <w:r w:rsidRPr="00334389">
              <w:rPr>
                <w:lang w:val="fr-FR"/>
              </w:rPr>
              <w:t xml:space="preserve">Nouveaux paramètres de l'Appendice </w:t>
            </w:r>
            <w:r w:rsidRPr="00334389">
              <w:rPr>
                <w:b/>
                <w:bCs/>
                <w:lang w:val="fr-FR"/>
              </w:rPr>
              <w:t xml:space="preserve">4 </w:t>
            </w:r>
            <w:r w:rsidRPr="00334389">
              <w:rPr>
                <w:lang w:val="fr-FR"/>
              </w:rPr>
              <w:t>du RR pour les mises à jour de la Recommandation UIT-R S.1503</w:t>
            </w:r>
          </w:p>
        </w:tc>
        <w:tc>
          <w:tcPr>
            <w:tcW w:w="1276" w:type="dxa"/>
          </w:tcPr>
          <w:p w14:paraId="11EB8708" w14:textId="4D457C78" w:rsidR="003E75D0" w:rsidRPr="00334389" w:rsidRDefault="005D19E8" w:rsidP="002F5D3A">
            <w:pPr>
              <w:pStyle w:val="TableText0"/>
              <w:jc w:val="center"/>
              <w:rPr>
                <w:lang w:val="fr-FR"/>
              </w:rPr>
            </w:pPr>
            <w:r w:rsidRPr="00334389">
              <w:rPr>
                <w:lang w:val="fr-FR"/>
              </w:rPr>
              <w:t>Néant</w:t>
            </w:r>
          </w:p>
        </w:tc>
      </w:tr>
      <w:tr w:rsidR="003E75D0" w:rsidRPr="00334389" w14:paraId="2DD1BE81" w14:textId="77777777" w:rsidTr="008C2769">
        <w:trPr>
          <w:cantSplit/>
          <w:jc w:val="center"/>
        </w:trPr>
        <w:tc>
          <w:tcPr>
            <w:tcW w:w="1702" w:type="dxa"/>
            <w:vMerge/>
          </w:tcPr>
          <w:p w14:paraId="3B970439" w14:textId="77777777" w:rsidR="003E75D0" w:rsidRPr="00334389" w:rsidRDefault="003E75D0" w:rsidP="002F5D3A">
            <w:pPr>
              <w:pStyle w:val="TableText0"/>
              <w:jc w:val="center"/>
              <w:rPr>
                <w:lang w:val="fr-FR"/>
              </w:rPr>
            </w:pPr>
          </w:p>
        </w:tc>
        <w:tc>
          <w:tcPr>
            <w:tcW w:w="1417" w:type="dxa"/>
          </w:tcPr>
          <w:p w14:paraId="2B89DD1E" w14:textId="37C4F417" w:rsidR="003E75D0" w:rsidRPr="00334389" w:rsidRDefault="003E75D0" w:rsidP="002F5D3A">
            <w:pPr>
              <w:pStyle w:val="TableText0"/>
              <w:jc w:val="center"/>
              <w:rPr>
                <w:lang w:val="fr-FR"/>
              </w:rPr>
            </w:pPr>
            <w:r w:rsidRPr="00334389">
              <w:rPr>
                <w:lang w:val="fr-FR"/>
              </w:rPr>
              <w:t>Question D3</w:t>
            </w:r>
          </w:p>
        </w:tc>
        <w:tc>
          <w:tcPr>
            <w:tcW w:w="5098" w:type="dxa"/>
          </w:tcPr>
          <w:p w14:paraId="62F49CA4" w14:textId="1E006C00" w:rsidR="003E75D0" w:rsidRPr="00334389" w:rsidRDefault="003E75D0" w:rsidP="002342AB">
            <w:pPr>
              <w:pStyle w:val="TableText0"/>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rPr>
                <w:lang w:val="fr-FR"/>
              </w:rPr>
            </w:pPr>
            <w:r w:rsidRPr="00334389">
              <w:rPr>
                <w:lang w:val="fr-FR"/>
              </w:rPr>
              <w:t>Rappels du BR concernant la mise en service/remise en service</w:t>
            </w:r>
          </w:p>
        </w:tc>
        <w:tc>
          <w:tcPr>
            <w:tcW w:w="1276" w:type="dxa"/>
          </w:tcPr>
          <w:p w14:paraId="5D2A2A20" w14:textId="7DC4F031" w:rsidR="003E75D0" w:rsidRPr="00334389" w:rsidRDefault="005D19E8" w:rsidP="002F5D3A">
            <w:pPr>
              <w:pStyle w:val="TableText0"/>
              <w:jc w:val="center"/>
              <w:rPr>
                <w:lang w:val="fr-FR"/>
              </w:rPr>
            </w:pPr>
            <w:r w:rsidRPr="00334389">
              <w:rPr>
                <w:lang w:val="fr-FR"/>
              </w:rPr>
              <w:t>Néant</w:t>
            </w:r>
          </w:p>
        </w:tc>
      </w:tr>
      <w:tr w:rsidR="003E75D0" w:rsidRPr="00334389" w14:paraId="53BF8445" w14:textId="77777777" w:rsidTr="008C2769">
        <w:trPr>
          <w:cantSplit/>
          <w:jc w:val="center"/>
        </w:trPr>
        <w:tc>
          <w:tcPr>
            <w:tcW w:w="1702" w:type="dxa"/>
            <w:vMerge/>
          </w:tcPr>
          <w:p w14:paraId="0F1635A3" w14:textId="77777777" w:rsidR="003E75D0" w:rsidRPr="00334389" w:rsidRDefault="003E75D0" w:rsidP="002F5D3A">
            <w:pPr>
              <w:pStyle w:val="TableText0"/>
              <w:jc w:val="center"/>
              <w:rPr>
                <w:lang w:val="fr-FR"/>
              </w:rPr>
            </w:pPr>
          </w:p>
        </w:tc>
        <w:tc>
          <w:tcPr>
            <w:tcW w:w="1417" w:type="dxa"/>
          </w:tcPr>
          <w:p w14:paraId="621463F0" w14:textId="160762C2" w:rsidR="003E75D0" w:rsidRPr="00334389" w:rsidRDefault="003E75D0" w:rsidP="002F5D3A">
            <w:pPr>
              <w:pStyle w:val="TableText0"/>
              <w:jc w:val="center"/>
              <w:rPr>
                <w:lang w:val="fr-FR"/>
              </w:rPr>
            </w:pPr>
            <w:r w:rsidRPr="00334389">
              <w:rPr>
                <w:lang w:val="fr-FR"/>
              </w:rPr>
              <w:t>Question E</w:t>
            </w:r>
          </w:p>
        </w:tc>
        <w:tc>
          <w:tcPr>
            <w:tcW w:w="5098" w:type="dxa"/>
          </w:tcPr>
          <w:p w14:paraId="434AD118" w14:textId="057946F0" w:rsidR="003E75D0" w:rsidRPr="00334389" w:rsidRDefault="003E75D0" w:rsidP="002F5D3A">
            <w:pPr>
              <w:pStyle w:val="TableText0"/>
              <w:rPr>
                <w:lang w:val="fr-FR"/>
              </w:rPr>
            </w:pPr>
            <w:r w:rsidRPr="00334389">
              <w:rPr>
                <w:lang w:val="fr-FR"/>
              </w:rPr>
              <w:t>Amélioration des procédures de l'Appendice </w:t>
            </w:r>
            <w:r w:rsidRPr="00334389">
              <w:rPr>
                <w:b/>
                <w:bCs/>
                <w:lang w:val="fr-FR"/>
              </w:rPr>
              <w:t>30B</w:t>
            </w:r>
            <w:r w:rsidRPr="00334389">
              <w:rPr>
                <w:lang w:val="fr-FR"/>
              </w:rPr>
              <w:t xml:space="preserve"> du RR pour les nouveaux États Membres de l'UIT</w:t>
            </w:r>
          </w:p>
        </w:tc>
        <w:tc>
          <w:tcPr>
            <w:tcW w:w="1276" w:type="dxa"/>
          </w:tcPr>
          <w:p w14:paraId="28445691" w14:textId="02FF3800" w:rsidR="003E75D0" w:rsidRPr="00334389" w:rsidRDefault="003E75D0" w:rsidP="002F5D3A">
            <w:pPr>
              <w:pStyle w:val="TableText0"/>
              <w:jc w:val="center"/>
              <w:rPr>
                <w:lang w:val="fr-FR"/>
              </w:rPr>
            </w:pPr>
            <w:r w:rsidRPr="00334389">
              <w:rPr>
                <w:lang w:val="fr-FR"/>
              </w:rPr>
              <w:t>A22-A7</w:t>
            </w:r>
          </w:p>
        </w:tc>
      </w:tr>
      <w:tr w:rsidR="003E75D0" w:rsidRPr="00334389" w14:paraId="48DE1271" w14:textId="77777777" w:rsidTr="008C2769">
        <w:trPr>
          <w:cantSplit/>
          <w:jc w:val="center"/>
        </w:trPr>
        <w:tc>
          <w:tcPr>
            <w:tcW w:w="1702" w:type="dxa"/>
            <w:vMerge/>
          </w:tcPr>
          <w:p w14:paraId="13231DD3" w14:textId="77777777" w:rsidR="003E75D0" w:rsidRPr="00334389" w:rsidRDefault="003E75D0" w:rsidP="002F5D3A">
            <w:pPr>
              <w:pStyle w:val="TableText0"/>
              <w:jc w:val="center"/>
              <w:rPr>
                <w:lang w:val="fr-FR"/>
              </w:rPr>
            </w:pPr>
          </w:p>
        </w:tc>
        <w:tc>
          <w:tcPr>
            <w:tcW w:w="1417" w:type="dxa"/>
          </w:tcPr>
          <w:p w14:paraId="453BE3D2" w14:textId="09B665D5" w:rsidR="003E75D0" w:rsidRPr="00334389" w:rsidRDefault="003E75D0" w:rsidP="002F5D3A">
            <w:pPr>
              <w:pStyle w:val="TableText0"/>
              <w:jc w:val="center"/>
              <w:rPr>
                <w:lang w:val="fr-FR"/>
              </w:rPr>
            </w:pPr>
            <w:r w:rsidRPr="00334389">
              <w:rPr>
                <w:lang w:val="fr-FR"/>
              </w:rPr>
              <w:t>Question F</w:t>
            </w:r>
          </w:p>
        </w:tc>
        <w:tc>
          <w:tcPr>
            <w:tcW w:w="5098" w:type="dxa"/>
          </w:tcPr>
          <w:p w14:paraId="259FC3A9" w14:textId="4C3C63EF" w:rsidR="003E75D0" w:rsidRPr="00334389" w:rsidRDefault="003E75D0" w:rsidP="002F5D3A">
            <w:pPr>
              <w:pStyle w:val="TableText0"/>
              <w:rPr>
                <w:lang w:val="fr-FR"/>
              </w:rPr>
            </w:pPr>
            <w:r w:rsidRPr="00334389">
              <w:rPr>
                <w:lang w:val="fr-FR"/>
              </w:rPr>
              <w:t>Exclusion de la zone de service en liaison montante dans l'Appendice </w:t>
            </w:r>
            <w:r w:rsidRPr="00334389">
              <w:rPr>
                <w:b/>
                <w:bCs/>
                <w:lang w:val="fr-FR"/>
              </w:rPr>
              <w:t>30A</w:t>
            </w:r>
            <w:r w:rsidRPr="00334389">
              <w:rPr>
                <w:lang w:val="fr-FR"/>
              </w:rPr>
              <w:t xml:space="preserve"> du RR pour les Régions 1 et 3 et dans l'Appendice </w:t>
            </w:r>
            <w:r w:rsidRPr="00334389">
              <w:rPr>
                <w:b/>
                <w:bCs/>
                <w:lang w:val="fr-FR"/>
              </w:rPr>
              <w:t>30B</w:t>
            </w:r>
            <w:r w:rsidRPr="00334389">
              <w:rPr>
                <w:lang w:val="fr-FR"/>
              </w:rPr>
              <w:t xml:space="preserve"> du RR</w:t>
            </w:r>
          </w:p>
        </w:tc>
        <w:tc>
          <w:tcPr>
            <w:tcW w:w="1276" w:type="dxa"/>
          </w:tcPr>
          <w:p w14:paraId="7D21F219" w14:textId="78B364A9" w:rsidR="003E75D0" w:rsidRPr="00334389" w:rsidRDefault="003E75D0" w:rsidP="002F5D3A">
            <w:pPr>
              <w:pStyle w:val="TableText0"/>
              <w:jc w:val="center"/>
              <w:rPr>
                <w:lang w:val="fr-FR"/>
              </w:rPr>
            </w:pPr>
            <w:r w:rsidRPr="00334389">
              <w:rPr>
                <w:lang w:val="fr-FR"/>
              </w:rPr>
              <w:t>A22-A8</w:t>
            </w:r>
          </w:p>
        </w:tc>
      </w:tr>
      <w:tr w:rsidR="003E75D0" w:rsidRPr="00334389" w14:paraId="5A862A67" w14:textId="77777777" w:rsidTr="008C2769">
        <w:trPr>
          <w:cantSplit/>
          <w:jc w:val="center"/>
        </w:trPr>
        <w:tc>
          <w:tcPr>
            <w:tcW w:w="1702" w:type="dxa"/>
            <w:vMerge/>
          </w:tcPr>
          <w:p w14:paraId="090CD316" w14:textId="77777777" w:rsidR="003E75D0" w:rsidRPr="00334389" w:rsidRDefault="003E75D0" w:rsidP="002F5D3A">
            <w:pPr>
              <w:pStyle w:val="TableText0"/>
              <w:jc w:val="center"/>
              <w:rPr>
                <w:lang w:val="fr-FR"/>
              </w:rPr>
            </w:pPr>
          </w:p>
        </w:tc>
        <w:tc>
          <w:tcPr>
            <w:tcW w:w="1417" w:type="dxa"/>
          </w:tcPr>
          <w:p w14:paraId="4C0ABAEC" w14:textId="40047A8E" w:rsidR="003E75D0" w:rsidRPr="00334389" w:rsidRDefault="003E75D0" w:rsidP="002F5D3A">
            <w:pPr>
              <w:pStyle w:val="TableText0"/>
              <w:jc w:val="center"/>
              <w:rPr>
                <w:lang w:val="fr-FR"/>
              </w:rPr>
            </w:pPr>
            <w:r w:rsidRPr="00334389">
              <w:rPr>
                <w:lang w:val="fr-FR"/>
              </w:rPr>
              <w:t>Question G</w:t>
            </w:r>
          </w:p>
        </w:tc>
        <w:tc>
          <w:tcPr>
            <w:tcW w:w="5098" w:type="dxa"/>
          </w:tcPr>
          <w:p w14:paraId="52B1D7F5" w14:textId="326E6405" w:rsidR="003E75D0" w:rsidRPr="00334389" w:rsidRDefault="003E75D0" w:rsidP="002342AB">
            <w:pPr>
              <w:pStyle w:val="TableText0"/>
              <w:tabs>
                <w:tab w:val="clear" w:pos="284"/>
                <w:tab w:val="clear" w:pos="567"/>
                <w:tab w:val="clear" w:pos="851"/>
                <w:tab w:val="clear" w:pos="1134"/>
                <w:tab w:val="clear" w:pos="1701"/>
                <w:tab w:val="clear" w:pos="1985"/>
                <w:tab w:val="clear" w:pos="2268"/>
                <w:tab w:val="clear" w:pos="2552"/>
                <w:tab w:val="clear" w:pos="2835"/>
                <w:tab w:val="clear" w:pos="3119"/>
                <w:tab w:val="clear" w:pos="3402"/>
                <w:tab w:val="clear" w:pos="3686"/>
                <w:tab w:val="clear" w:pos="3969"/>
              </w:tabs>
              <w:rPr>
                <w:lang w:val="fr-FR"/>
              </w:rPr>
            </w:pPr>
            <w:r w:rsidRPr="00334389">
              <w:rPr>
                <w:lang w:val="fr-FR"/>
              </w:rPr>
              <w:t>Révision de la Résolution </w:t>
            </w:r>
            <w:r w:rsidRPr="00334389">
              <w:rPr>
                <w:b/>
                <w:bCs/>
                <w:lang w:val="fr-FR"/>
              </w:rPr>
              <w:t>770 (CMR-19)</w:t>
            </w:r>
          </w:p>
        </w:tc>
        <w:tc>
          <w:tcPr>
            <w:tcW w:w="1276" w:type="dxa"/>
          </w:tcPr>
          <w:p w14:paraId="0BB6C53F" w14:textId="073F7786" w:rsidR="003E75D0" w:rsidRPr="00334389" w:rsidRDefault="005D19E8" w:rsidP="002F5D3A">
            <w:pPr>
              <w:pStyle w:val="TableText0"/>
              <w:jc w:val="center"/>
              <w:rPr>
                <w:lang w:val="fr-FR"/>
              </w:rPr>
            </w:pPr>
            <w:r w:rsidRPr="00334389">
              <w:rPr>
                <w:lang w:val="fr-FR"/>
              </w:rPr>
              <w:t>Néant</w:t>
            </w:r>
          </w:p>
        </w:tc>
      </w:tr>
      <w:tr w:rsidR="003E75D0" w:rsidRPr="00334389" w14:paraId="7AA672EE" w14:textId="77777777" w:rsidTr="008C2769">
        <w:trPr>
          <w:cantSplit/>
          <w:jc w:val="center"/>
        </w:trPr>
        <w:tc>
          <w:tcPr>
            <w:tcW w:w="1702" w:type="dxa"/>
            <w:vMerge/>
          </w:tcPr>
          <w:p w14:paraId="160764BC" w14:textId="77777777" w:rsidR="003E75D0" w:rsidRPr="00334389" w:rsidRDefault="003E75D0" w:rsidP="002F5D3A">
            <w:pPr>
              <w:pStyle w:val="TableText0"/>
              <w:jc w:val="center"/>
              <w:rPr>
                <w:lang w:val="fr-FR"/>
              </w:rPr>
            </w:pPr>
          </w:p>
        </w:tc>
        <w:tc>
          <w:tcPr>
            <w:tcW w:w="1417" w:type="dxa"/>
          </w:tcPr>
          <w:p w14:paraId="34B0424F" w14:textId="1EFEEE46" w:rsidR="003E75D0" w:rsidRPr="00334389" w:rsidRDefault="003E75D0" w:rsidP="002F5D3A">
            <w:pPr>
              <w:pStyle w:val="TableText0"/>
              <w:jc w:val="center"/>
              <w:rPr>
                <w:lang w:val="fr-FR"/>
              </w:rPr>
            </w:pPr>
            <w:r w:rsidRPr="00334389">
              <w:rPr>
                <w:lang w:val="fr-FR"/>
              </w:rPr>
              <w:t>Question H</w:t>
            </w:r>
          </w:p>
        </w:tc>
        <w:tc>
          <w:tcPr>
            <w:tcW w:w="5098" w:type="dxa"/>
          </w:tcPr>
          <w:p w14:paraId="68ECAB83" w14:textId="7D34A7C1" w:rsidR="003E75D0" w:rsidRPr="00334389" w:rsidRDefault="003E75D0" w:rsidP="002F5D3A">
            <w:pPr>
              <w:pStyle w:val="TableText0"/>
              <w:rPr>
                <w:lang w:val="fr-FR"/>
              </w:rPr>
            </w:pPr>
            <w:r w:rsidRPr="00334389">
              <w:rPr>
                <w:lang w:val="fr-FR"/>
              </w:rPr>
              <w:t>Amélioration de la protection des Appendices </w:t>
            </w:r>
            <w:r w:rsidRPr="00334389">
              <w:rPr>
                <w:b/>
                <w:bCs/>
                <w:lang w:val="fr-FR"/>
              </w:rPr>
              <w:t>30/30A</w:t>
            </w:r>
            <w:r w:rsidRPr="00334389">
              <w:rPr>
                <w:lang w:val="fr-FR"/>
              </w:rPr>
              <w:t xml:space="preserve"> du RR dans les Régions 1 et 3 et de l'Appendice </w:t>
            </w:r>
            <w:r w:rsidRPr="00334389">
              <w:rPr>
                <w:b/>
                <w:bCs/>
                <w:lang w:val="fr-FR"/>
              </w:rPr>
              <w:t>30B</w:t>
            </w:r>
            <w:r w:rsidRPr="00334389">
              <w:rPr>
                <w:lang w:val="fr-FR"/>
              </w:rPr>
              <w:t xml:space="preserve"> du RR</w:t>
            </w:r>
          </w:p>
        </w:tc>
        <w:tc>
          <w:tcPr>
            <w:tcW w:w="1276" w:type="dxa"/>
          </w:tcPr>
          <w:p w14:paraId="5A7CA01F" w14:textId="15299218" w:rsidR="003E75D0" w:rsidRPr="00334389" w:rsidRDefault="003E75D0" w:rsidP="002F5D3A">
            <w:pPr>
              <w:pStyle w:val="TableText0"/>
              <w:jc w:val="center"/>
              <w:rPr>
                <w:lang w:val="fr-FR"/>
              </w:rPr>
            </w:pPr>
            <w:r w:rsidRPr="00334389">
              <w:rPr>
                <w:lang w:val="fr-FR"/>
              </w:rPr>
              <w:t>A22-A10</w:t>
            </w:r>
          </w:p>
        </w:tc>
      </w:tr>
      <w:tr w:rsidR="003E75D0" w:rsidRPr="00334389" w14:paraId="55804DD2" w14:textId="77777777" w:rsidTr="008C2769">
        <w:trPr>
          <w:cantSplit/>
          <w:jc w:val="center"/>
        </w:trPr>
        <w:tc>
          <w:tcPr>
            <w:tcW w:w="1702" w:type="dxa"/>
            <w:vMerge/>
          </w:tcPr>
          <w:p w14:paraId="0590E664" w14:textId="77777777" w:rsidR="003E75D0" w:rsidRPr="00334389" w:rsidRDefault="003E75D0" w:rsidP="002F5D3A">
            <w:pPr>
              <w:pStyle w:val="TableText0"/>
              <w:jc w:val="center"/>
              <w:rPr>
                <w:lang w:val="fr-FR"/>
              </w:rPr>
            </w:pPr>
          </w:p>
        </w:tc>
        <w:tc>
          <w:tcPr>
            <w:tcW w:w="1417" w:type="dxa"/>
          </w:tcPr>
          <w:p w14:paraId="22E32D79" w14:textId="0189A4BC" w:rsidR="003E75D0" w:rsidRPr="00334389" w:rsidRDefault="003E75D0" w:rsidP="002F5D3A">
            <w:pPr>
              <w:pStyle w:val="TableText0"/>
              <w:jc w:val="center"/>
              <w:rPr>
                <w:lang w:val="fr-FR"/>
              </w:rPr>
            </w:pPr>
            <w:r w:rsidRPr="00334389">
              <w:rPr>
                <w:lang w:val="fr-FR"/>
              </w:rPr>
              <w:t>Question I</w:t>
            </w:r>
          </w:p>
        </w:tc>
        <w:tc>
          <w:tcPr>
            <w:tcW w:w="5098" w:type="dxa"/>
          </w:tcPr>
          <w:p w14:paraId="005435B4" w14:textId="1F5CD9FF" w:rsidR="003E75D0" w:rsidRPr="00334389" w:rsidRDefault="003E75D0" w:rsidP="002F5D3A">
            <w:pPr>
              <w:pStyle w:val="TableText0"/>
              <w:rPr>
                <w:lang w:val="fr-FR"/>
              </w:rPr>
            </w:pPr>
            <w:r w:rsidRPr="00334389">
              <w:rPr>
                <w:lang w:val="fr-FR"/>
              </w:rPr>
              <w:t>Accords spéciaux en vertu de l'Appendice </w:t>
            </w:r>
            <w:r w:rsidRPr="00334389">
              <w:rPr>
                <w:b/>
                <w:bCs/>
                <w:lang w:val="fr-FR"/>
              </w:rPr>
              <w:t xml:space="preserve">30B </w:t>
            </w:r>
            <w:r w:rsidRPr="00334389">
              <w:rPr>
                <w:lang w:val="fr-FR"/>
              </w:rPr>
              <w:t>du RR</w:t>
            </w:r>
          </w:p>
        </w:tc>
        <w:tc>
          <w:tcPr>
            <w:tcW w:w="1276" w:type="dxa"/>
          </w:tcPr>
          <w:p w14:paraId="399CFD74" w14:textId="28D8FC90" w:rsidR="003E75D0" w:rsidRPr="00334389" w:rsidRDefault="005D19E8" w:rsidP="002F5D3A">
            <w:pPr>
              <w:pStyle w:val="TableText0"/>
              <w:jc w:val="center"/>
              <w:rPr>
                <w:lang w:val="fr-FR"/>
              </w:rPr>
            </w:pPr>
            <w:r w:rsidRPr="00334389">
              <w:rPr>
                <w:lang w:val="fr-FR"/>
              </w:rPr>
              <w:t>Néant</w:t>
            </w:r>
          </w:p>
        </w:tc>
      </w:tr>
      <w:tr w:rsidR="003E75D0" w:rsidRPr="00334389" w14:paraId="141152A1" w14:textId="77777777" w:rsidTr="008C2769">
        <w:trPr>
          <w:cantSplit/>
          <w:jc w:val="center"/>
        </w:trPr>
        <w:tc>
          <w:tcPr>
            <w:tcW w:w="1702" w:type="dxa"/>
            <w:vMerge/>
          </w:tcPr>
          <w:p w14:paraId="41A880A5" w14:textId="77777777" w:rsidR="003E75D0" w:rsidRPr="00334389" w:rsidRDefault="003E75D0" w:rsidP="002F5D3A">
            <w:pPr>
              <w:pStyle w:val="TableText0"/>
              <w:jc w:val="center"/>
              <w:rPr>
                <w:lang w:val="fr-FR"/>
              </w:rPr>
            </w:pPr>
          </w:p>
        </w:tc>
        <w:tc>
          <w:tcPr>
            <w:tcW w:w="1417" w:type="dxa"/>
          </w:tcPr>
          <w:p w14:paraId="785C1E31" w14:textId="3726DCEB" w:rsidR="003E75D0" w:rsidRPr="00334389" w:rsidRDefault="003E75D0" w:rsidP="002F5D3A">
            <w:pPr>
              <w:pStyle w:val="TableText0"/>
              <w:jc w:val="center"/>
              <w:rPr>
                <w:lang w:val="fr-FR"/>
              </w:rPr>
            </w:pPr>
            <w:r w:rsidRPr="00334389">
              <w:rPr>
                <w:lang w:val="fr-FR"/>
              </w:rPr>
              <w:t>Question J</w:t>
            </w:r>
          </w:p>
        </w:tc>
        <w:tc>
          <w:tcPr>
            <w:tcW w:w="5098" w:type="dxa"/>
          </w:tcPr>
          <w:p w14:paraId="00FF3F5B" w14:textId="4E3822C2" w:rsidR="003E75D0" w:rsidRPr="00334389" w:rsidRDefault="003E75D0" w:rsidP="002F5D3A">
            <w:pPr>
              <w:pStyle w:val="TableText0"/>
              <w:rPr>
                <w:lang w:val="fr-FR"/>
              </w:rPr>
            </w:pPr>
            <w:r w:rsidRPr="00334389">
              <w:rPr>
                <w:lang w:val="fr-FR"/>
              </w:rPr>
              <w:t>Modifications apportées à la Résolution </w:t>
            </w:r>
            <w:r w:rsidRPr="00334389">
              <w:rPr>
                <w:b/>
                <w:bCs/>
                <w:lang w:val="fr-FR"/>
              </w:rPr>
              <w:t>76 (Rév.CMR</w:t>
            </w:r>
            <w:r w:rsidRPr="00334389">
              <w:rPr>
                <w:b/>
                <w:bCs/>
                <w:lang w:val="fr-FR"/>
              </w:rPr>
              <w:noBreakHyphen/>
              <w:t>15)</w:t>
            </w:r>
          </w:p>
        </w:tc>
        <w:tc>
          <w:tcPr>
            <w:tcW w:w="1276" w:type="dxa"/>
          </w:tcPr>
          <w:p w14:paraId="5B2E3BC8" w14:textId="275DF296" w:rsidR="003E75D0" w:rsidRPr="00334389" w:rsidRDefault="005D19E8" w:rsidP="002F5D3A">
            <w:pPr>
              <w:pStyle w:val="TableText0"/>
              <w:jc w:val="center"/>
              <w:rPr>
                <w:lang w:val="fr-FR"/>
              </w:rPr>
            </w:pPr>
            <w:r w:rsidRPr="00334389">
              <w:rPr>
                <w:lang w:val="fr-FR"/>
              </w:rPr>
              <w:t>Néant</w:t>
            </w:r>
          </w:p>
        </w:tc>
      </w:tr>
      <w:tr w:rsidR="003E75D0" w:rsidRPr="00334389" w14:paraId="35550EC8" w14:textId="77777777" w:rsidTr="008C2769">
        <w:trPr>
          <w:cantSplit/>
          <w:jc w:val="center"/>
        </w:trPr>
        <w:tc>
          <w:tcPr>
            <w:tcW w:w="1702" w:type="dxa"/>
            <w:vMerge/>
          </w:tcPr>
          <w:p w14:paraId="70E281BF" w14:textId="77777777" w:rsidR="003E75D0" w:rsidRPr="00334389" w:rsidRDefault="003E75D0" w:rsidP="002F5D3A">
            <w:pPr>
              <w:pStyle w:val="TableText0"/>
              <w:jc w:val="center"/>
              <w:rPr>
                <w:lang w:val="fr-FR"/>
              </w:rPr>
            </w:pPr>
          </w:p>
        </w:tc>
        <w:tc>
          <w:tcPr>
            <w:tcW w:w="1417" w:type="dxa"/>
          </w:tcPr>
          <w:p w14:paraId="3C9875FF" w14:textId="3D078489" w:rsidR="003E75D0" w:rsidRPr="00334389" w:rsidRDefault="003E75D0" w:rsidP="002F5D3A">
            <w:pPr>
              <w:pStyle w:val="TableText0"/>
              <w:jc w:val="center"/>
              <w:rPr>
                <w:lang w:val="fr-FR"/>
              </w:rPr>
            </w:pPr>
            <w:r w:rsidRPr="00334389">
              <w:rPr>
                <w:lang w:val="fr-FR"/>
              </w:rPr>
              <w:t>Question K</w:t>
            </w:r>
          </w:p>
        </w:tc>
        <w:tc>
          <w:tcPr>
            <w:tcW w:w="5098" w:type="dxa"/>
          </w:tcPr>
          <w:p w14:paraId="3FF389FC" w14:textId="72C0AF7C" w:rsidR="003E75D0" w:rsidRPr="00334389" w:rsidRDefault="003E75D0" w:rsidP="002F5D3A">
            <w:pPr>
              <w:pStyle w:val="TableText0"/>
              <w:rPr>
                <w:lang w:val="fr-FR"/>
              </w:rPr>
            </w:pPr>
            <w:r w:rsidRPr="00334389">
              <w:rPr>
                <w:lang w:val="fr-FR"/>
              </w:rPr>
              <w:t>Modification de la Résolution </w:t>
            </w:r>
            <w:r w:rsidRPr="00334389">
              <w:rPr>
                <w:b/>
                <w:bCs/>
                <w:lang w:val="fr-FR"/>
              </w:rPr>
              <w:t>553 (Rév.CMR</w:t>
            </w:r>
            <w:r w:rsidRPr="00334389">
              <w:rPr>
                <w:b/>
                <w:bCs/>
                <w:lang w:val="fr-FR"/>
              </w:rPr>
              <w:noBreakHyphen/>
              <w:t>15)</w:t>
            </w:r>
          </w:p>
        </w:tc>
        <w:tc>
          <w:tcPr>
            <w:tcW w:w="1276" w:type="dxa"/>
          </w:tcPr>
          <w:p w14:paraId="7D0153EC" w14:textId="5A3028E7" w:rsidR="003E75D0" w:rsidRPr="00334389" w:rsidRDefault="005D19E8" w:rsidP="002F5D3A">
            <w:pPr>
              <w:pStyle w:val="TableText0"/>
              <w:jc w:val="center"/>
              <w:rPr>
                <w:lang w:val="fr-FR"/>
              </w:rPr>
            </w:pPr>
            <w:r w:rsidRPr="00334389">
              <w:rPr>
                <w:lang w:val="fr-FR"/>
              </w:rPr>
              <w:t>Néant</w:t>
            </w:r>
          </w:p>
        </w:tc>
      </w:tr>
      <w:tr w:rsidR="003E75D0" w:rsidRPr="00334389" w14:paraId="12E45DAB" w14:textId="77777777" w:rsidTr="008C2769">
        <w:trPr>
          <w:cantSplit/>
          <w:jc w:val="center"/>
        </w:trPr>
        <w:tc>
          <w:tcPr>
            <w:tcW w:w="1702" w:type="dxa"/>
          </w:tcPr>
          <w:p w14:paraId="4375C9A1" w14:textId="77777777" w:rsidR="003E75D0" w:rsidRPr="00334389" w:rsidRDefault="003E75D0" w:rsidP="002F5D3A">
            <w:pPr>
              <w:pStyle w:val="TableText0"/>
              <w:jc w:val="center"/>
              <w:rPr>
                <w:lang w:val="fr-FR"/>
              </w:rPr>
            </w:pPr>
            <w:r w:rsidRPr="00334389">
              <w:rPr>
                <w:lang w:val="fr-FR"/>
              </w:rPr>
              <w:t>8</w:t>
            </w:r>
          </w:p>
        </w:tc>
        <w:tc>
          <w:tcPr>
            <w:tcW w:w="1417" w:type="dxa"/>
          </w:tcPr>
          <w:p w14:paraId="18C50241" w14:textId="77777777" w:rsidR="003E75D0" w:rsidRPr="00334389" w:rsidRDefault="003E75D0" w:rsidP="002F5D3A">
            <w:pPr>
              <w:pStyle w:val="TableText0"/>
              <w:jc w:val="center"/>
              <w:rPr>
                <w:lang w:val="fr-FR"/>
              </w:rPr>
            </w:pPr>
          </w:p>
        </w:tc>
        <w:tc>
          <w:tcPr>
            <w:tcW w:w="5098" w:type="dxa"/>
          </w:tcPr>
          <w:p w14:paraId="58F42624" w14:textId="6150CA40" w:rsidR="003E75D0" w:rsidRPr="00334389" w:rsidRDefault="003E75D0" w:rsidP="002F5D3A">
            <w:pPr>
              <w:pStyle w:val="TableText0"/>
              <w:rPr>
                <w:lang w:val="fr-FR"/>
              </w:rPr>
            </w:pPr>
            <w:r w:rsidRPr="00334389">
              <w:rPr>
                <w:lang w:val="fr-FR"/>
              </w:rPr>
              <w:t>examiner les demandes des administrations qui souhaitent supprimer des renvois relatifs à leur pays ou le nom de leur pays de certains renvois, s'ils ne sont plus nécessaires, compte tenu de la Résolution </w:t>
            </w:r>
            <w:r w:rsidRPr="00334389">
              <w:rPr>
                <w:b/>
                <w:bCs/>
                <w:lang w:val="fr-FR"/>
              </w:rPr>
              <w:t>26</w:t>
            </w:r>
            <w:r w:rsidR="009C7D89" w:rsidRPr="00334389">
              <w:rPr>
                <w:b/>
                <w:bCs/>
                <w:lang w:val="fr-FR"/>
              </w:rPr>
              <w:t xml:space="preserve"> </w:t>
            </w:r>
            <w:r w:rsidRPr="00334389">
              <w:rPr>
                <w:b/>
                <w:bCs/>
                <w:lang w:val="fr-FR"/>
              </w:rPr>
              <w:t>(Rév.CMR-19)</w:t>
            </w:r>
            <w:r w:rsidRPr="00334389">
              <w:rPr>
                <w:lang w:val="fr-FR"/>
              </w:rPr>
              <w:t>, et prendre les mesures voulues à ce sujet;</w:t>
            </w:r>
          </w:p>
        </w:tc>
        <w:tc>
          <w:tcPr>
            <w:tcW w:w="1276" w:type="dxa"/>
          </w:tcPr>
          <w:p w14:paraId="29682B91" w14:textId="049DF98B" w:rsidR="003E75D0" w:rsidRPr="00334389" w:rsidRDefault="005D19E8" w:rsidP="002F5D3A">
            <w:pPr>
              <w:pStyle w:val="TableText0"/>
              <w:jc w:val="center"/>
              <w:rPr>
                <w:lang w:val="fr-FR"/>
              </w:rPr>
            </w:pPr>
            <w:r w:rsidRPr="00334389">
              <w:rPr>
                <w:lang w:val="fr-FR"/>
              </w:rPr>
              <w:t>Néant</w:t>
            </w:r>
          </w:p>
        </w:tc>
      </w:tr>
      <w:tr w:rsidR="009C7D89" w:rsidRPr="00334389" w14:paraId="721AC509" w14:textId="77777777" w:rsidTr="008C2769">
        <w:trPr>
          <w:cantSplit/>
          <w:jc w:val="center"/>
        </w:trPr>
        <w:tc>
          <w:tcPr>
            <w:tcW w:w="1702" w:type="dxa"/>
            <w:vMerge w:val="restart"/>
          </w:tcPr>
          <w:p w14:paraId="522D90AD" w14:textId="16726E70" w:rsidR="009C7D89" w:rsidRPr="00334389" w:rsidRDefault="009C7D89" w:rsidP="002F5D3A">
            <w:pPr>
              <w:pStyle w:val="TableText0"/>
              <w:jc w:val="center"/>
              <w:rPr>
                <w:lang w:val="fr-FR"/>
              </w:rPr>
            </w:pPr>
            <w:r w:rsidRPr="00334389">
              <w:rPr>
                <w:lang w:val="fr-FR"/>
              </w:rPr>
              <w:t>9</w:t>
            </w:r>
          </w:p>
        </w:tc>
        <w:tc>
          <w:tcPr>
            <w:tcW w:w="1417" w:type="dxa"/>
          </w:tcPr>
          <w:p w14:paraId="39141976" w14:textId="77777777" w:rsidR="009C7D89" w:rsidRPr="00334389" w:rsidRDefault="009C7D89" w:rsidP="002F5D3A">
            <w:pPr>
              <w:pStyle w:val="TableText0"/>
              <w:jc w:val="center"/>
              <w:rPr>
                <w:lang w:val="fr-FR"/>
              </w:rPr>
            </w:pPr>
          </w:p>
        </w:tc>
        <w:tc>
          <w:tcPr>
            <w:tcW w:w="5098" w:type="dxa"/>
          </w:tcPr>
          <w:p w14:paraId="53218AD3" w14:textId="10B89420" w:rsidR="009C7D89" w:rsidRPr="00334389" w:rsidRDefault="009C7D89" w:rsidP="002F5D3A">
            <w:pPr>
              <w:pStyle w:val="TableText0"/>
              <w:rPr>
                <w:lang w:val="fr-FR"/>
              </w:rPr>
            </w:pPr>
            <w:r w:rsidRPr="00334389">
              <w:rPr>
                <w:lang w:val="fr-FR"/>
              </w:rPr>
              <w:t>examiner et approuver le rapport du Directeur du Bureau des radiocommunications, conformément à l'article 7 de la Convention de l'UIT;</w:t>
            </w:r>
          </w:p>
        </w:tc>
        <w:tc>
          <w:tcPr>
            <w:tcW w:w="1276" w:type="dxa"/>
          </w:tcPr>
          <w:p w14:paraId="48D79B04" w14:textId="77777777" w:rsidR="009C7D89" w:rsidRPr="00334389" w:rsidRDefault="009C7D89" w:rsidP="002F5D3A">
            <w:pPr>
              <w:pStyle w:val="TableText0"/>
              <w:jc w:val="center"/>
              <w:rPr>
                <w:lang w:val="fr-FR"/>
              </w:rPr>
            </w:pPr>
          </w:p>
        </w:tc>
      </w:tr>
      <w:tr w:rsidR="009C7D89" w:rsidRPr="00334389" w14:paraId="0B21CAE5" w14:textId="77777777" w:rsidTr="008C2769">
        <w:trPr>
          <w:cantSplit/>
          <w:jc w:val="center"/>
        </w:trPr>
        <w:tc>
          <w:tcPr>
            <w:tcW w:w="1702" w:type="dxa"/>
            <w:vMerge/>
          </w:tcPr>
          <w:p w14:paraId="5B5F749B" w14:textId="77777777" w:rsidR="009C7D89" w:rsidRPr="00334389" w:rsidRDefault="009C7D89" w:rsidP="002F5D3A">
            <w:pPr>
              <w:pStyle w:val="TableText0"/>
              <w:jc w:val="center"/>
              <w:rPr>
                <w:lang w:val="fr-FR"/>
              </w:rPr>
            </w:pPr>
          </w:p>
        </w:tc>
        <w:tc>
          <w:tcPr>
            <w:tcW w:w="1417" w:type="dxa"/>
          </w:tcPr>
          <w:p w14:paraId="78095571" w14:textId="610AC628" w:rsidR="009C7D89" w:rsidRPr="00334389" w:rsidRDefault="009C7D89" w:rsidP="002F5D3A">
            <w:pPr>
              <w:pStyle w:val="TableText0"/>
              <w:jc w:val="center"/>
              <w:rPr>
                <w:lang w:val="fr-FR"/>
              </w:rPr>
            </w:pPr>
            <w:r w:rsidRPr="00334389">
              <w:rPr>
                <w:lang w:val="fr-FR"/>
              </w:rPr>
              <w:t>9.1</w:t>
            </w:r>
          </w:p>
        </w:tc>
        <w:tc>
          <w:tcPr>
            <w:tcW w:w="5098" w:type="dxa"/>
          </w:tcPr>
          <w:p w14:paraId="191FC8EA" w14:textId="5AB296E9" w:rsidR="009C7D89" w:rsidRPr="00334389" w:rsidRDefault="009C7D89" w:rsidP="002F5D3A">
            <w:pPr>
              <w:pStyle w:val="TableText0"/>
              <w:rPr>
                <w:lang w:val="fr-FR"/>
              </w:rPr>
            </w:pPr>
            <w:r w:rsidRPr="00334389">
              <w:rPr>
                <w:lang w:val="fr-FR"/>
              </w:rPr>
              <w:t>sur les activités du Secteur des radiocommunications de l'UIT depuis la CMR</w:t>
            </w:r>
            <w:r w:rsidRPr="00334389">
              <w:rPr>
                <w:lang w:val="fr-FR"/>
              </w:rPr>
              <w:noBreakHyphen/>
              <w:t>19;</w:t>
            </w:r>
          </w:p>
        </w:tc>
        <w:tc>
          <w:tcPr>
            <w:tcW w:w="1276" w:type="dxa"/>
          </w:tcPr>
          <w:p w14:paraId="736B6C08" w14:textId="217C5C91" w:rsidR="009C7D89" w:rsidRPr="00334389" w:rsidRDefault="009C7D89" w:rsidP="002F5D3A">
            <w:pPr>
              <w:pStyle w:val="TableText0"/>
              <w:jc w:val="center"/>
              <w:rPr>
                <w:lang w:val="fr-FR"/>
              </w:rPr>
            </w:pPr>
          </w:p>
        </w:tc>
      </w:tr>
      <w:tr w:rsidR="009C7D89" w:rsidRPr="00334389" w14:paraId="435B1CCB" w14:textId="77777777" w:rsidTr="008C2769">
        <w:trPr>
          <w:cantSplit/>
          <w:jc w:val="center"/>
        </w:trPr>
        <w:tc>
          <w:tcPr>
            <w:tcW w:w="1702" w:type="dxa"/>
            <w:vMerge/>
          </w:tcPr>
          <w:p w14:paraId="1ED70F49" w14:textId="77777777" w:rsidR="009C7D89" w:rsidRPr="00334389" w:rsidRDefault="009C7D89" w:rsidP="002F5D3A">
            <w:pPr>
              <w:pStyle w:val="TableText0"/>
              <w:jc w:val="center"/>
              <w:rPr>
                <w:lang w:val="fr-FR"/>
              </w:rPr>
            </w:pPr>
          </w:p>
        </w:tc>
        <w:tc>
          <w:tcPr>
            <w:tcW w:w="1417" w:type="dxa"/>
          </w:tcPr>
          <w:p w14:paraId="3B722DED" w14:textId="066C7357" w:rsidR="009C7D89" w:rsidRPr="00334389" w:rsidRDefault="009C7D89" w:rsidP="002F5D3A">
            <w:pPr>
              <w:pStyle w:val="TableText0"/>
              <w:jc w:val="center"/>
              <w:rPr>
                <w:lang w:val="fr-FR"/>
              </w:rPr>
            </w:pPr>
            <w:r w:rsidRPr="00334389">
              <w:rPr>
                <w:lang w:val="fr-FR"/>
              </w:rPr>
              <w:t>9.1a</w:t>
            </w:r>
          </w:p>
        </w:tc>
        <w:tc>
          <w:tcPr>
            <w:tcW w:w="5098" w:type="dxa"/>
          </w:tcPr>
          <w:p w14:paraId="26589EBD" w14:textId="39B83FAF" w:rsidR="009C7D89" w:rsidRPr="00334389" w:rsidRDefault="009C7D89" w:rsidP="009808B1">
            <w:pPr>
              <w:pStyle w:val="TableText0"/>
              <w:rPr>
                <w:lang w:val="fr-FR"/>
              </w:rPr>
            </w:pPr>
            <w:r w:rsidRPr="00334389">
              <w:rPr>
                <w:lang w:val="fr-FR"/>
              </w:rPr>
              <w:t>conformément à la Résolution </w:t>
            </w:r>
            <w:r w:rsidRPr="00334389">
              <w:rPr>
                <w:b/>
                <w:bCs/>
                <w:lang w:val="fr-FR"/>
              </w:rPr>
              <w:t>657 (Rév.CMR</w:t>
            </w:r>
            <w:r w:rsidRPr="00334389">
              <w:rPr>
                <w:b/>
                <w:bCs/>
                <w:lang w:val="fr-FR"/>
              </w:rPr>
              <w:noBreakHyphen/>
              <w:t>19),</w:t>
            </w:r>
            <w:r w:rsidRPr="00334389">
              <w:rPr>
                <w:lang w:val="fr-FR"/>
              </w:rPr>
              <w:t xml:space="preserve"> examiner les résultats des études relatives aux caractéristiques techniques et opérationnelles et aux besoins de spectre des capteurs de météorologie spatiale, ainsi qu'aux désignations de service de radiocommunication qui conviennent pour ces capteurs, afin qu'ils bénéficient d'une reconnaissance et d'une protection appropriées dans le Règlement des radiocommunications, sans imposer de contraintes additionnelles aux services existants;</w:t>
            </w:r>
          </w:p>
        </w:tc>
        <w:tc>
          <w:tcPr>
            <w:tcW w:w="1276" w:type="dxa"/>
          </w:tcPr>
          <w:p w14:paraId="30CE70A2" w14:textId="2BF868A9" w:rsidR="009C7D89" w:rsidRPr="00334389" w:rsidRDefault="009C7D89" w:rsidP="002F5D3A">
            <w:pPr>
              <w:pStyle w:val="TableText0"/>
              <w:jc w:val="center"/>
              <w:rPr>
                <w:lang w:val="fr-FR"/>
              </w:rPr>
            </w:pPr>
            <w:r w:rsidRPr="00334389">
              <w:rPr>
                <w:lang w:val="fr-FR"/>
              </w:rPr>
              <w:t>A24-A1</w:t>
            </w:r>
          </w:p>
        </w:tc>
      </w:tr>
      <w:tr w:rsidR="009C7D89" w:rsidRPr="00334389" w14:paraId="62EB7FD3" w14:textId="77777777" w:rsidTr="008C2769">
        <w:trPr>
          <w:cantSplit/>
          <w:jc w:val="center"/>
        </w:trPr>
        <w:tc>
          <w:tcPr>
            <w:tcW w:w="1702" w:type="dxa"/>
            <w:vMerge/>
          </w:tcPr>
          <w:p w14:paraId="7A2229F0" w14:textId="0B94751D" w:rsidR="009C7D89" w:rsidRPr="00334389" w:rsidRDefault="009C7D89" w:rsidP="002F5D3A">
            <w:pPr>
              <w:pStyle w:val="TableText0"/>
              <w:jc w:val="center"/>
              <w:rPr>
                <w:lang w:val="fr-FR"/>
              </w:rPr>
            </w:pPr>
          </w:p>
        </w:tc>
        <w:tc>
          <w:tcPr>
            <w:tcW w:w="1417" w:type="dxa"/>
          </w:tcPr>
          <w:p w14:paraId="0BAFE323" w14:textId="3C28E82A" w:rsidR="009C7D89" w:rsidRPr="00334389" w:rsidRDefault="009C7D89" w:rsidP="002F5D3A">
            <w:pPr>
              <w:pStyle w:val="TableText0"/>
              <w:jc w:val="center"/>
              <w:rPr>
                <w:lang w:val="fr-FR"/>
              </w:rPr>
            </w:pPr>
            <w:r w:rsidRPr="00334389">
              <w:rPr>
                <w:lang w:val="fr-FR"/>
              </w:rPr>
              <w:t>9.1b</w:t>
            </w:r>
          </w:p>
        </w:tc>
        <w:tc>
          <w:tcPr>
            <w:tcW w:w="5098" w:type="dxa"/>
          </w:tcPr>
          <w:p w14:paraId="75A96E6F" w14:textId="3072FE6B" w:rsidR="009C7D89" w:rsidRPr="00334389" w:rsidRDefault="009C7D89" w:rsidP="009808B1">
            <w:pPr>
              <w:pStyle w:val="TableText0"/>
              <w:rPr>
                <w:lang w:val="fr-FR"/>
              </w:rPr>
            </w:pPr>
            <w:r w:rsidRPr="00334389">
              <w:rPr>
                <w:lang w:val="fr-FR"/>
              </w:rPr>
              <w:t>examiner les attributions au service d'amateur et au service d'amateur par satellite dans la bande de fréquences 1 240-1 300 MHz, afin de déterminer si des mesures additionnelles doivent être prises pour garantir la protection du service de radionavigation par satellite (espace vers Terre) fonctionnant dans la même bande de fréquences, conformément à la Résolution </w:t>
            </w:r>
            <w:r w:rsidRPr="00334389">
              <w:rPr>
                <w:b/>
                <w:bCs/>
                <w:lang w:val="fr-FR"/>
              </w:rPr>
              <w:t>774 (CMR</w:t>
            </w:r>
            <w:r w:rsidRPr="00334389">
              <w:rPr>
                <w:b/>
                <w:bCs/>
                <w:lang w:val="fr-FR"/>
              </w:rPr>
              <w:noBreakHyphen/>
              <w:t>19)</w:t>
            </w:r>
            <w:r w:rsidRPr="00334389">
              <w:rPr>
                <w:lang w:val="fr-FR"/>
              </w:rPr>
              <w:t>;</w:t>
            </w:r>
          </w:p>
        </w:tc>
        <w:tc>
          <w:tcPr>
            <w:tcW w:w="1276" w:type="dxa"/>
          </w:tcPr>
          <w:p w14:paraId="7FFE856B" w14:textId="61E71F41" w:rsidR="009C7D89" w:rsidRPr="00334389" w:rsidRDefault="009C7D89" w:rsidP="002F5D3A">
            <w:pPr>
              <w:pStyle w:val="TableText0"/>
              <w:jc w:val="center"/>
              <w:rPr>
                <w:lang w:val="fr-FR"/>
              </w:rPr>
            </w:pPr>
            <w:r w:rsidRPr="00334389">
              <w:rPr>
                <w:lang w:val="fr-FR"/>
              </w:rPr>
              <w:t>A24-A2</w:t>
            </w:r>
          </w:p>
        </w:tc>
      </w:tr>
      <w:tr w:rsidR="009C7D89" w:rsidRPr="00334389" w14:paraId="57A1C33D" w14:textId="77777777" w:rsidTr="008C2769">
        <w:trPr>
          <w:cantSplit/>
          <w:jc w:val="center"/>
        </w:trPr>
        <w:tc>
          <w:tcPr>
            <w:tcW w:w="1702" w:type="dxa"/>
            <w:vMerge/>
          </w:tcPr>
          <w:p w14:paraId="7F93AA66" w14:textId="0D94E057" w:rsidR="009C7D89" w:rsidRPr="00334389" w:rsidRDefault="009C7D89" w:rsidP="002F5D3A">
            <w:pPr>
              <w:pStyle w:val="TableText0"/>
              <w:jc w:val="center"/>
              <w:rPr>
                <w:lang w:val="fr-FR"/>
              </w:rPr>
            </w:pPr>
          </w:p>
        </w:tc>
        <w:tc>
          <w:tcPr>
            <w:tcW w:w="1417" w:type="dxa"/>
          </w:tcPr>
          <w:p w14:paraId="5EFD08B5" w14:textId="2EDA73B0" w:rsidR="009C7D89" w:rsidRPr="00334389" w:rsidRDefault="009C7D89" w:rsidP="002F5D3A">
            <w:pPr>
              <w:pStyle w:val="TableText0"/>
              <w:jc w:val="center"/>
              <w:rPr>
                <w:lang w:val="fr-FR"/>
              </w:rPr>
            </w:pPr>
            <w:r w:rsidRPr="00334389">
              <w:rPr>
                <w:lang w:val="fr-FR"/>
              </w:rPr>
              <w:t>9.1c</w:t>
            </w:r>
          </w:p>
        </w:tc>
        <w:tc>
          <w:tcPr>
            <w:tcW w:w="5098" w:type="dxa"/>
          </w:tcPr>
          <w:p w14:paraId="2C43F91F" w14:textId="6B54E204" w:rsidR="009C7D89" w:rsidRPr="00334389" w:rsidRDefault="009C7D89" w:rsidP="009808B1">
            <w:pPr>
              <w:pStyle w:val="TableText0"/>
              <w:rPr>
                <w:lang w:val="fr-FR"/>
              </w:rPr>
            </w:pPr>
            <w:r w:rsidRPr="00334389">
              <w:rPr>
                <w:lang w:val="fr-FR"/>
              </w:rPr>
              <w:t>étudier l'utilisation des systèmes de Télécommunications mobiles internationales pour le large bande hertzien fixe dans les bandes de fréquences attribuées au service fixe à titre primaire, conformément à la Résolution </w:t>
            </w:r>
            <w:r w:rsidRPr="00334389">
              <w:rPr>
                <w:b/>
                <w:bCs/>
                <w:lang w:val="fr-FR"/>
              </w:rPr>
              <w:t>175 (CMR</w:t>
            </w:r>
            <w:r w:rsidRPr="00334389">
              <w:rPr>
                <w:b/>
                <w:bCs/>
                <w:lang w:val="fr-FR"/>
              </w:rPr>
              <w:noBreakHyphen/>
              <w:t>19)</w:t>
            </w:r>
            <w:r w:rsidRPr="00334389">
              <w:rPr>
                <w:lang w:val="fr-FR"/>
              </w:rPr>
              <w:t>;</w:t>
            </w:r>
          </w:p>
        </w:tc>
        <w:tc>
          <w:tcPr>
            <w:tcW w:w="1276" w:type="dxa"/>
          </w:tcPr>
          <w:p w14:paraId="46B8ED48" w14:textId="0F5A5136" w:rsidR="009C7D89" w:rsidRPr="00334389" w:rsidRDefault="009C7D89" w:rsidP="002F5D3A">
            <w:pPr>
              <w:pStyle w:val="TableText0"/>
              <w:jc w:val="center"/>
              <w:rPr>
                <w:lang w:val="fr-FR"/>
              </w:rPr>
            </w:pPr>
            <w:r w:rsidRPr="00334389">
              <w:rPr>
                <w:lang w:val="fr-FR"/>
              </w:rPr>
              <w:t>A24-A3</w:t>
            </w:r>
          </w:p>
        </w:tc>
      </w:tr>
      <w:tr w:rsidR="009C7D89" w:rsidRPr="00334389" w14:paraId="3E9FD2EF" w14:textId="77777777" w:rsidTr="008C2769">
        <w:trPr>
          <w:cantSplit/>
          <w:jc w:val="center"/>
        </w:trPr>
        <w:tc>
          <w:tcPr>
            <w:tcW w:w="1702" w:type="dxa"/>
            <w:vMerge/>
          </w:tcPr>
          <w:p w14:paraId="73CBCDA7" w14:textId="236F12F8" w:rsidR="009C7D89" w:rsidRPr="00334389" w:rsidRDefault="009C7D89" w:rsidP="002F5D3A">
            <w:pPr>
              <w:pStyle w:val="TableText0"/>
              <w:jc w:val="center"/>
              <w:rPr>
                <w:lang w:val="fr-FR"/>
              </w:rPr>
            </w:pPr>
          </w:p>
        </w:tc>
        <w:tc>
          <w:tcPr>
            <w:tcW w:w="1417" w:type="dxa"/>
          </w:tcPr>
          <w:p w14:paraId="6C9D7F58" w14:textId="6912ACC4" w:rsidR="009C7D89" w:rsidRPr="00334389" w:rsidRDefault="009C7D89" w:rsidP="002F5D3A">
            <w:pPr>
              <w:pStyle w:val="TableText0"/>
              <w:jc w:val="center"/>
              <w:rPr>
                <w:lang w:val="fr-FR"/>
              </w:rPr>
            </w:pPr>
            <w:r w:rsidRPr="00334389">
              <w:rPr>
                <w:lang w:val="fr-FR"/>
              </w:rPr>
              <w:t>9.1d</w:t>
            </w:r>
          </w:p>
        </w:tc>
        <w:tc>
          <w:tcPr>
            <w:tcW w:w="5098" w:type="dxa"/>
          </w:tcPr>
          <w:p w14:paraId="712B4096" w14:textId="60C3618B" w:rsidR="009C7D89" w:rsidRPr="00334389" w:rsidRDefault="009C7D89" w:rsidP="009808B1">
            <w:pPr>
              <w:pStyle w:val="TableText0"/>
              <w:rPr>
                <w:lang w:val="fr-FR"/>
              </w:rPr>
            </w:pPr>
            <w:r w:rsidRPr="00334389">
              <w:rPr>
                <w:lang w:val="fr-FR"/>
              </w:rPr>
              <w:t>protection du SETS (passive) dans la bande de fréquences 36-37 GHz vis-à-vis des stations spatiales du SFS non OSG;**</w:t>
            </w:r>
          </w:p>
        </w:tc>
        <w:tc>
          <w:tcPr>
            <w:tcW w:w="1276" w:type="dxa"/>
          </w:tcPr>
          <w:p w14:paraId="3235C714" w14:textId="77777777" w:rsidR="009C7D89" w:rsidRPr="00334389" w:rsidRDefault="009C7D89" w:rsidP="002F5D3A">
            <w:pPr>
              <w:pStyle w:val="TableText0"/>
              <w:jc w:val="center"/>
              <w:rPr>
                <w:lang w:val="fr-FR"/>
              </w:rPr>
            </w:pPr>
            <w:r w:rsidRPr="00334389">
              <w:rPr>
                <w:lang w:val="fr-FR"/>
              </w:rPr>
              <w:t>A24-A4</w:t>
            </w:r>
          </w:p>
          <w:p w14:paraId="2359B0CE" w14:textId="3AF7FD12" w:rsidR="009C7D89" w:rsidRPr="00334389" w:rsidRDefault="009C7D89" w:rsidP="002F5D3A">
            <w:pPr>
              <w:pStyle w:val="TableText0"/>
              <w:jc w:val="center"/>
              <w:rPr>
                <w:lang w:val="fr-FR"/>
              </w:rPr>
            </w:pPr>
          </w:p>
        </w:tc>
      </w:tr>
      <w:tr w:rsidR="009C7D89" w:rsidRPr="00334389" w14:paraId="4EF24AAA" w14:textId="77777777" w:rsidTr="008C2769">
        <w:trPr>
          <w:cantSplit/>
          <w:jc w:val="center"/>
        </w:trPr>
        <w:tc>
          <w:tcPr>
            <w:tcW w:w="1702" w:type="dxa"/>
            <w:vMerge/>
          </w:tcPr>
          <w:p w14:paraId="169E1AC8" w14:textId="77777777" w:rsidR="009C7D89" w:rsidRPr="00334389" w:rsidRDefault="009C7D89" w:rsidP="002F5D3A">
            <w:pPr>
              <w:pStyle w:val="TableText0"/>
              <w:jc w:val="center"/>
              <w:rPr>
                <w:lang w:val="fr-FR"/>
              </w:rPr>
            </w:pPr>
          </w:p>
        </w:tc>
        <w:tc>
          <w:tcPr>
            <w:tcW w:w="1417" w:type="dxa"/>
          </w:tcPr>
          <w:p w14:paraId="4A76392E" w14:textId="4385FB50" w:rsidR="009C7D89" w:rsidRPr="00334389" w:rsidRDefault="009C7D89" w:rsidP="002F5D3A">
            <w:pPr>
              <w:pStyle w:val="TableText0"/>
              <w:jc w:val="center"/>
              <w:rPr>
                <w:lang w:val="fr-FR"/>
              </w:rPr>
            </w:pPr>
            <w:r w:rsidRPr="00334389">
              <w:rPr>
                <w:lang w:val="fr-FR"/>
              </w:rPr>
              <w:t>Rés. </w:t>
            </w:r>
            <w:r w:rsidRPr="00334389">
              <w:rPr>
                <w:b/>
                <w:bCs/>
                <w:lang w:val="fr-FR"/>
              </w:rPr>
              <w:t>427 (CMR</w:t>
            </w:r>
            <w:r w:rsidRPr="00334389">
              <w:rPr>
                <w:b/>
                <w:bCs/>
                <w:lang w:val="fr-FR"/>
              </w:rPr>
              <w:noBreakHyphen/>
              <w:t>19)</w:t>
            </w:r>
          </w:p>
        </w:tc>
        <w:tc>
          <w:tcPr>
            <w:tcW w:w="5098" w:type="dxa"/>
          </w:tcPr>
          <w:p w14:paraId="347C8156" w14:textId="78ACB05D" w:rsidR="009C7D89" w:rsidRPr="00334389" w:rsidRDefault="009C7D89" w:rsidP="002F5D3A">
            <w:pPr>
              <w:pStyle w:val="TableText0"/>
              <w:rPr>
                <w:i/>
                <w:iCs/>
                <w:lang w:val="fr-FR"/>
              </w:rPr>
            </w:pPr>
            <w:r w:rsidRPr="00334389">
              <w:rPr>
                <w:i/>
                <w:iCs/>
                <w:lang w:val="fr-FR"/>
              </w:rPr>
              <w:t>à étudier les Articles, en se limitant aux Chapitres IV, V, VI et VIII du Volume 1, du Règlement des radiocommunications ainsi que les Appendices associés, selon qu'il conviendra, afin de recenser les dispositions obsolètes relatives aux services aéronautiques eu égard aux normes et pratiques recommandées de l'OACI et d'élaborer des exemples de textes réglementaires pour mettre à jour ces dispositions, tout en veillant à ce que les modifications éventuelles apportées aux dispositions en question n'aient pas d'incidences sur les autres systèmes ou services fonctionnant conformément au Règlement des radiocommunications;</w:t>
            </w:r>
          </w:p>
        </w:tc>
        <w:tc>
          <w:tcPr>
            <w:tcW w:w="1276" w:type="dxa"/>
          </w:tcPr>
          <w:p w14:paraId="277AA21A" w14:textId="3B7AF1E2" w:rsidR="009C7D89" w:rsidRPr="00334389" w:rsidRDefault="009C7D89" w:rsidP="002F5D3A">
            <w:pPr>
              <w:pStyle w:val="TableText0"/>
              <w:jc w:val="center"/>
              <w:rPr>
                <w:lang w:val="fr-FR"/>
              </w:rPr>
            </w:pPr>
            <w:r w:rsidRPr="00334389">
              <w:rPr>
                <w:lang w:val="fr-FR"/>
              </w:rPr>
              <w:t>Néant</w:t>
            </w:r>
          </w:p>
        </w:tc>
      </w:tr>
      <w:tr w:rsidR="009C7D89" w:rsidRPr="00334389" w14:paraId="6342ED0E" w14:textId="77777777" w:rsidTr="008C2769">
        <w:trPr>
          <w:cantSplit/>
          <w:jc w:val="center"/>
        </w:trPr>
        <w:tc>
          <w:tcPr>
            <w:tcW w:w="1702" w:type="dxa"/>
            <w:vMerge/>
          </w:tcPr>
          <w:p w14:paraId="7F486FFF" w14:textId="77777777" w:rsidR="009C7D89" w:rsidRPr="00334389" w:rsidRDefault="009C7D89" w:rsidP="002F5D3A">
            <w:pPr>
              <w:pStyle w:val="TableText0"/>
              <w:jc w:val="center"/>
              <w:rPr>
                <w:lang w:val="fr-FR"/>
              </w:rPr>
            </w:pPr>
          </w:p>
        </w:tc>
        <w:tc>
          <w:tcPr>
            <w:tcW w:w="1417" w:type="dxa"/>
          </w:tcPr>
          <w:p w14:paraId="18FD7FCD" w14:textId="56B0DE22" w:rsidR="009C7D89" w:rsidRPr="00334389" w:rsidRDefault="009C7D89" w:rsidP="002F5D3A">
            <w:pPr>
              <w:pStyle w:val="TableText0"/>
              <w:jc w:val="center"/>
              <w:rPr>
                <w:lang w:val="fr-FR"/>
              </w:rPr>
            </w:pPr>
            <w:r w:rsidRPr="00334389">
              <w:rPr>
                <w:lang w:val="fr-FR"/>
              </w:rPr>
              <w:t>Rés. </w:t>
            </w:r>
            <w:r w:rsidRPr="00334389">
              <w:rPr>
                <w:b/>
                <w:bCs/>
                <w:lang w:val="fr-FR"/>
              </w:rPr>
              <w:t>655 (CMR</w:t>
            </w:r>
            <w:r w:rsidRPr="00334389">
              <w:rPr>
                <w:b/>
                <w:bCs/>
                <w:lang w:val="fr-FR"/>
              </w:rPr>
              <w:noBreakHyphen/>
              <w:t>15)</w:t>
            </w:r>
          </w:p>
        </w:tc>
        <w:tc>
          <w:tcPr>
            <w:tcW w:w="5098" w:type="dxa"/>
          </w:tcPr>
          <w:p w14:paraId="501CA02E" w14:textId="6749051D" w:rsidR="009C7D89" w:rsidRPr="00334389" w:rsidRDefault="009C7D89" w:rsidP="002F5D3A">
            <w:pPr>
              <w:pStyle w:val="TableText0"/>
              <w:rPr>
                <w:i/>
                <w:iCs/>
                <w:lang w:val="fr-FR"/>
              </w:rPr>
            </w:pPr>
            <w:r w:rsidRPr="00334389">
              <w:rPr>
                <w:i/>
                <w:iCs/>
                <w:lang w:val="fr-FR"/>
              </w:rPr>
              <w:t>définition d'une échelle de temps et diffusion de signaux horaires à l'aide de systèmes de radiocommunication;</w:t>
            </w:r>
          </w:p>
        </w:tc>
        <w:tc>
          <w:tcPr>
            <w:tcW w:w="1276" w:type="dxa"/>
          </w:tcPr>
          <w:p w14:paraId="7539F434" w14:textId="2941159D" w:rsidR="009C7D89" w:rsidRPr="00334389" w:rsidRDefault="009C7D89" w:rsidP="002F5D3A">
            <w:pPr>
              <w:pStyle w:val="TableText0"/>
              <w:jc w:val="center"/>
              <w:rPr>
                <w:lang w:val="fr-FR"/>
              </w:rPr>
            </w:pPr>
            <w:r w:rsidRPr="00334389">
              <w:rPr>
                <w:lang w:val="fr-FR"/>
              </w:rPr>
              <w:t>A24-A6</w:t>
            </w:r>
          </w:p>
        </w:tc>
      </w:tr>
      <w:tr w:rsidR="009C7D89" w:rsidRPr="00334389" w14:paraId="25D99F23" w14:textId="77777777" w:rsidTr="008C2769">
        <w:trPr>
          <w:cantSplit/>
          <w:jc w:val="center"/>
        </w:trPr>
        <w:tc>
          <w:tcPr>
            <w:tcW w:w="1702" w:type="dxa"/>
            <w:vMerge/>
          </w:tcPr>
          <w:p w14:paraId="3D9873F3" w14:textId="77777777" w:rsidR="009C7D89" w:rsidRPr="00334389" w:rsidRDefault="009C7D89" w:rsidP="002F5D3A">
            <w:pPr>
              <w:pStyle w:val="TableText0"/>
              <w:jc w:val="center"/>
              <w:rPr>
                <w:lang w:val="fr-FR"/>
              </w:rPr>
            </w:pPr>
          </w:p>
        </w:tc>
        <w:tc>
          <w:tcPr>
            <w:tcW w:w="1417" w:type="dxa"/>
          </w:tcPr>
          <w:p w14:paraId="1CA5099F" w14:textId="69293E18" w:rsidR="009C7D89" w:rsidRPr="00334389" w:rsidRDefault="009C7D89" w:rsidP="002F5D3A">
            <w:pPr>
              <w:pStyle w:val="TableText0"/>
              <w:jc w:val="center"/>
              <w:rPr>
                <w:lang w:val="fr-FR"/>
              </w:rPr>
            </w:pPr>
            <w:r w:rsidRPr="00334389">
              <w:rPr>
                <w:lang w:val="fr-FR"/>
              </w:rPr>
              <w:t>Doc. 550 de la CMR-19</w:t>
            </w:r>
          </w:p>
        </w:tc>
        <w:tc>
          <w:tcPr>
            <w:tcW w:w="5098" w:type="dxa"/>
          </w:tcPr>
          <w:p w14:paraId="026ED229" w14:textId="681E1D97" w:rsidR="009C7D89" w:rsidRPr="00334389" w:rsidRDefault="009C7D89" w:rsidP="002F5D3A">
            <w:pPr>
              <w:pStyle w:val="TableText0"/>
              <w:rPr>
                <w:i/>
                <w:iCs/>
                <w:lang w:val="fr-FR"/>
              </w:rPr>
            </w:pPr>
            <w:r w:rsidRPr="00334389">
              <w:rPr>
                <w:lang w:val="fr-FR"/>
              </w:rPr>
              <w:t>vérification du respect du numéro </w:t>
            </w:r>
            <w:r w:rsidRPr="00334389">
              <w:rPr>
                <w:b/>
                <w:bCs/>
                <w:lang w:val="fr-FR"/>
              </w:rPr>
              <w:t>21.5</w:t>
            </w:r>
            <w:r w:rsidRPr="00334389">
              <w:rPr>
                <w:lang w:val="fr-FR"/>
              </w:rPr>
              <w:t xml:space="preserve"> aux fins de la notification des stations IMT fonctionnant dans la bande de fréquences 24,45</w:t>
            </w:r>
            <w:r w:rsidRPr="00334389">
              <w:rPr>
                <w:lang w:val="fr-FR"/>
              </w:rPr>
              <w:noBreakHyphen/>
              <w:t>27,5 GHz qui utilisent une antenne composée d'un réseau d'éléments actifs.</w:t>
            </w:r>
          </w:p>
        </w:tc>
        <w:tc>
          <w:tcPr>
            <w:tcW w:w="1276" w:type="dxa"/>
          </w:tcPr>
          <w:p w14:paraId="7081279D" w14:textId="26EA3E11" w:rsidR="009C7D89" w:rsidRPr="00334389" w:rsidRDefault="009C7D89" w:rsidP="002F5D3A">
            <w:pPr>
              <w:pStyle w:val="TableText0"/>
              <w:jc w:val="center"/>
              <w:rPr>
                <w:lang w:val="fr-FR"/>
              </w:rPr>
            </w:pPr>
            <w:r w:rsidRPr="00334389">
              <w:rPr>
                <w:lang w:val="fr-FR"/>
              </w:rPr>
              <w:t>Néant</w:t>
            </w:r>
          </w:p>
        </w:tc>
      </w:tr>
      <w:tr w:rsidR="009C7D89" w:rsidRPr="00334389" w14:paraId="100A8DFC" w14:textId="77777777" w:rsidTr="008C2769">
        <w:trPr>
          <w:cantSplit/>
          <w:jc w:val="center"/>
        </w:trPr>
        <w:tc>
          <w:tcPr>
            <w:tcW w:w="1702" w:type="dxa"/>
            <w:vMerge/>
          </w:tcPr>
          <w:p w14:paraId="146C0035" w14:textId="26C608E2" w:rsidR="009C7D89" w:rsidRPr="00334389" w:rsidRDefault="009C7D89" w:rsidP="002F5D3A">
            <w:pPr>
              <w:pStyle w:val="TableText0"/>
              <w:jc w:val="center"/>
              <w:rPr>
                <w:lang w:val="fr-FR"/>
              </w:rPr>
            </w:pPr>
          </w:p>
        </w:tc>
        <w:tc>
          <w:tcPr>
            <w:tcW w:w="1417" w:type="dxa"/>
          </w:tcPr>
          <w:p w14:paraId="0E509B84" w14:textId="164F936E" w:rsidR="009C7D89" w:rsidRPr="00334389" w:rsidRDefault="009C7D89" w:rsidP="002F5D3A">
            <w:pPr>
              <w:pStyle w:val="TableText0"/>
              <w:jc w:val="center"/>
              <w:rPr>
                <w:lang w:val="fr-FR"/>
              </w:rPr>
            </w:pPr>
            <w:r w:rsidRPr="00334389">
              <w:rPr>
                <w:lang w:val="fr-FR"/>
              </w:rPr>
              <w:t>9.2</w:t>
            </w:r>
          </w:p>
        </w:tc>
        <w:tc>
          <w:tcPr>
            <w:tcW w:w="5098" w:type="dxa"/>
          </w:tcPr>
          <w:p w14:paraId="456ADB83" w14:textId="17E1851F" w:rsidR="009C7D89" w:rsidRPr="00334389" w:rsidRDefault="009C7D89" w:rsidP="002F5D3A">
            <w:pPr>
              <w:pStyle w:val="TableText0"/>
              <w:rPr>
                <w:lang w:val="fr-FR"/>
              </w:rPr>
            </w:pPr>
            <w:r w:rsidRPr="00334389">
              <w:rPr>
                <w:lang w:val="fr-FR"/>
              </w:rPr>
              <w:t>sur les difficultés rencontrées ou les incohérences constatées dans l'application du Règlement des radiocommunications; et</w:t>
            </w:r>
          </w:p>
        </w:tc>
        <w:tc>
          <w:tcPr>
            <w:tcW w:w="1276" w:type="dxa"/>
          </w:tcPr>
          <w:p w14:paraId="2F741226" w14:textId="307C6769" w:rsidR="009C7D89" w:rsidRPr="00334389" w:rsidRDefault="009C7D89" w:rsidP="002F5D3A">
            <w:pPr>
              <w:pStyle w:val="TableText0"/>
              <w:jc w:val="center"/>
              <w:rPr>
                <w:lang w:val="fr-FR"/>
              </w:rPr>
            </w:pPr>
            <w:r w:rsidRPr="00334389">
              <w:rPr>
                <w:lang w:val="fr-FR"/>
              </w:rPr>
              <w:t>A25</w:t>
            </w:r>
          </w:p>
        </w:tc>
      </w:tr>
      <w:tr w:rsidR="009C7D89" w:rsidRPr="00334389" w14:paraId="119EE8A5" w14:textId="77777777" w:rsidTr="008C2769">
        <w:trPr>
          <w:cantSplit/>
          <w:jc w:val="center"/>
        </w:trPr>
        <w:tc>
          <w:tcPr>
            <w:tcW w:w="1702" w:type="dxa"/>
            <w:vMerge/>
          </w:tcPr>
          <w:p w14:paraId="43A06B28" w14:textId="77777777" w:rsidR="009C7D89" w:rsidRPr="00334389" w:rsidRDefault="009C7D89" w:rsidP="002F5D3A">
            <w:pPr>
              <w:pStyle w:val="TableText0"/>
              <w:jc w:val="center"/>
              <w:rPr>
                <w:lang w:val="fr-FR"/>
              </w:rPr>
            </w:pPr>
          </w:p>
        </w:tc>
        <w:tc>
          <w:tcPr>
            <w:tcW w:w="1417" w:type="dxa"/>
          </w:tcPr>
          <w:p w14:paraId="7C3BC35B" w14:textId="77777777" w:rsidR="009C7D89" w:rsidRPr="00334389" w:rsidRDefault="009C7D89" w:rsidP="002F5D3A">
            <w:pPr>
              <w:pStyle w:val="TableText0"/>
              <w:jc w:val="center"/>
              <w:rPr>
                <w:lang w:val="fr-FR"/>
              </w:rPr>
            </w:pPr>
          </w:p>
        </w:tc>
        <w:tc>
          <w:tcPr>
            <w:tcW w:w="5098" w:type="dxa"/>
          </w:tcPr>
          <w:p w14:paraId="1BC2747E" w14:textId="70B90B46" w:rsidR="009C7D89" w:rsidRPr="00334389" w:rsidRDefault="009C7D89" w:rsidP="002F5D3A">
            <w:pPr>
              <w:pStyle w:val="TableText0"/>
              <w:rPr>
                <w:lang w:val="fr-FR"/>
              </w:rPr>
            </w:pPr>
            <w:r w:rsidRPr="00334389">
              <w:rPr>
                <w:szCs w:val="24"/>
                <w:lang w:val="fr-FR" w:eastAsia="zh-CN"/>
              </w:rPr>
              <w:t>Chapitre 2.2 – Erreurs, incohérences et dispositions obsolètes</w:t>
            </w:r>
          </w:p>
        </w:tc>
        <w:tc>
          <w:tcPr>
            <w:tcW w:w="1276" w:type="dxa"/>
          </w:tcPr>
          <w:p w14:paraId="0DFBD81F" w14:textId="1368EA8D" w:rsidR="009C7D89" w:rsidRPr="00334389" w:rsidRDefault="009C7D89" w:rsidP="002F5D3A">
            <w:pPr>
              <w:pStyle w:val="TableText0"/>
              <w:jc w:val="center"/>
              <w:rPr>
                <w:lang w:val="fr-FR"/>
              </w:rPr>
            </w:pPr>
            <w:r w:rsidRPr="00334389">
              <w:rPr>
                <w:szCs w:val="24"/>
                <w:lang w:val="fr-FR" w:eastAsia="zh-CN"/>
              </w:rPr>
              <w:t>A25-A1</w:t>
            </w:r>
          </w:p>
        </w:tc>
      </w:tr>
      <w:tr w:rsidR="009C7D89" w:rsidRPr="00334389" w14:paraId="5E5D44C4" w14:textId="77777777" w:rsidTr="008C2769">
        <w:trPr>
          <w:cantSplit/>
          <w:jc w:val="center"/>
        </w:trPr>
        <w:tc>
          <w:tcPr>
            <w:tcW w:w="1702" w:type="dxa"/>
            <w:vMerge/>
          </w:tcPr>
          <w:p w14:paraId="63915F21" w14:textId="77777777" w:rsidR="009C7D89" w:rsidRPr="00334389" w:rsidRDefault="009C7D89" w:rsidP="002F5D3A">
            <w:pPr>
              <w:pStyle w:val="TableText0"/>
              <w:jc w:val="center"/>
              <w:rPr>
                <w:lang w:val="fr-FR"/>
              </w:rPr>
            </w:pPr>
          </w:p>
        </w:tc>
        <w:tc>
          <w:tcPr>
            <w:tcW w:w="1417" w:type="dxa"/>
          </w:tcPr>
          <w:p w14:paraId="5AFB6BF9" w14:textId="77777777" w:rsidR="009C7D89" w:rsidRPr="00334389" w:rsidRDefault="009C7D89" w:rsidP="002F5D3A">
            <w:pPr>
              <w:pStyle w:val="TableText0"/>
              <w:jc w:val="center"/>
              <w:rPr>
                <w:lang w:val="fr-FR"/>
              </w:rPr>
            </w:pPr>
          </w:p>
        </w:tc>
        <w:tc>
          <w:tcPr>
            <w:tcW w:w="5098" w:type="dxa"/>
          </w:tcPr>
          <w:p w14:paraId="7A6A1A60" w14:textId="07AF2D33" w:rsidR="009C7D89" w:rsidRPr="00334389" w:rsidRDefault="009C7D89" w:rsidP="00310753">
            <w:pPr>
              <w:pStyle w:val="TableText0"/>
              <w:rPr>
                <w:lang w:val="fr-FR"/>
              </w:rPr>
            </w:pPr>
            <w:r w:rsidRPr="00334389">
              <w:rPr>
                <w:lang w:val="fr-FR"/>
              </w:rPr>
              <w:t>Section 3.1 – Articles du Règlement des radiocommunications</w:t>
            </w:r>
          </w:p>
        </w:tc>
        <w:tc>
          <w:tcPr>
            <w:tcW w:w="1276" w:type="dxa"/>
          </w:tcPr>
          <w:p w14:paraId="5382DCCB" w14:textId="303AC990" w:rsidR="009C7D89" w:rsidRPr="00334389" w:rsidRDefault="009C7D89" w:rsidP="002F5D3A">
            <w:pPr>
              <w:pStyle w:val="TableText0"/>
              <w:jc w:val="center"/>
              <w:rPr>
                <w:lang w:val="fr-FR"/>
              </w:rPr>
            </w:pPr>
            <w:r w:rsidRPr="00334389">
              <w:rPr>
                <w:szCs w:val="24"/>
                <w:lang w:val="fr-FR" w:eastAsia="zh-CN"/>
              </w:rPr>
              <w:t>A25-A2</w:t>
            </w:r>
          </w:p>
        </w:tc>
      </w:tr>
      <w:tr w:rsidR="009C7D89" w:rsidRPr="00334389" w14:paraId="2ACF14A0" w14:textId="77777777" w:rsidTr="008C2769">
        <w:trPr>
          <w:cantSplit/>
          <w:jc w:val="center"/>
        </w:trPr>
        <w:tc>
          <w:tcPr>
            <w:tcW w:w="1702" w:type="dxa"/>
            <w:vMerge/>
          </w:tcPr>
          <w:p w14:paraId="5A43ECEB" w14:textId="77777777" w:rsidR="009C7D89" w:rsidRPr="00334389" w:rsidRDefault="009C7D89" w:rsidP="002F5D3A">
            <w:pPr>
              <w:pStyle w:val="TableText0"/>
              <w:jc w:val="center"/>
              <w:rPr>
                <w:lang w:val="fr-FR"/>
              </w:rPr>
            </w:pPr>
          </w:p>
        </w:tc>
        <w:tc>
          <w:tcPr>
            <w:tcW w:w="1417" w:type="dxa"/>
          </w:tcPr>
          <w:p w14:paraId="7AE4E76F" w14:textId="77777777" w:rsidR="009C7D89" w:rsidRPr="00334389" w:rsidRDefault="009C7D89" w:rsidP="002F5D3A">
            <w:pPr>
              <w:pStyle w:val="TableText0"/>
              <w:jc w:val="center"/>
              <w:rPr>
                <w:lang w:val="fr-FR"/>
              </w:rPr>
            </w:pPr>
          </w:p>
        </w:tc>
        <w:tc>
          <w:tcPr>
            <w:tcW w:w="5098" w:type="dxa"/>
          </w:tcPr>
          <w:p w14:paraId="3A8F7507" w14:textId="67D2F42F" w:rsidR="009C7D89" w:rsidRPr="00334389" w:rsidRDefault="009C7D89" w:rsidP="002F5D3A">
            <w:pPr>
              <w:pStyle w:val="TableText0"/>
              <w:rPr>
                <w:lang w:val="fr-FR"/>
              </w:rPr>
            </w:pPr>
            <w:r w:rsidRPr="00334389">
              <w:rPr>
                <w:lang w:val="fr-FR"/>
              </w:rPr>
              <w:t>Section 3.1 – Articles du Règlement des radiocommunications</w:t>
            </w:r>
            <w:r w:rsidRPr="00334389">
              <w:rPr>
                <w:szCs w:val="24"/>
                <w:lang w:val="fr-FR" w:eastAsia="zh-CN"/>
              </w:rPr>
              <w:t xml:space="preserve"> (questions relatives aux systèmes non OSG</w:t>
            </w:r>
            <w:r w:rsidRPr="00334389">
              <w:rPr>
                <w:rFonts w:ascii="MS Mincho" w:eastAsia="MS Mincho" w:hAnsi="MS Mincho" w:cs="MS Mincho"/>
                <w:szCs w:val="24"/>
                <w:lang w:val="fr-FR" w:eastAsia="zh-CN"/>
              </w:rPr>
              <w:t>）</w:t>
            </w:r>
          </w:p>
        </w:tc>
        <w:tc>
          <w:tcPr>
            <w:tcW w:w="1276" w:type="dxa"/>
          </w:tcPr>
          <w:p w14:paraId="2C895002" w14:textId="3BA0FD54" w:rsidR="009C7D89" w:rsidRPr="00334389" w:rsidRDefault="009C7D89" w:rsidP="002F5D3A">
            <w:pPr>
              <w:pStyle w:val="TableText0"/>
              <w:jc w:val="center"/>
              <w:rPr>
                <w:lang w:val="fr-FR"/>
              </w:rPr>
            </w:pPr>
            <w:r w:rsidRPr="00334389">
              <w:rPr>
                <w:szCs w:val="24"/>
                <w:lang w:val="fr-FR" w:eastAsia="zh-CN"/>
              </w:rPr>
              <w:t>A25-A3</w:t>
            </w:r>
          </w:p>
        </w:tc>
      </w:tr>
      <w:tr w:rsidR="009C7D89" w:rsidRPr="00334389" w14:paraId="218AC0A3" w14:textId="77777777" w:rsidTr="008C2769">
        <w:trPr>
          <w:cantSplit/>
          <w:jc w:val="center"/>
        </w:trPr>
        <w:tc>
          <w:tcPr>
            <w:tcW w:w="1702" w:type="dxa"/>
            <w:vMerge/>
          </w:tcPr>
          <w:p w14:paraId="75DD90C6" w14:textId="77777777" w:rsidR="009C7D89" w:rsidRPr="00334389" w:rsidRDefault="009C7D89" w:rsidP="002F5D3A">
            <w:pPr>
              <w:pStyle w:val="TableText0"/>
              <w:jc w:val="center"/>
              <w:rPr>
                <w:lang w:val="fr-FR"/>
              </w:rPr>
            </w:pPr>
          </w:p>
        </w:tc>
        <w:tc>
          <w:tcPr>
            <w:tcW w:w="1417" w:type="dxa"/>
          </w:tcPr>
          <w:p w14:paraId="5007E62D" w14:textId="77777777" w:rsidR="009C7D89" w:rsidRPr="00334389" w:rsidRDefault="009C7D89" w:rsidP="002F5D3A">
            <w:pPr>
              <w:pStyle w:val="TableText0"/>
              <w:jc w:val="center"/>
              <w:rPr>
                <w:lang w:val="fr-FR"/>
              </w:rPr>
            </w:pPr>
          </w:p>
        </w:tc>
        <w:tc>
          <w:tcPr>
            <w:tcW w:w="5098" w:type="dxa"/>
          </w:tcPr>
          <w:p w14:paraId="5A163C11" w14:textId="42032BD7" w:rsidR="009C7D89" w:rsidRPr="00334389" w:rsidRDefault="009C7D89" w:rsidP="002F5D3A">
            <w:pPr>
              <w:pStyle w:val="TableText0"/>
              <w:rPr>
                <w:lang w:val="fr-FR"/>
              </w:rPr>
            </w:pPr>
            <w:r w:rsidRPr="00334389">
              <w:rPr>
                <w:lang w:val="fr-FR"/>
              </w:rPr>
              <w:t xml:space="preserve">Section 3.2 </w:t>
            </w:r>
            <w:r w:rsidRPr="00334389">
              <w:rPr>
                <w:szCs w:val="24"/>
                <w:lang w:val="fr-FR" w:eastAsia="zh-CN"/>
              </w:rPr>
              <w:t xml:space="preserve">– Appendices </w:t>
            </w:r>
            <w:r w:rsidRPr="00334389">
              <w:rPr>
                <w:lang w:val="fr-FR"/>
              </w:rPr>
              <w:t>du Règlement des radiocommunications</w:t>
            </w:r>
          </w:p>
        </w:tc>
        <w:tc>
          <w:tcPr>
            <w:tcW w:w="1276" w:type="dxa"/>
          </w:tcPr>
          <w:p w14:paraId="220B2B59" w14:textId="3E09562B" w:rsidR="009C7D89" w:rsidRPr="00334389" w:rsidRDefault="009C7D89" w:rsidP="002F5D3A">
            <w:pPr>
              <w:pStyle w:val="TableText0"/>
              <w:jc w:val="center"/>
              <w:rPr>
                <w:lang w:val="fr-FR"/>
              </w:rPr>
            </w:pPr>
            <w:r w:rsidRPr="00334389">
              <w:rPr>
                <w:szCs w:val="24"/>
                <w:lang w:val="fr-FR" w:eastAsia="zh-CN"/>
              </w:rPr>
              <w:t>A25-A4</w:t>
            </w:r>
          </w:p>
        </w:tc>
      </w:tr>
      <w:tr w:rsidR="009C7D89" w:rsidRPr="00334389" w14:paraId="45AFA975" w14:textId="77777777" w:rsidTr="008C2769">
        <w:trPr>
          <w:cantSplit/>
          <w:jc w:val="center"/>
        </w:trPr>
        <w:tc>
          <w:tcPr>
            <w:tcW w:w="1702" w:type="dxa"/>
            <w:vMerge/>
          </w:tcPr>
          <w:p w14:paraId="796B73E4" w14:textId="77777777" w:rsidR="009C7D89" w:rsidRPr="00334389" w:rsidRDefault="009C7D89" w:rsidP="002F5D3A">
            <w:pPr>
              <w:pStyle w:val="TableText0"/>
              <w:jc w:val="center"/>
              <w:rPr>
                <w:lang w:val="fr-FR"/>
              </w:rPr>
            </w:pPr>
          </w:p>
        </w:tc>
        <w:tc>
          <w:tcPr>
            <w:tcW w:w="1417" w:type="dxa"/>
          </w:tcPr>
          <w:p w14:paraId="2A49DDF4" w14:textId="77777777" w:rsidR="009C7D89" w:rsidRPr="00334389" w:rsidRDefault="009C7D89" w:rsidP="002F5D3A">
            <w:pPr>
              <w:pStyle w:val="TableText0"/>
              <w:jc w:val="center"/>
              <w:rPr>
                <w:lang w:val="fr-FR"/>
              </w:rPr>
            </w:pPr>
          </w:p>
        </w:tc>
        <w:tc>
          <w:tcPr>
            <w:tcW w:w="5098" w:type="dxa"/>
          </w:tcPr>
          <w:p w14:paraId="6ED4914F" w14:textId="05F27871" w:rsidR="009C7D89" w:rsidRPr="00334389" w:rsidRDefault="009C7D89" w:rsidP="002F5D3A">
            <w:pPr>
              <w:pStyle w:val="TableText0"/>
              <w:rPr>
                <w:lang w:val="fr-FR"/>
              </w:rPr>
            </w:pPr>
            <w:r w:rsidRPr="00334389">
              <w:rPr>
                <w:lang w:val="fr-FR"/>
              </w:rPr>
              <w:t xml:space="preserve">Section 3.3 </w:t>
            </w:r>
            <w:r w:rsidRPr="00334389">
              <w:rPr>
                <w:szCs w:val="24"/>
                <w:lang w:val="fr-FR" w:eastAsia="zh-CN"/>
              </w:rPr>
              <w:t>– Résolutions</w:t>
            </w:r>
          </w:p>
        </w:tc>
        <w:tc>
          <w:tcPr>
            <w:tcW w:w="1276" w:type="dxa"/>
          </w:tcPr>
          <w:p w14:paraId="6BD78253" w14:textId="4A2B623E" w:rsidR="009C7D89" w:rsidRPr="00334389" w:rsidRDefault="009C7D89" w:rsidP="002F5D3A">
            <w:pPr>
              <w:pStyle w:val="TableText0"/>
              <w:jc w:val="center"/>
              <w:rPr>
                <w:lang w:val="fr-FR"/>
              </w:rPr>
            </w:pPr>
            <w:r w:rsidRPr="00334389">
              <w:rPr>
                <w:szCs w:val="24"/>
                <w:lang w:val="fr-FR" w:eastAsia="zh-CN"/>
              </w:rPr>
              <w:t>A25-A5</w:t>
            </w:r>
          </w:p>
        </w:tc>
      </w:tr>
      <w:tr w:rsidR="009C7D89" w:rsidRPr="00334389" w14:paraId="03D29E6C" w14:textId="77777777" w:rsidTr="008C2769">
        <w:trPr>
          <w:cantSplit/>
          <w:jc w:val="center"/>
        </w:trPr>
        <w:tc>
          <w:tcPr>
            <w:tcW w:w="1702" w:type="dxa"/>
            <w:vMerge/>
          </w:tcPr>
          <w:p w14:paraId="4556E765" w14:textId="77777777" w:rsidR="009C7D89" w:rsidRPr="00334389" w:rsidRDefault="009C7D89" w:rsidP="002F5D3A">
            <w:pPr>
              <w:pStyle w:val="TableText0"/>
              <w:jc w:val="center"/>
              <w:rPr>
                <w:lang w:val="fr-FR"/>
              </w:rPr>
            </w:pPr>
          </w:p>
        </w:tc>
        <w:tc>
          <w:tcPr>
            <w:tcW w:w="1417" w:type="dxa"/>
          </w:tcPr>
          <w:p w14:paraId="31F7E67C" w14:textId="77777777" w:rsidR="009C7D89" w:rsidRPr="00334389" w:rsidRDefault="009C7D89" w:rsidP="002F5D3A">
            <w:pPr>
              <w:pStyle w:val="TableText0"/>
              <w:jc w:val="center"/>
              <w:rPr>
                <w:lang w:val="fr-FR"/>
              </w:rPr>
            </w:pPr>
          </w:p>
        </w:tc>
        <w:tc>
          <w:tcPr>
            <w:tcW w:w="5098" w:type="dxa"/>
          </w:tcPr>
          <w:p w14:paraId="0E51DFE4" w14:textId="6A26B592" w:rsidR="009C7D89" w:rsidRPr="00334389" w:rsidRDefault="009C7D89" w:rsidP="002F5D3A">
            <w:pPr>
              <w:pStyle w:val="TableText0"/>
              <w:rPr>
                <w:lang w:val="fr-FR"/>
              </w:rPr>
            </w:pPr>
            <w:r w:rsidRPr="00334389">
              <w:rPr>
                <w:lang w:val="fr-FR"/>
              </w:rPr>
              <w:t>Demander à la CMR-23 de maintenir l'assignation de fréquence au réseau à satellite CHINASAT-D-163E dans le Fichier de référence international des fréquences (MIFR)</w:t>
            </w:r>
          </w:p>
        </w:tc>
        <w:tc>
          <w:tcPr>
            <w:tcW w:w="1276" w:type="dxa"/>
          </w:tcPr>
          <w:p w14:paraId="7606F42F" w14:textId="1D0A45E8" w:rsidR="009C7D89" w:rsidRPr="00334389" w:rsidRDefault="009C7D89" w:rsidP="002F5D3A">
            <w:pPr>
              <w:pStyle w:val="TableText0"/>
              <w:jc w:val="center"/>
              <w:rPr>
                <w:lang w:val="fr-FR"/>
              </w:rPr>
            </w:pPr>
            <w:r w:rsidRPr="00334389">
              <w:rPr>
                <w:szCs w:val="24"/>
                <w:lang w:val="fr-FR" w:eastAsia="zh-CN"/>
              </w:rPr>
              <w:t>A25-A6</w:t>
            </w:r>
          </w:p>
        </w:tc>
      </w:tr>
      <w:tr w:rsidR="009C7D89" w:rsidRPr="00334389" w14:paraId="2034772D" w14:textId="77777777" w:rsidTr="008C2769">
        <w:trPr>
          <w:cantSplit/>
          <w:jc w:val="center"/>
        </w:trPr>
        <w:tc>
          <w:tcPr>
            <w:tcW w:w="1702" w:type="dxa"/>
            <w:vMerge/>
          </w:tcPr>
          <w:p w14:paraId="34C33E86" w14:textId="77777777" w:rsidR="009C7D89" w:rsidRPr="00334389" w:rsidRDefault="009C7D89" w:rsidP="002F5D3A">
            <w:pPr>
              <w:pStyle w:val="TableText0"/>
              <w:jc w:val="center"/>
              <w:rPr>
                <w:lang w:val="fr-FR"/>
              </w:rPr>
            </w:pPr>
          </w:p>
        </w:tc>
        <w:tc>
          <w:tcPr>
            <w:tcW w:w="1417" w:type="dxa"/>
          </w:tcPr>
          <w:p w14:paraId="41427950" w14:textId="77777777" w:rsidR="009C7D89" w:rsidRPr="00334389" w:rsidRDefault="009C7D89" w:rsidP="002F5D3A">
            <w:pPr>
              <w:pStyle w:val="TableText0"/>
              <w:jc w:val="center"/>
              <w:rPr>
                <w:lang w:val="fr-FR"/>
              </w:rPr>
            </w:pPr>
          </w:p>
        </w:tc>
        <w:tc>
          <w:tcPr>
            <w:tcW w:w="5098" w:type="dxa"/>
          </w:tcPr>
          <w:p w14:paraId="2E34DBB6" w14:textId="42F51100" w:rsidR="009C7D89" w:rsidRPr="00334389" w:rsidRDefault="009C7D89" w:rsidP="002F5D3A">
            <w:pPr>
              <w:pStyle w:val="TableText0"/>
              <w:rPr>
                <w:lang w:val="fr-FR"/>
              </w:rPr>
            </w:pPr>
            <w:r w:rsidRPr="00334389">
              <w:rPr>
                <w:lang w:val="fr-FR"/>
              </w:rPr>
              <w:t>Demander à la CMR-23 de formuler des orientations sur l'utilisation et l'entretien de la Carte mondiale numérisée de l'UIT (IDWM)</w:t>
            </w:r>
          </w:p>
        </w:tc>
        <w:tc>
          <w:tcPr>
            <w:tcW w:w="1276" w:type="dxa"/>
          </w:tcPr>
          <w:p w14:paraId="3CDDB34D" w14:textId="158AD804" w:rsidR="009C7D89" w:rsidRPr="00334389" w:rsidRDefault="009C7D89" w:rsidP="002F5D3A">
            <w:pPr>
              <w:pStyle w:val="TableText0"/>
              <w:jc w:val="center"/>
              <w:rPr>
                <w:lang w:val="fr-FR"/>
              </w:rPr>
            </w:pPr>
            <w:r w:rsidRPr="00334389">
              <w:rPr>
                <w:szCs w:val="24"/>
                <w:lang w:val="fr-FR" w:eastAsia="zh-CN"/>
              </w:rPr>
              <w:t>A25-A7</w:t>
            </w:r>
          </w:p>
        </w:tc>
      </w:tr>
      <w:tr w:rsidR="009C7D89" w:rsidRPr="00334389" w14:paraId="7509392F" w14:textId="77777777" w:rsidTr="008C2769">
        <w:trPr>
          <w:cantSplit/>
          <w:jc w:val="center"/>
        </w:trPr>
        <w:tc>
          <w:tcPr>
            <w:tcW w:w="1702" w:type="dxa"/>
            <w:vMerge/>
          </w:tcPr>
          <w:p w14:paraId="7FF5A4A1" w14:textId="6BF62380" w:rsidR="009C7D89" w:rsidRPr="00334389" w:rsidRDefault="009C7D89" w:rsidP="002F5D3A">
            <w:pPr>
              <w:pStyle w:val="TableText0"/>
              <w:jc w:val="center"/>
              <w:rPr>
                <w:lang w:val="fr-FR"/>
              </w:rPr>
            </w:pPr>
          </w:p>
        </w:tc>
        <w:tc>
          <w:tcPr>
            <w:tcW w:w="1417" w:type="dxa"/>
          </w:tcPr>
          <w:p w14:paraId="0DB9BB83" w14:textId="5CBCDCB6" w:rsidR="009C7D89" w:rsidRPr="00334389" w:rsidRDefault="009C7D89" w:rsidP="002F5D3A">
            <w:pPr>
              <w:pStyle w:val="TableText0"/>
              <w:jc w:val="center"/>
              <w:rPr>
                <w:lang w:val="fr-FR"/>
              </w:rPr>
            </w:pPr>
            <w:r w:rsidRPr="00334389">
              <w:rPr>
                <w:lang w:val="fr-FR"/>
              </w:rPr>
              <w:t>9.3</w:t>
            </w:r>
          </w:p>
        </w:tc>
        <w:tc>
          <w:tcPr>
            <w:tcW w:w="5098" w:type="dxa"/>
          </w:tcPr>
          <w:p w14:paraId="295B505B" w14:textId="31F879C8" w:rsidR="009C7D89" w:rsidRPr="00334389" w:rsidRDefault="009C7D89" w:rsidP="002F5D3A">
            <w:pPr>
              <w:pStyle w:val="TableText0"/>
              <w:rPr>
                <w:lang w:val="fr-FR"/>
              </w:rPr>
            </w:pPr>
            <w:r w:rsidRPr="00334389">
              <w:rPr>
                <w:lang w:val="fr-FR"/>
              </w:rPr>
              <w:t>sur la suite donnée à la Résolution </w:t>
            </w:r>
            <w:r w:rsidRPr="00334389">
              <w:rPr>
                <w:b/>
                <w:bCs/>
                <w:lang w:val="fr-FR"/>
              </w:rPr>
              <w:t>80 (Rév.CMR-07)</w:t>
            </w:r>
            <w:r w:rsidRPr="00334389">
              <w:rPr>
                <w:lang w:val="fr-FR"/>
              </w:rPr>
              <w:t>;</w:t>
            </w:r>
          </w:p>
        </w:tc>
        <w:tc>
          <w:tcPr>
            <w:tcW w:w="1276" w:type="dxa"/>
          </w:tcPr>
          <w:p w14:paraId="2F267CA4" w14:textId="4D186D94" w:rsidR="009C7D89" w:rsidRPr="00334389" w:rsidRDefault="009C7D89" w:rsidP="002F5D3A">
            <w:pPr>
              <w:pStyle w:val="TableText0"/>
              <w:jc w:val="center"/>
              <w:rPr>
                <w:lang w:val="fr-FR"/>
              </w:rPr>
            </w:pPr>
            <w:r w:rsidRPr="00334389">
              <w:rPr>
                <w:lang w:val="fr-FR"/>
              </w:rPr>
              <w:t>A26</w:t>
            </w:r>
          </w:p>
        </w:tc>
      </w:tr>
      <w:tr w:rsidR="009C7D89" w:rsidRPr="00334389" w14:paraId="26BFA68E" w14:textId="77777777" w:rsidTr="008C2769">
        <w:trPr>
          <w:cantSplit/>
          <w:jc w:val="center"/>
        </w:trPr>
        <w:tc>
          <w:tcPr>
            <w:tcW w:w="1702" w:type="dxa"/>
            <w:vMerge/>
          </w:tcPr>
          <w:p w14:paraId="3F9CB721" w14:textId="77777777" w:rsidR="009C7D89" w:rsidRPr="00334389" w:rsidRDefault="009C7D89" w:rsidP="002F5D3A">
            <w:pPr>
              <w:pStyle w:val="TableText0"/>
              <w:jc w:val="center"/>
              <w:rPr>
                <w:lang w:val="fr-FR"/>
              </w:rPr>
            </w:pPr>
          </w:p>
        </w:tc>
        <w:tc>
          <w:tcPr>
            <w:tcW w:w="1417" w:type="dxa"/>
          </w:tcPr>
          <w:p w14:paraId="7A2A500A" w14:textId="77777777" w:rsidR="009C7D89" w:rsidRPr="00334389" w:rsidRDefault="009C7D89" w:rsidP="002F5D3A">
            <w:pPr>
              <w:pStyle w:val="TableText0"/>
              <w:jc w:val="center"/>
              <w:rPr>
                <w:lang w:val="fr-FR"/>
              </w:rPr>
            </w:pPr>
          </w:p>
        </w:tc>
        <w:tc>
          <w:tcPr>
            <w:tcW w:w="5098" w:type="dxa"/>
          </w:tcPr>
          <w:p w14:paraId="444D94C8" w14:textId="1EFB28AC" w:rsidR="009C7D89" w:rsidRPr="00334389" w:rsidRDefault="009C7D89" w:rsidP="002F5D3A">
            <w:pPr>
              <w:pStyle w:val="TableText0"/>
              <w:rPr>
                <w:lang w:val="fr-FR"/>
              </w:rPr>
            </w:pPr>
            <w:r w:rsidRPr="00334389">
              <w:rPr>
                <w:szCs w:val="24"/>
                <w:lang w:val="fr-FR" w:eastAsia="zh-CN"/>
              </w:rPr>
              <w:t xml:space="preserve">Proposition pour les travaux de la conférence, point 9.3 de l'ordre du jour (en lien avec le numéro </w:t>
            </w:r>
            <w:r w:rsidRPr="00334389">
              <w:rPr>
                <w:b/>
                <w:bCs/>
                <w:szCs w:val="24"/>
                <w:lang w:val="fr-FR" w:eastAsia="zh-CN"/>
              </w:rPr>
              <w:t>4.4</w:t>
            </w:r>
            <w:r w:rsidRPr="00334389">
              <w:rPr>
                <w:szCs w:val="24"/>
                <w:lang w:val="fr-FR" w:eastAsia="zh-CN"/>
              </w:rPr>
              <w:t xml:space="preserve"> du RR)</w:t>
            </w:r>
          </w:p>
        </w:tc>
        <w:tc>
          <w:tcPr>
            <w:tcW w:w="1276" w:type="dxa"/>
          </w:tcPr>
          <w:p w14:paraId="6F518DF3" w14:textId="5CC31C59" w:rsidR="009C7D89" w:rsidRPr="00334389" w:rsidRDefault="009C7D89" w:rsidP="002F5D3A">
            <w:pPr>
              <w:pStyle w:val="TableText0"/>
              <w:jc w:val="center"/>
              <w:rPr>
                <w:lang w:val="fr-FR"/>
              </w:rPr>
            </w:pPr>
            <w:r w:rsidRPr="00334389">
              <w:rPr>
                <w:szCs w:val="24"/>
                <w:lang w:val="fr-FR" w:eastAsia="zh-CN"/>
              </w:rPr>
              <w:t>A26-A1</w:t>
            </w:r>
          </w:p>
        </w:tc>
      </w:tr>
      <w:tr w:rsidR="009C7D89" w:rsidRPr="00334389" w14:paraId="267EEF3A" w14:textId="77777777" w:rsidTr="008C2769">
        <w:trPr>
          <w:cantSplit/>
          <w:jc w:val="center"/>
        </w:trPr>
        <w:tc>
          <w:tcPr>
            <w:tcW w:w="1702" w:type="dxa"/>
            <w:vMerge/>
          </w:tcPr>
          <w:p w14:paraId="69CF590A" w14:textId="77777777" w:rsidR="009C7D89" w:rsidRPr="00334389" w:rsidRDefault="009C7D89" w:rsidP="002F5D3A">
            <w:pPr>
              <w:pStyle w:val="TableText0"/>
              <w:jc w:val="center"/>
              <w:rPr>
                <w:lang w:val="fr-FR"/>
              </w:rPr>
            </w:pPr>
          </w:p>
        </w:tc>
        <w:tc>
          <w:tcPr>
            <w:tcW w:w="1417" w:type="dxa"/>
          </w:tcPr>
          <w:p w14:paraId="5297B597" w14:textId="77777777" w:rsidR="009C7D89" w:rsidRPr="00334389" w:rsidRDefault="009C7D89" w:rsidP="002F5D3A">
            <w:pPr>
              <w:pStyle w:val="TableText0"/>
              <w:jc w:val="center"/>
              <w:rPr>
                <w:lang w:val="fr-FR"/>
              </w:rPr>
            </w:pPr>
          </w:p>
        </w:tc>
        <w:tc>
          <w:tcPr>
            <w:tcW w:w="5098" w:type="dxa"/>
          </w:tcPr>
          <w:p w14:paraId="211E3D58" w14:textId="6A297114" w:rsidR="009C7D89" w:rsidRPr="00334389" w:rsidRDefault="009C7D89" w:rsidP="002F5D3A">
            <w:pPr>
              <w:pStyle w:val="TableText0"/>
              <w:rPr>
                <w:lang w:val="fr-FR"/>
              </w:rPr>
            </w:pPr>
            <w:r w:rsidRPr="00334389">
              <w:rPr>
                <w:szCs w:val="24"/>
                <w:lang w:val="fr-FR" w:eastAsia="zh-CN"/>
              </w:rPr>
              <w:t>Proposition pour les travaux de la conférence, point 9.3 de l'ordre du jour (en lien avec le cadre réglementaire des systèmes non OSG)</w:t>
            </w:r>
          </w:p>
        </w:tc>
        <w:tc>
          <w:tcPr>
            <w:tcW w:w="1276" w:type="dxa"/>
          </w:tcPr>
          <w:p w14:paraId="20242A7E" w14:textId="3061C8D1" w:rsidR="009C7D89" w:rsidRPr="00334389" w:rsidRDefault="009C7D89" w:rsidP="002F5D3A">
            <w:pPr>
              <w:pStyle w:val="TableText0"/>
              <w:jc w:val="center"/>
              <w:rPr>
                <w:lang w:val="fr-FR"/>
              </w:rPr>
            </w:pPr>
            <w:r w:rsidRPr="00334389">
              <w:rPr>
                <w:szCs w:val="24"/>
                <w:lang w:val="fr-FR" w:eastAsia="zh-CN"/>
              </w:rPr>
              <w:t>A26-A2</w:t>
            </w:r>
          </w:p>
        </w:tc>
      </w:tr>
      <w:tr w:rsidR="003E75D0" w:rsidRPr="00334389" w14:paraId="554FCE84" w14:textId="77777777" w:rsidTr="008C2769">
        <w:trPr>
          <w:cantSplit/>
          <w:jc w:val="center"/>
        </w:trPr>
        <w:tc>
          <w:tcPr>
            <w:tcW w:w="1702" w:type="dxa"/>
          </w:tcPr>
          <w:p w14:paraId="7DE3B017" w14:textId="77777777" w:rsidR="003E75D0" w:rsidRPr="00334389" w:rsidRDefault="003E75D0" w:rsidP="002F5D3A">
            <w:pPr>
              <w:pStyle w:val="TableText0"/>
              <w:jc w:val="center"/>
              <w:rPr>
                <w:lang w:val="fr-FR"/>
              </w:rPr>
            </w:pPr>
            <w:r w:rsidRPr="00334389">
              <w:rPr>
                <w:lang w:val="fr-FR"/>
              </w:rPr>
              <w:t>10</w:t>
            </w:r>
          </w:p>
        </w:tc>
        <w:tc>
          <w:tcPr>
            <w:tcW w:w="1417" w:type="dxa"/>
          </w:tcPr>
          <w:p w14:paraId="22E7517A" w14:textId="77777777" w:rsidR="003E75D0" w:rsidRPr="00334389" w:rsidRDefault="003E75D0" w:rsidP="002F5D3A">
            <w:pPr>
              <w:pStyle w:val="TableText0"/>
              <w:jc w:val="center"/>
              <w:rPr>
                <w:lang w:val="fr-FR"/>
              </w:rPr>
            </w:pPr>
          </w:p>
        </w:tc>
        <w:tc>
          <w:tcPr>
            <w:tcW w:w="5098" w:type="dxa"/>
          </w:tcPr>
          <w:p w14:paraId="1F2D772F" w14:textId="0D368D53" w:rsidR="003E75D0" w:rsidRPr="00334389" w:rsidRDefault="003E75D0" w:rsidP="002F5D3A">
            <w:pPr>
              <w:pStyle w:val="TableText0"/>
              <w:rPr>
                <w:bCs/>
                <w:lang w:val="fr-FR"/>
              </w:rPr>
            </w:pPr>
            <w:r w:rsidRPr="00334389">
              <w:rPr>
                <w:lang w:val="fr-FR"/>
              </w:rPr>
              <w:t>recommander au Conseil des points à inscrire à l'ordre du jour de la C</w:t>
            </w:r>
            <w:r w:rsidR="003B6317" w:rsidRPr="00334389">
              <w:rPr>
                <w:lang w:val="fr-FR"/>
              </w:rPr>
              <w:t>onférence mondiale des radiocommunications</w:t>
            </w:r>
            <w:r w:rsidRPr="00334389">
              <w:rPr>
                <w:lang w:val="fr-FR"/>
              </w:rPr>
              <w:t xml:space="preserve"> suivante et des points de l'ordre du jour préliminaire de conférences futures, conformément à l'article 7 de la Convention </w:t>
            </w:r>
            <w:r w:rsidR="003B6317" w:rsidRPr="00334389">
              <w:rPr>
                <w:lang w:val="fr-FR"/>
              </w:rPr>
              <w:t>de l</w:t>
            </w:r>
            <w:r w:rsidR="00051D73" w:rsidRPr="00334389">
              <w:rPr>
                <w:lang w:val="fr-FR"/>
              </w:rPr>
              <w:t>'</w:t>
            </w:r>
            <w:r w:rsidR="003B6317" w:rsidRPr="00334389">
              <w:rPr>
                <w:lang w:val="fr-FR"/>
              </w:rPr>
              <w:t xml:space="preserve">UIT </w:t>
            </w:r>
            <w:r w:rsidRPr="00334389">
              <w:rPr>
                <w:lang w:val="fr-FR"/>
              </w:rPr>
              <w:t>et à la Résolution </w:t>
            </w:r>
            <w:r w:rsidRPr="00334389">
              <w:rPr>
                <w:b/>
                <w:lang w:val="fr-FR"/>
              </w:rPr>
              <w:t>804 (Rév.CMR-19)</w:t>
            </w:r>
            <w:r w:rsidRPr="00334389">
              <w:rPr>
                <w:bCs/>
                <w:lang w:val="fr-FR"/>
              </w:rPr>
              <w:t>;</w:t>
            </w:r>
          </w:p>
        </w:tc>
        <w:tc>
          <w:tcPr>
            <w:tcW w:w="1276" w:type="dxa"/>
          </w:tcPr>
          <w:p w14:paraId="2E4212F4" w14:textId="27A5C054" w:rsidR="003E75D0" w:rsidRPr="00334389" w:rsidRDefault="003E75D0" w:rsidP="002F5D3A">
            <w:pPr>
              <w:pStyle w:val="TableText0"/>
              <w:jc w:val="center"/>
              <w:rPr>
                <w:lang w:val="fr-FR"/>
              </w:rPr>
            </w:pPr>
            <w:r w:rsidRPr="00334389">
              <w:rPr>
                <w:lang w:val="fr-FR"/>
              </w:rPr>
              <w:t>A27</w:t>
            </w:r>
          </w:p>
        </w:tc>
      </w:tr>
    </w:tbl>
    <w:p w14:paraId="0010E1F8" w14:textId="6C02DE7A" w:rsidR="0093791E" w:rsidRPr="00334389" w:rsidRDefault="00CE3F1C" w:rsidP="002F5D3A">
      <w:pPr>
        <w:jc w:val="center"/>
      </w:pPr>
      <w:r w:rsidRPr="00334389">
        <w:t>______________</w:t>
      </w:r>
    </w:p>
    <w:sectPr w:rsidR="0093791E" w:rsidRPr="00334389" w:rsidSect="002745A6">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10EF6" w14:textId="77777777" w:rsidR="005E2DF1" w:rsidRDefault="005E2DF1">
      <w:r>
        <w:separator/>
      </w:r>
    </w:p>
  </w:endnote>
  <w:endnote w:type="continuationSeparator" w:id="0">
    <w:p w14:paraId="74F0CCE2" w14:textId="77777777" w:rsidR="005E2DF1" w:rsidRDefault="005E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0DC5B" w14:textId="42BBA600" w:rsidR="00936D25" w:rsidRDefault="00936D25">
    <w:pPr>
      <w:rPr>
        <w:lang w:val="en-US"/>
      </w:rPr>
    </w:pPr>
    <w:r>
      <w:fldChar w:fldCharType="begin"/>
    </w:r>
    <w:r>
      <w:rPr>
        <w:lang w:val="en-US"/>
      </w:rPr>
      <w:instrText xml:space="preserve"> FILENAME \p  \* MERGEFORMAT </w:instrText>
    </w:r>
    <w:r>
      <w:fldChar w:fldCharType="separate"/>
    </w:r>
    <w:r w:rsidR="008C2769">
      <w:rPr>
        <w:noProof/>
        <w:lang w:val="en-US"/>
      </w:rPr>
      <w:t>P:\FRA\ITU-R\CONF-R\CMR23\100\111F.docx</w:t>
    </w:r>
    <w:r>
      <w:fldChar w:fldCharType="end"/>
    </w:r>
    <w:r>
      <w:rPr>
        <w:lang w:val="en-US"/>
      </w:rPr>
      <w:tab/>
    </w:r>
    <w:r>
      <w:fldChar w:fldCharType="begin"/>
    </w:r>
    <w:r>
      <w:instrText xml:space="preserve"> SAVEDATE \@ DD.MM.YY </w:instrText>
    </w:r>
    <w:r>
      <w:fldChar w:fldCharType="separate"/>
    </w:r>
    <w:r w:rsidR="008C2769">
      <w:rPr>
        <w:noProof/>
      </w:rPr>
      <w:t>15.11.23</w:t>
    </w:r>
    <w:r>
      <w:fldChar w:fldCharType="end"/>
    </w:r>
    <w:r>
      <w:rPr>
        <w:lang w:val="en-US"/>
      </w:rPr>
      <w:tab/>
    </w:r>
    <w:r>
      <w:fldChar w:fldCharType="begin"/>
    </w:r>
    <w:r>
      <w:instrText xml:space="preserve"> PRINTDATE \@ DD.MM.YY </w:instrText>
    </w:r>
    <w:r>
      <w:fldChar w:fldCharType="separate"/>
    </w:r>
    <w:r w:rsidR="008C2769">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B8F9F" w14:textId="1F393D0E" w:rsidR="00936D25" w:rsidRPr="00403711" w:rsidRDefault="00403711" w:rsidP="00403711">
    <w:pPr>
      <w:pStyle w:val="Footer"/>
      <w:rPr>
        <w:lang w:val="en-GB"/>
      </w:rPr>
    </w:pPr>
    <w:r>
      <w:fldChar w:fldCharType="begin"/>
    </w:r>
    <w:r w:rsidRPr="00403711">
      <w:rPr>
        <w:lang w:val="en-GB"/>
      </w:rPr>
      <w:instrText xml:space="preserve"> FILENAME \p  \* MERGEFORMAT </w:instrText>
    </w:r>
    <w:r>
      <w:fldChar w:fldCharType="separate"/>
    </w:r>
    <w:r w:rsidR="008C2769">
      <w:rPr>
        <w:lang w:val="en-GB"/>
      </w:rPr>
      <w:t>P:\FRA\ITU-R\CONF-R\CMR23\100\111F.docx</w:t>
    </w:r>
    <w:r>
      <w:fldChar w:fldCharType="end"/>
    </w:r>
    <w:r w:rsidRPr="00403711">
      <w:rPr>
        <w:lang w:val="en-GB"/>
      </w:rPr>
      <w:t xml:space="preserve"> (</w:t>
    </w:r>
    <w:r>
      <w:rPr>
        <w:lang w:val="en-GB"/>
      </w:rPr>
      <w:t>530236)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5872" w14:textId="6FBAEDD2" w:rsidR="00936D25" w:rsidRPr="00403711" w:rsidRDefault="00403711" w:rsidP="00403711">
    <w:pPr>
      <w:pStyle w:val="Footer"/>
      <w:rPr>
        <w:lang w:val="en-GB"/>
      </w:rPr>
    </w:pPr>
    <w:r>
      <w:fldChar w:fldCharType="begin"/>
    </w:r>
    <w:r w:rsidRPr="00403711">
      <w:rPr>
        <w:lang w:val="en-GB"/>
      </w:rPr>
      <w:instrText xml:space="preserve"> FILENAME \p  \* MERGEFORMAT </w:instrText>
    </w:r>
    <w:r>
      <w:fldChar w:fldCharType="separate"/>
    </w:r>
    <w:r w:rsidR="008C2769">
      <w:rPr>
        <w:lang w:val="en-GB"/>
      </w:rPr>
      <w:t>P:\FRA\ITU-R\CONF-R\CMR23\100\111F.docx</w:t>
    </w:r>
    <w:r>
      <w:fldChar w:fldCharType="end"/>
    </w:r>
    <w:r w:rsidRPr="00403711">
      <w:rPr>
        <w:lang w:val="en-GB"/>
      </w:rPr>
      <w:t xml:space="preserve"> (</w:t>
    </w:r>
    <w:r w:rsidR="00DA360A" w:rsidRPr="00403711">
      <w:rPr>
        <w:lang w:val="en-GB"/>
      </w:rPr>
      <w:t>53</w:t>
    </w:r>
    <w:r>
      <w:rPr>
        <w:lang w:val="en-GB"/>
      </w:rPr>
      <w:t>3236</w:t>
    </w:r>
    <w:r w:rsidR="00CE3F1C" w:rsidRPr="00403711">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FA464" w14:textId="77777777" w:rsidR="005E2DF1" w:rsidRDefault="005E2DF1">
      <w:r>
        <w:rPr>
          <w:b/>
        </w:rPr>
        <w:t>_______________</w:t>
      </w:r>
    </w:p>
  </w:footnote>
  <w:footnote w:type="continuationSeparator" w:id="0">
    <w:p w14:paraId="24887FDD" w14:textId="77777777" w:rsidR="005E2DF1" w:rsidRDefault="005E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474FC" w14:textId="1ACA3440" w:rsidR="004F1F8E" w:rsidRDefault="004F1F8E" w:rsidP="004F1F8E">
    <w:pPr>
      <w:pStyle w:val="Header"/>
    </w:pPr>
    <w:r>
      <w:fldChar w:fldCharType="begin"/>
    </w:r>
    <w:r>
      <w:instrText xml:space="preserve"> PAGE </w:instrText>
    </w:r>
    <w:r>
      <w:fldChar w:fldCharType="separate"/>
    </w:r>
    <w:r w:rsidR="00AE4921">
      <w:rPr>
        <w:noProof/>
      </w:rPr>
      <w:t>2</w:t>
    </w:r>
    <w:r>
      <w:fldChar w:fldCharType="end"/>
    </w:r>
  </w:p>
  <w:p w14:paraId="307E2EC2" w14:textId="3D41A7AC" w:rsidR="002745A6" w:rsidRDefault="00713F18">
    <w:pPr>
      <w:pStyle w:val="Header"/>
    </w:pPr>
    <w:r>
      <w:t>WRC23/111-F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3FC38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6E41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3C66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02807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0857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C40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A63D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38FF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AE4F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33062D85"/>
    <w:multiLevelType w:val="hybridMultilevel"/>
    <w:tmpl w:val="91283336"/>
    <w:lvl w:ilvl="0" w:tplc="BBBCB1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0A083C"/>
    <w:multiLevelType w:val="hybridMultilevel"/>
    <w:tmpl w:val="3654B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4343894">
    <w:abstractNumId w:val="8"/>
  </w:num>
  <w:num w:numId="2" w16cid:durableId="56152744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6340478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77282317">
    <w:abstractNumId w:val="11"/>
  </w:num>
  <w:num w:numId="5" w16cid:durableId="313265350">
    <w:abstractNumId w:val="9"/>
  </w:num>
  <w:num w:numId="6" w16cid:durableId="1421102982">
    <w:abstractNumId w:val="7"/>
  </w:num>
  <w:num w:numId="7" w16cid:durableId="32273224">
    <w:abstractNumId w:val="6"/>
  </w:num>
  <w:num w:numId="8" w16cid:durableId="993148414">
    <w:abstractNumId w:val="5"/>
  </w:num>
  <w:num w:numId="9" w16cid:durableId="296886012">
    <w:abstractNumId w:val="4"/>
  </w:num>
  <w:num w:numId="10" w16cid:durableId="472138759">
    <w:abstractNumId w:val="3"/>
  </w:num>
  <w:num w:numId="11" w16cid:durableId="1836338114">
    <w:abstractNumId w:val="2"/>
  </w:num>
  <w:num w:numId="12" w16cid:durableId="279647321">
    <w:abstractNumId w:val="1"/>
  </w:num>
  <w:num w:numId="13" w16cid:durableId="2116170417">
    <w:abstractNumId w:val="0"/>
  </w:num>
  <w:num w:numId="14" w16cid:durableId="19775607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2EA"/>
    <w:rsid w:val="00000A7D"/>
    <w:rsid w:val="00011A84"/>
    <w:rsid w:val="00016648"/>
    <w:rsid w:val="00034BD8"/>
    <w:rsid w:val="0003522F"/>
    <w:rsid w:val="00042C03"/>
    <w:rsid w:val="00051D73"/>
    <w:rsid w:val="000543C6"/>
    <w:rsid w:val="00057ACD"/>
    <w:rsid w:val="000650F5"/>
    <w:rsid w:val="00075869"/>
    <w:rsid w:val="00080E2C"/>
    <w:rsid w:val="000956EF"/>
    <w:rsid w:val="000A4755"/>
    <w:rsid w:val="000B2E0C"/>
    <w:rsid w:val="000B3D0C"/>
    <w:rsid w:val="000D751F"/>
    <w:rsid w:val="000E38D0"/>
    <w:rsid w:val="000F74CA"/>
    <w:rsid w:val="001167B9"/>
    <w:rsid w:val="001267A0"/>
    <w:rsid w:val="00134655"/>
    <w:rsid w:val="001471A3"/>
    <w:rsid w:val="00160C64"/>
    <w:rsid w:val="00166243"/>
    <w:rsid w:val="00170459"/>
    <w:rsid w:val="00177D2B"/>
    <w:rsid w:val="00182FD7"/>
    <w:rsid w:val="001838A7"/>
    <w:rsid w:val="0019352B"/>
    <w:rsid w:val="001960D0"/>
    <w:rsid w:val="001A4BBC"/>
    <w:rsid w:val="001E0394"/>
    <w:rsid w:val="001F5697"/>
    <w:rsid w:val="0021129B"/>
    <w:rsid w:val="00216A2F"/>
    <w:rsid w:val="002207AD"/>
    <w:rsid w:val="00232FD2"/>
    <w:rsid w:val="002342AB"/>
    <w:rsid w:val="002639AA"/>
    <w:rsid w:val="002745A6"/>
    <w:rsid w:val="00290C48"/>
    <w:rsid w:val="002939DA"/>
    <w:rsid w:val="002A4622"/>
    <w:rsid w:val="002B17E5"/>
    <w:rsid w:val="002C0EBF"/>
    <w:rsid w:val="002C5FCD"/>
    <w:rsid w:val="002E2CDE"/>
    <w:rsid w:val="002F5C04"/>
    <w:rsid w:val="002F5D3A"/>
    <w:rsid w:val="00310753"/>
    <w:rsid w:val="00315A18"/>
    <w:rsid w:val="00315AFE"/>
    <w:rsid w:val="00334389"/>
    <w:rsid w:val="00357000"/>
    <w:rsid w:val="003606A6"/>
    <w:rsid w:val="00364BAB"/>
    <w:rsid w:val="00365521"/>
    <w:rsid w:val="0036650C"/>
    <w:rsid w:val="00384481"/>
    <w:rsid w:val="003855FE"/>
    <w:rsid w:val="0038657F"/>
    <w:rsid w:val="00395F5E"/>
    <w:rsid w:val="003A583E"/>
    <w:rsid w:val="003B6317"/>
    <w:rsid w:val="003D44D4"/>
    <w:rsid w:val="003E112B"/>
    <w:rsid w:val="003E5E3D"/>
    <w:rsid w:val="003E75D0"/>
    <w:rsid w:val="00403711"/>
    <w:rsid w:val="00416F68"/>
    <w:rsid w:val="00417E17"/>
    <w:rsid w:val="00434DC5"/>
    <w:rsid w:val="00444519"/>
    <w:rsid w:val="00457428"/>
    <w:rsid w:val="00466211"/>
    <w:rsid w:val="00476D51"/>
    <w:rsid w:val="00486947"/>
    <w:rsid w:val="00492D1D"/>
    <w:rsid w:val="004C154F"/>
    <w:rsid w:val="004D01FC"/>
    <w:rsid w:val="004E2115"/>
    <w:rsid w:val="004E28C3"/>
    <w:rsid w:val="004F1F8E"/>
    <w:rsid w:val="00501560"/>
    <w:rsid w:val="0051156E"/>
    <w:rsid w:val="00556293"/>
    <w:rsid w:val="00557ED3"/>
    <w:rsid w:val="00561721"/>
    <w:rsid w:val="00563AD3"/>
    <w:rsid w:val="00564D4F"/>
    <w:rsid w:val="00584FF8"/>
    <w:rsid w:val="00586CF2"/>
    <w:rsid w:val="00587A4E"/>
    <w:rsid w:val="00593130"/>
    <w:rsid w:val="005A125B"/>
    <w:rsid w:val="005A53F9"/>
    <w:rsid w:val="005A5DF0"/>
    <w:rsid w:val="005B231C"/>
    <w:rsid w:val="005C3768"/>
    <w:rsid w:val="005C6C3F"/>
    <w:rsid w:val="005D1626"/>
    <w:rsid w:val="005D19E8"/>
    <w:rsid w:val="005E2BCC"/>
    <w:rsid w:val="005E2DF1"/>
    <w:rsid w:val="00603415"/>
    <w:rsid w:val="00603553"/>
    <w:rsid w:val="00612908"/>
    <w:rsid w:val="00613635"/>
    <w:rsid w:val="0062093D"/>
    <w:rsid w:val="00637ECF"/>
    <w:rsid w:val="00647B59"/>
    <w:rsid w:val="00654E39"/>
    <w:rsid w:val="00677AA1"/>
    <w:rsid w:val="006A46D2"/>
    <w:rsid w:val="006F7F9D"/>
    <w:rsid w:val="00701BAE"/>
    <w:rsid w:val="007102FB"/>
    <w:rsid w:val="00713F18"/>
    <w:rsid w:val="007154FD"/>
    <w:rsid w:val="00730E95"/>
    <w:rsid w:val="00767D4B"/>
    <w:rsid w:val="00772CB9"/>
    <w:rsid w:val="00774362"/>
    <w:rsid w:val="0079476D"/>
    <w:rsid w:val="00797F31"/>
    <w:rsid w:val="007A0160"/>
    <w:rsid w:val="007A04E8"/>
    <w:rsid w:val="007C5224"/>
    <w:rsid w:val="007D5F42"/>
    <w:rsid w:val="007F614C"/>
    <w:rsid w:val="00813E35"/>
    <w:rsid w:val="008274B2"/>
    <w:rsid w:val="0084553F"/>
    <w:rsid w:val="00857F45"/>
    <w:rsid w:val="00875375"/>
    <w:rsid w:val="00876DBA"/>
    <w:rsid w:val="008A3120"/>
    <w:rsid w:val="008A3D1E"/>
    <w:rsid w:val="008C000E"/>
    <w:rsid w:val="008C2769"/>
    <w:rsid w:val="008C2E21"/>
    <w:rsid w:val="008D41BE"/>
    <w:rsid w:val="008D58D3"/>
    <w:rsid w:val="008D6821"/>
    <w:rsid w:val="008E2EB5"/>
    <w:rsid w:val="008F4BD3"/>
    <w:rsid w:val="00911EC7"/>
    <w:rsid w:val="00923064"/>
    <w:rsid w:val="00936D25"/>
    <w:rsid w:val="0093791E"/>
    <w:rsid w:val="00941EA5"/>
    <w:rsid w:val="009506E1"/>
    <w:rsid w:val="00953A6A"/>
    <w:rsid w:val="00955F27"/>
    <w:rsid w:val="00966C16"/>
    <w:rsid w:val="009765A8"/>
    <w:rsid w:val="009808B1"/>
    <w:rsid w:val="0098732F"/>
    <w:rsid w:val="009A3A07"/>
    <w:rsid w:val="009B07D4"/>
    <w:rsid w:val="009C7D89"/>
    <w:rsid w:val="009C7E7C"/>
    <w:rsid w:val="009D1B5D"/>
    <w:rsid w:val="00A00473"/>
    <w:rsid w:val="00A03C9B"/>
    <w:rsid w:val="00A05CE7"/>
    <w:rsid w:val="00A516BB"/>
    <w:rsid w:val="00A542C5"/>
    <w:rsid w:val="00A606C3"/>
    <w:rsid w:val="00A66F63"/>
    <w:rsid w:val="00A70C2C"/>
    <w:rsid w:val="00A83B09"/>
    <w:rsid w:val="00A84541"/>
    <w:rsid w:val="00AD14EC"/>
    <w:rsid w:val="00AD4B1F"/>
    <w:rsid w:val="00AE36A0"/>
    <w:rsid w:val="00AE486B"/>
    <w:rsid w:val="00AE4921"/>
    <w:rsid w:val="00B00294"/>
    <w:rsid w:val="00B03FEC"/>
    <w:rsid w:val="00B23EDF"/>
    <w:rsid w:val="00B268D6"/>
    <w:rsid w:val="00B41836"/>
    <w:rsid w:val="00B4273F"/>
    <w:rsid w:val="00B5368D"/>
    <w:rsid w:val="00B64FD0"/>
    <w:rsid w:val="00B82E35"/>
    <w:rsid w:val="00BC4685"/>
    <w:rsid w:val="00BE4A93"/>
    <w:rsid w:val="00BF26E7"/>
    <w:rsid w:val="00BF2CA1"/>
    <w:rsid w:val="00C01C69"/>
    <w:rsid w:val="00C07FB1"/>
    <w:rsid w:val="00C668C9"/>
    <w:rsid w:val="00C814B9"/>
    <w:rsid w:val="00C90533"/>
    <w:rsid w:val="00C96B1C"/>
    <w:rsid w:val="00CB2417"/>
    <w:rsid w:val="00CD3928"/>
    <w:rsid w:val="00CD516F"/>
    <w:rsid w:val="00CE2C8D"/>
    <w:rsid w:val="00CE3F1C"/>
    <w:rsid w:val="00CE52EA"/>
    <w:rsid w:val="00CE6A1C"/>
    <w:rsid w:val="00CF3E62"/>
    <w:rsid w:val="00D119A7"/>
    <w:rsid w:val="00D25FBA"/>
    <w:rsid w:val="00D66EAC"/>
    <w:rsid w:val="00D67355"/>
    <w:rsid w:val="00D730DF"/>
    <w:rsid w:val="00D77050"/>
    <w:rsid w:val="00D772F0"/>
    <w:rsid w:val="00D77BDC"/>
    <w:rsid w:val="00D8241C"/>
    <w:rsid w:val="00D95E60"/>
    <w:rsid w:val="00DA360A"/>
    <w:rsid w:val="00DB3738"/>
    <w:rsid w:val="00DC402B"/>
    <w:rsid w:val="00DD2332"/>
    <w:rsid w:val="00DD6E28"/>
    <w:rsid w:val="00DD7B06"/>
    <w:rsid w:val="00DE0932"/>
    <w:rsid w:val="00E049F1"/>
    <w:rsid w:val="00E23624"/>
    <w:rsid w:val="00E31FFE"/>
    <w:rsid w:val="00E349D4"/>
    <w:rsid w:val="00E37A25"/>
    <w:rsid w:val="00E506B7"/>
    <w:rsid w:val="00E523D3"/>
    <w:rsid w:val="00E70A31"/>
    <w:rsid w:val="00E81D31"/>
    <w:rsid w:val="00E84AC6"/>
    <w:rsid w:val="00E937A9"/>
    <w:rsid w:val="00E96AE0"/>
    <w:rsid w:val="00E977A2"/>
    <w:rsid w:val="00EA094F"/>
    <w:rsid w:val="00EA3F38"/>
    <w:rsid w:val="00EA4E8D"/>
    <w:rsid w:val="00EA5AB6"/>
    <w:rsid w:val="00EB7F77"/>
    <w:rsid w:val="00EC7615"/>
    <w:rsid w:val="00ED0CCE"/>
    <w:rsid w:val="00ED16AA"/>
    <w:rsid w:val="00ED2814"/>
    <w:rsid w:val="00EF255A"/>
    <w:rsid w:val="00EF662E"/>
    <w:rsid w:val="00F04B51"/>
    <w:rsid w:val="00F0711F"/>
    <w:rsid w:val="00F1135A"/>
    <w:rsid w:val="00F148F1"/>
    <w:rsid w:val="00F372DE"/>
    <w:rsid w:val="00F536BE"/>
    <w:rsid w:val="00F857B6"/>
    <w:rsid w:val="00F9722E"/>
    <w:rsid w:val="00FA0615"/>
    <w:rsid w:val="00FA3BBF"/>
    <w:rsid w:val="00FC0101"/>
    <w:rsid w:val="00FC41F8"/>
    <w:rsid w:val="00FC4ADC"/>
    <w:rsid w:val="00FF1C40"/>
    <w:rsid w:val="00FF49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FE057E"/>
  <w15:docId w15:val="{789BBE00-B864-4266-BD48-E72401795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AD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FC4ADC"/>
    <w:pPr>
      <w:keepNext/>
      <w:keepLines/>
      <w:spacing w:before="280"/>
      <w:ind w:left="1134" w:hanging="1134"/>
      <w:outlineLvl w:val="0"/>
    </w:pPr>
    <w:rPr>
      <w:b/>
      <w:sz w:val="28"/>
    </w:rPr>
  </w:style>
  <w:style w:type="paragraph" w:styleId="Heading2">
    <w:name w:val="heading 2"/>
    <w:basedOn w:val="Heading1"/>
    <w:next w:val="Normal"/>
    <w:link w:val="Heading2Char"/>
    <w:qFormat/>
    <w:rsid w:val="00FC4ADC"/>
    <w:pPr>
      <w:spacing w:before="200"/>
      <w:outlineLvl w:val="1"/>
    </w:pPr>
    <w:rPr>
      <w:sz w:val="24"/>
    </w:rPr>
  </w:style>
  <w:style w:type="paragraph" w:styleId="Heading3">
    <w:name w:val="heading 3"/>
    <w:basedOn w:val="Heading1"/>
    <w:next w:val="Normal"/>
    <w:link w:val="Heading3Char"/>
    <w:qFormat/>
    <w:rsid w:val="00FC4ADC"/>
    <w:pPr>
      <w:tabs>
        <w:tab w:val="clear" w:pos="1134"/>
      </w:tabs>
      <w:spacing w:before="200"/>
      <w:outlineLvl w:val="2"/>
    </w:pPr>
    <w:rPr>
      <w:sz w:val="24"/>
    </w:rPr>
  </w:style>
  <w:style w:type="paragraph" w:styleId="Heading4">
    <w:name w:val="heading 4"/>
    <w:basedOn w:val="Heading3"/>
    <w:next w:val="Normal"/>
    <w:link w:val="Heading4Char"/>
    <w:qFormat/>
    <w:rsid w:val="00FC4ADC"/>
    <w:pPr>
      <w:outlineLvl w:val="3"/>
    </w:pPr>
  </w:style>
  <w:style w:type="paragraph" w:styleId="Heading5">
    <w:name w:val="heading 5"/>
    <w:basedOn w:val="Heading4"/>
    <w:next w:val="Normal"/>
    <w:link w:val="Heading5Char"/>
    <w:qFormat/>
    <w:rsid w:val="00FC4ADC"/>
    <w:pPr>
      <w:outlineLvl w:val="4"/>
    </w:pPr>
  </w:style>
  <w:style w:type="paragraph" w:styleId="Heading6">
    <w:name w:val="heading 6"/>
    <w:basedOn w:val="Heading4"/>
    <w:next w:val="Normal"/>
    <w:link w:val="Heading6Char"/>
    <w:qFormat/>
    <w:rsid w:val="00FC4ADC"/>
    <w:pPr>
      <w:outlineLvl w:val="5"/>
    </w:pPr>
  </w:style>
  <w:style w:type="paragraph" w:styleId="Heading7">
    <w:name w:val="heading 7"/>
    <w:basedOn w:val="Heading6"/>
    <w:next w:val="Normal"/>
    <w:link w:val="Heading7Char"/>
    <w:qFormat/>
    <w:rsid w:val="00FC4ADC"/>
    <w:pPr>
      <w:outlineLvl w:val="6"/>
    </w:pPr>
  </w:style>
  <w:style w:type="paragraph" w:styleId="Heading8">
    <w:name w:val="heading 8"/>
    <w:basedOn w:val="Heading6"/>
    <w:next w:val="Normal"/>
    <w:link w:val="Heading8Char"/>
    <w:qFormat/>
    <w:rsid w:val="00FC4ADC"/>
    <w:pPr>
      <w:outlineLvl w:val="7"/>
    </w:pPr>
  </w:style>
  <w:style w:type="paragraph" w:styleId="Heading9">
    <w:name w:val="heading 9"/>
    <w:basedOn w:val="Heading6"/>
    <w:next w:val="Normal"/>
    <w:link w:val="Heading9Char"/>
    <w:qFormat/>
    <w:rsid w:val="00FC4A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FC4ADC"/>
    <w:pPr>
      <w:keepNext/>
      <w:keepLines/>
      <w:spacing w:before="480" w:after="80"/>
      <w:jc w:val="center"/>
    </w:pPr>
    <w:rPr>
      <w:caps/>
      <w:sz w:val="28"/>
    </w:rPr>
  </w:style>
  <w:style w:type="paragraph" w:customStyle="1" w:styleId="Annexref">
    <w:name w:val="Annex_ref"/>
    <w:basedOn w:val="Normal"/>
    <w:next w:val="Annextitle"/>
    <w:rsid w:val="00FC4ADC"/>
    <w:pPr>
      <w:keepNext/>
      <w:keepLines/>
      <w:spacing w:after="280"/>
      <w:jc w:val="center"/>
    </w:pPr>
  </w:style>
  <w:style w:type="paragraph" w:customStyle="1" w:styleId="Annextitle">
    <w:name w:val="Annex_title"/>
    <w:basedOn w:val="Normal"/>
    <w:next w:val="Normalaftertitle"/>
    <w:rsid w:val="00FC4ADC"/>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FC4ADC"/>
  </w:style>
  <w:style w:type="paragraph" w:customStyle="1" w:styleId="Appendixref">
    <w:name w:val="Appendix_ref"/>
    <w:basedOn w:val="Annexref"/>
    <w:next w:val="Annextitle"/>
    <w:rsid w:val="00FC4ADC"/>
  </w:style>
  <w:style w:type="paragraph" w:customStyle="1" w:styleId="Appendixtitle">
    <w:name w:val="Appendix_title"/>
    <w:basedOn w:val="Annextitle"/>
    <w:next w:val="Normalaftertitle"/>
    <w:rsid w:val="00FC4ADC"/>
  </w:style>
  <w:style w:type="paragraph" w:customStyle="1" w:styleId="Artheading">
    <w:name w:val="Art_heading"/>
    <w:basedOn w:val="Normal"/>
    <w:next w:val="Normalaftertitle"/>
    <w:rsid w:val="00FC4ADC"/>
    <w:pPr>
      <w:spacing w:before="480"/>
      <w:jc w:val="center"/>
    </w:pPr>
    <w:rPr>
      <w:rFonts w:ascii="Times New Roman Bold" w:hAnsi="Times New Roman Bold"/>
      <w:b/>
      <w:sz w:val="28"/>
    </w:rPr>
  </w:style>
  <w:style w:type="paragraph" w:customStyle="1" w:styleId="ArtNo">
    <w:name w:val="Art_No"/>
    <w:basedOn w:val="Normal"/>
    <w:next w:val="Arttitle"/>
    <w:rsid w:val="00FC4ADC"/>
    <w:pPr>
      <w:keepNext/>
      <w:keepLines/>
      <w:spacing w:before="480"/>
      <w:jc w:val="center"/>
    </w:pPr>
    <w:rPr>
      <w:caps/>
      <w:sz w:val="28"/>
    </w:rPr>
  </w:style>
  <w:style w:type="paragraph" w:customStyle="1" w:styleId="Arttitle">
    <w:name w:val="Art_title"/>
    <w:basedOn w:val="Normal"/>
    <w:next w:val="Normalaftertitle"/>
    <w:rsid w:val="00FC4ADC"/>
    <w:pPr>
      <w:keepNext/>
      <w:keepLines/>
      <w:spacing w:before="240"/>
      <w:jc w:val="center"/>
    </w:pPr>
    <w:rPr>
      <w:b/>
      <w:sz w:val="28"/>
    </w:rPr>
  </w:style>
  <w:style w:type="paragraph" w:customStyle="1" w:styleId="Call">
    <w:name w:val="Call"/>
    <w:basedOn w:val="Normal"/>
    <w:next w:val="Normal"/>
    <w:rsid w:val="00FC4ADC"/>
    <w:pPr>
      <w:keepNext/>
      <w:keepLines/>
      <w:spacing w:before="160"/>
      <w:ind w:left="1134"/>
    </w:pPr>
    <w:rPr>
      <w:i/>
    </w:rPr>
  </w:style>
  <w:style w:type="paragraph" w:customStyle="1" w:styleId="ChapNo">
    <w:name w:val="Chap_No"/>
    <w:basedOn w:val="ArtNo"/>
    <w:next w:val="Chaptitle"/>
    <w:rsid w:val="00FC4ADC"/>
    <w:rPr>
      <w:rFonts w:ascii="Times New Roman Bold" w:hAnsi="Times New Roman Bold"/>
      <w:b/>
    </w:rPr>
  </w:style>
  <w:style w:type="paragraph" w:customStyle="1" w:styleId="Chaptitle">
    <w:name w:val="Chap_title"/>
    <w:basedOn w:val="Arttitle"/>
    <w:next w:val="Normalaftertitle"/>
    <w:rsid w:val="00FC4ADC"/>
  </w:style>
  <w:style w:type="paragraph" w:customStyle="1" w:styleId="ddate">
    <w:name w:val="ddate"/>
    <w:basedOn w:val="Normal"/>
    <w:rsid w:val="00FC4ADC"/>
    <w:pPr>
      <w:framePr w:hSpace="181" w:wrap="around" w:vAnchor="page" w:hAnchor="margin" w:y="852"/>
      <w:shd w:val="solid" w:color="FFFFFF" w:fill="FFFFFF"/>
      <w:spacing w:before="0"/>
    </w:pPr>
    <w:rPr>
      <w:b/>
      <w:bCs/>
    </w:rPr>
  </w:style>
  <w:style w:type="paragraph" w:customStyle="1" w:styleId="dnum">
    <w:name w:val="dnum"/>
    <w:basedOn w:val="Normal"/>
    <w:rsid w:val="00FC4ADC"/>
    <w:pPr>
      <w:framePr w:hSpace="181" w:wrap="around" w:vAnchor="page" w:hAnchor="margin" w:y="852"/>
      <w:shd w:val="solid" w:color="FFFFFF" w:fill="FFFFFF"/>
    </w:pPr>
    <w:rPr>
      <w:b/>
      <w:bCs/>
    </w:rPr>
  </w:style>
  <w:style w:type="paragraph" w:customStyle="1" w:styleId="dorlang">
    <w:name w:val="dorlang"/>
    <w:basedOn w:val="Normal"/>
    <w:rsid w:val="00FC4ADC"/>
    <w:pPr>
      <w:framePr w:hSpace="181" w:wrap="around" w:vAnchor="page" w:hAnchor="margin" w:y="852"/>
      <w:shd w:val="solid" w:color="FFFFFF" w:fill="FFFFFF"/>
      <w:spacing w:before="0"/>
    </w:pPr>
    <w:rPr>
      <w:b/>
      <w:bCs/>
    </w:rPr>
  </w:style>
  <w:style w:type="character" w:styleId="EndnoteReference">
    <w:name w:val="endnote reference"/>
    <w:rsid w:val="00FC4ADC"/>
    <w:rPr>
      <w:vertAlign w:val="superscript"/>
    </w:rPr>
  </w:style>
  <w:style w:type="paragraph" w:customStyle="1" w:styleId="enumlev1">
    <w:name w:val="enumlev1"/>
    <w:basedOn w:val="Normal"/>
    <w:link w:val="enumlev1Char"/>
    <w:rsid w:val="00FC4ADC"/>
    <w:pPr>
      <w:tabs>
        <w:tab w:val="clear" w:pos="2268"/>
        <w:tab w:val="left" w:pos="2608"/>
        <w:tab w:val="left" w:pos="3345"/>
      </w:tabs>
      <w:spacing w:before="80"/>
      <w:ind w:left="1134" w:hanging="1134"/>
    </w:pPr>
  </w:style>
  <w:style w:type="paragraph" w:customStyle="1" w:styleId="enumlev2">
    <w:name w:val="enumlev2"/>
    <w:basedOn w:val="enumlev1"/>
    <w:rsid w:val="00FC4ADC"/>
    <w:pPr>
      <w:ind w:left="1871" w:hanging="737"/>
    </w:pPr>
  </w:style>
  <w:style w:type="paragraph" w:customStyle="1" w:styleId="enumlev3">
    <w:name w:val="enumlev3"/>
    <w:basedOn w:val="enumlev2"/>
    <w:rsid w:val="00FC4ADC"/>
    <w:pPr>
      <w:ind w:left="2268" w:hanging="397"/>
    </w:pPr>
  </w:style>
  <w:style w:type="paragraph" w:customStyle="1" w:styleId="Equation">
    <w:name w:val="Equation"/>
    <w:basedOn w:val="Normal"/>
    <w:rsid w:val="00FC4ADC"/>
    <w:pPr>
      <w:tabs>
        <w:tab w:val="clear" w:pos="1871"/>
        <w:tab w:val="clear" w:pos="2268"/>
        <w:tab w:val="center" w:pos="4820"/>
        <w:tab w:val="right" w:pos="9639"/>
      </w:tabs>
    </w:pPr>
  </w:style>
  <w:style w:type="paragraph" w:styleId="NormalIndent">
    <w:name w:val="Normal Indent"/>
    <w:basedOn w:val="Normal"/>
    <w:rsid w:val="00FC4ADC"/>
    <w:pPr>
      <w:ind w:left="1134"/>
    </w:pPr>
  </w:style>
  <w:style w:type="paragraph" w:customStyle="1" w:styleId="Equationlegend">
    <w:name w:val="Equation_legend"/>
    <w:basedOn w:val="NormalIndent"/>
    <w:rsid w:val="00FC4ADC"/>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FC4ADC"/>
    <w:pPr>
      <w:keepNext/>
      <w:keepLines/>
      <w:spacing w:before="20" w:after="20"/>
    </w:pPr>
    <w:rPr>
      <w:sz w:val="18"/>
    </w:rPr>
  </w:style>
  <w:style w:type="paragraph" w:customStyle="1" w:styleId="FigureNo">
    <w:name w:val="Figure_No"/>
    <w:basedOn w:val="Normal"/>
    <w:next w:val="Figuretitle"/>
    <w:rsid w:val="00FC4ADC"/>
    <w:pPr>
      <w:keepNext/>
      <w:keepLines/>
      <w:spacing w:before="480" w:after="120"/>
      <w:jc w:val="center"/>
    </w:pPr>
    <w:rPr>
      <w:caps/>
      <w:sz w:val="20"/>
    </w:rPr>
  </w:style>
  <w:style w:type="paragraph" w:customStyle="1" w:styleId="Figuretitle">
    <w:name w:val="Figure_title"/>
    <w:basedOn w:val="Normal"/>
    <w:next w:val="Normal"/>
    <w:rsid w:val="00FC4ADC"/>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rsid w:val="00FC4ADC"/>
    <w:pPr>
      <w:keepNext w:val="0"/>
    </w:pPr>
  </w:style>
  <w:style w:type="paragraph" w:styleId="Footer">
    <w:name w:val="footer"/>
    <w:basedOn w:val="Normal"/>
    <w:link w:val="FooterChar"/>
    <w:rsid w:val="00FC4ADC"/>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FC4AD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
    <w:qFormat/>
    <w:rsid w:val="00FC4ADC"/>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qFormat/>
    <w:rsid w:val="00FC4ADC"/>
    <w:pPr>
      <w:keepLines/>
      <w:tabs>
        <w:tab w:val="left" w:pos="255"/>
      </w:tabs>
    </w:pPr>
  </w:style>
  <w:style w:type="paragraph" w:styleId="Header">
    <w:name w:val="header"/>
    <w:basedOn w:val="Normal"/>
    <w:link w:val="HeaderChar"/>
    <w:rsid w:val="00FC4ADC"/>
    <w:pPr>
      <w:spacing w:before="0"/>
      <w:jc w:val="center"/>
    </w:pPr>
    <w:rPr>
      <w:sz w:val="18"/>
    </w:rPr>
  </w:style>
  <w:style w:type="paragraph" w:customStyle="1" w:styleId="Headingb">
    <w:name w:val="Heading_b"/>
    <w:basedOn w:val="Normal"/>
    <w:next w:val="Normal"/>
    <w:qFormat/>
    <w:rsid w:val="00FC4ADC"/>
    <w:pPr>
      <w:keepNext/>
      <w:spacing w:before="160"/>
    </w:pPr>
    <w:rPr>
      <w:b/>
    </w:rPr>
  </w:style>
  <w:style w:type="paragraph" w:customStyle="1" w:styleId="Headingi">
    <w:name w:val="Heading_i"/>
    <w:basedOn w:val="Normal"/>
    <w:next w:val="Normal"/>
    <w:qFormat/>
    <w:rsid w:val="00FC4ADC"/>
    <w:pPr>
      <w:keepNext/>
      <w:spacing w:before="160"/>
    </w:pPr>
    <w:rPr>
      <w:rFonts w:ascii="Times" w:hAnsi="Times"/>
      <w:i/>
    </w:rPr>
  </w:style>
  <w:style w:type="paragraph" w:styleId="Index1">
    <w:name w:val="index 1"/>
    <w:basedOn w:val="Normal"/>
    <w:next w:val="Normal"/>
    <w:uiPriority w:val="99"/>
    <w:rsid w:val="00FC4ADC"/>
  </w:style>
  <w:style w:type="paragraph" w:styleId="Index2">
    <w:name w:val="index 2"/>
    <w:basedOn w:val="Normal"/>
    <w:next w:val="Normal"/>
    <w:uiPriority w:val="99"/>
    <w:rsid w:val="00FC4ADC"/>
    <w:pPr>
      <w:ind w:left="283"/>
    </w:pPr>
  </w:style>
  <w:style w:type="paragraph" w:styleId="Index3">
    <w:name w:val="index 3"/>
    <w:basedOn w:val="Normal"/>
    <w:next w:val="Normal"/>
    <w:uiPriority w:val="99"/>
    <w:rsid w:val="00FC4ADC"/>
    <w:pPr>
      <w:ind w:left="566"/>
    </w:pPr>
  </w:style>
  <w:style w:type="paragraph" w:styleId="Index4">
    <w:name w:val="index 4"/>
    <w:basedOn w:val="Normal"/>
    <w:next w:val="Normal"/>
    <w:uiPriority w:val="99"/>
    <w:rsid w:val="00FC4ADC"/>
    <w:pPr>
      <w:ind w:left="849"/>
    </w:pPr>
  </w:style>
  <w:style w:type="paragraph" w:styleId="Index5">
    <w:name w:val="index 5"/>
    <w:basedOn w:val="Normal"/>
    <w:next w:val="Normal"/>
    <w:uiPriority w:val="99"/>
    <w:rsid w:val="00FC4ADC"/>
    <w:pPr>
      <w:ind w:left="1132"/>
    </w:pPr>
  </w:style>
  <w:style w:type="paragraph" w:styleId="Index6">
    <w:name w:val="index 6"/>
    <w:basedOn w:val="Normal"/>
    <w:next w:val="Normal"/>
    <w:uiPriority w:val="99"/>
    <w:rsid w:val="00FC4ADC"/>
    <w:pPr>
      <w:ind w:left="1415"/>
    </w:pPr>
  </w:style>
  <w:style w:type="paragraph" w:styleId="Index7">
    <w:name w:val="index 7"/>
    <w:basedOn w:val="Normal"/>
    <w:next w:val="Normal"/>
    <w:uiPriority w:val="99"/>
    <w:rsid w:val="00FC4ADC"/>
    <w:pPr>
      <w:ind w:left="1698"/>
    </w:pPr>
  </w:style>
  <w:style w:type="paragraph" w:styleId="IndexHeading">
    <w:name w:val="index heading"/>
    <w:basedOn w:val="Normal"/>
    <w:next w:val="Index1"/>
    <w:uiPriority w:val="99"/>
    <w:rsid w:val="00FC4ADC"/>
  </w:style>
  <w:style w:type="character" w:styleId="LineNumber">
    <w:name w:val="line number"/>
    <w:basedOn w:val="DefaultParagraphFont"/>
    <w:uiPriority w:val="99"/>
    <w:rsid w:val="00FC4ADC"/>
  </w:style>
  <w:style w:type="paragraph" w:customStyle="1" w:styleId="Normalaftertitle">
    <w:name w:val="Normal after title"/>
    <w:basedOn w:val="Normal"/>
    <w:next w:val="Normal"/>
    <w:link w:val="NormalaftertitleChar"/>
    <w:rsid w:val="00FC4ADC"/>
    <w:pPr>
      <w:spacing w:before="280"/>
    </w:pPr>
  </w:style>
  <w:style w:type="character" w:customStyle="1" w:styleId="Appdef">
    <w:name w:val="App_def"/>
    <w:rsid w:val="00FC4ADC"/>
    <w:rPr>
      <w:rFonts w:ascii="Times New Roman" w:hAnsi="Times New Roman"/>
      <w:b/>
    </w:rPr>
  </w:style>
  <w:style w:type="character" w:customStyle="1" w:styleId="Appref">
    <w:name w:val="App_ref"/>
    <w:basedOn w:val="DefaultParagraphFont"/>
    <w:rsid w:val="00FC4ADC"/>
  </w:style>
  <w:style w:type="character" w:customStyle="1" w:styleId="Artdef">
    <w:name w:val="Art_def"/>
    <w:rsid w:val="00FC4ADC"/>
    <w:rPr>
      <w:rFonts w:ascii="Times New Roman" w:hAnsi="Times New Roman"/>
      <w:b/>
    </w:rPr>
  </w:style>
  <w:style w:type="character" w:customStyle="1" w:styleId="Artref">
    <w:name w:val="Art_ref"/>
    <w:basedOn w:val="DefaultParagraphFont"/>
    <w:rsid w:val="00FC4ADC"/>
  </w:style>
  <w:style w:type="paragraph" w:customStyle="1" w:styleId="Border">
    <w:name w:val="Border"/>
    <w:basedOn w:val="Normal"/>
    <w:rsid w:val="00FC4ADC"/>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rsid w:val="00FC4ADC"/>
    <w:pPr>
      <w:keepNext/>
      <w:keepLines/>
      <w:jc w:val="center"/>
    </w:pPr>
  </w:style>
  <w:style w:type="paragraph" w:customStyle="1" w:styleId="Agendaitem">
    <w:name w:val="Agenda_item"/>
    <w:basedOn w:val="Normal"/>
    <w:next w:val="Normalaftertitle"/>
    <w:qFormat/>
    <w:rsid w:val="00FC4ADC"/>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FC4ADC"/>
  </w:style>
  <w:style w:type="paragraph" w:customStyle="1" w:styleId="ApptoAnnex">
    <w:name w:val="App_to_Annex"/>
    <w:basedOn w:val="AppendixNo"/>
    <w:qFormat/>
    <w:rsid w:val="00FC4ADC"/>
  </w:style>
  <w:style w:type="paragraph" w:customStyle="1" w:styleId="Note">
    <w:name w:val="Note"/>
    <w:basedOn w:val="Normal"/>
    <w:rsid w:val="00FC4ADC"/>
    <w:pPr>
      <w:tabs>
        <w:tab w:val="left" w:pos="284"/>
      </w:tabs>
      <w:spacing w:before="80"/>
    </w:pPr>
  </w:style>
  <w:style w:type="character" w:styleId="PageNumber">
    <w:name w:val="page number"/>
    <w:basedOn w:val="DefaultParagraphFont"/>
    <w:uiPriority w:val="99"/>
    <w:rsid w:val="00FC4ADC"/>
  </w:style>
  <w:style w:type="paragraph" w:customStyle="1" w:styleId="Proposal">
    <w:name w:val="Proposal"/>
    <w:basedOn w:val="Normal"/>
    <w:next w:val="Normal"/>
    <w:rsid w:val="00FC4ADC"/>
    <w:pPr>
      <w:keepNext/>
      <w:spacing w:before="240"/>
    </w:pPr>
    <w:rPr>
      <w:rFonts w:hAnsi="Times New Roman Bold"/>
      <w:b/>
    </w:rPr>
  </w:style>
  <w:style w:type="paragraph" w:customStyle="1" w:styleId="Part1">
    <w:name w:val="Part_1"/>
    <w:basedOn w:val="Normal"/>
    <w:next w:val="Normal"/>
    <w:qFormat/>
    <w:rsid w:val="00FC4ADC"/>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FC4ADC"/>
  </w:style>
  <w:style w:type="paragraph" w:customStyle="1" w:styleId="Parttitle">
    <w:name w:val="Part_title"/>
    <w:basedOn w:val="Annextitle"/>
    <w:next w:val="Normalaftertitle"/>
    <w:rsid w:val="00FC4ADC"/>
  </w:style>
  <w:style w:type="paragraph" w:styleId="TOC1">
    <w:name w:val="toc 1"/>
    <w:basedOn w:val="Normal"/>
    <w:rsid w:val="00FC4AD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C4ADC"/>
    <w:pPr>
      <w:spacing w:before="120"/>
    </w:pPr>
  </w:style>
  <w:style w:type="paragraph" w:styleId="TOC3">
    <w:name w:val="toc 3"/>
    <w:basedOn w:val="TOC2"/>
    <w:rsid w:val="00FC4ADC"/>
  </w:style>
  <w:style w:type="paragraph" w:styleId="TOC4">
    <w:name w:val="toc 4"/>
    <w:basedOn w:val="TOC3"/>
    <w:rsid w:val="00FC4ADC"/>
  </w:style>
  <w:style w:type="paragraph" w:styleId="TOC5">
    <w:name w:val="toc 5"/>
    <w:basedOn w:val="TOC4"/>
    <w:rsid w:val="00FC4ADC"/>
  </w:style>
  <w:style w:type="paragraph" w:styleId="TOC6">
    <w:name w:val="toc 6"/>
    <w:basedOn w:val="TOC4"/>
    <w:rsid w:val="00FC4ADC"/>
  </w:style>
  <w:style w:type="paragraph" w:styleId="TOC7">
    <w:name w:val="toc 7"/>
    <w:basedOn w:val="TOC4"/>
    <w:rsid w:val="00FC4ADC"/>
  </w:style>
  <w:style w:type="paragraph" w:styleId="TOC8">
    <w:name w:val="toc 8"/>
    <w:basedOn w:val="TOC4"/>
    <w:rsid w:val="00FC4ADC"/>
  </w:style>
  <w:style w:type="paragraph" w:customStyle="1" w:styleId="Title1">
    <w:name w:val="Title 1"/>
    <w:basedOn w:val="Normal"/>
    <w:next w:val="Normal"/>
    <w:rsid w:val="00FC4ADC"/>
    <w:pPr>
      <w:tabs>
        <w:tab w:val="left" w:pos="567"/>
        <w:tab w:val="left" w:pos="1701"/>
        <w:tab w:val="left" w:pos="2835"/>
      </w:tabs>
      <w:spacing w:before="240"/>
      <w:jc w:val="center"/>
    </w:pPr>
    <w:rPr>
      <w:caps/>
      <w:sz w:val="28"/>
    </w:rPr>
  </w:style>
  <w:style w:type="paragraph" w:customStyle="1" w:styleId="Title2">
    <w:name w:val="Title 2"/>
    <w:basedOn w:val="Normal"/>
    <w:next w:val="Normal"/>
    <w:rsid w:val="00FC4ADC"/>
    <w:pPr>
      <w:overflowPunct/>
      <w:autoSpaceDE/>
      <w:autoSpaceDN/>
      <w:adjustRightInd/>
      <w:spacing w:before="480"/>
      <w:jc w:val="center"/>
      <w:textAlignment w:val="auto"/>
    </w:pPr>
    <w:rPr>
      <w:caps/>
      <w:sz w:val="28"/>
    </w:rPr>
  </w:style>
  <w:style w:type="paragraph" w:customStyle="1" w:styleId="Title3">
    <w:name w:val="Title 3"/>
    <w:basedOn w:val="Title2"/>
    <w:next w:val="Normal"/>
    <w:rsid w:val="00FC4ADC"/>
    <w:pPr>
      <w:spacing w:before="240"/>
    </w:pPr>
    <w:rPr>
      <w:caps w:val="0"/>
    </w:rPr>
  </w:style>
  <w:style w:type="paragraph" w:customStyle="1" w:styleId="Title4">
    <w:name w:val="Title 4"/>
    <w:basedOn w:val="Title3"/>
    <w:next w:val="Heading1"/>
    <w:rsid w:val="00FC4ADC"/>
    <w:rPr>
      <w:b/>
    </w:rPr>
  </w:style>
  <w:style w:type="paragraph" w:customStyle="1" w:styleId="toc0">
    <w:name w:val="toc 0"/>
    <w:basedOn w:val="Normal"/>
    <w:next w:val="TOC1"/>
    <w:rsid w:val="00FC4ADC"/>
    <w:pPr>
      <w:tabs>
        <w:tab w:val="clear" w:pos="1134"/>
        <w:tab w:val="clear" w:pos="1871"/>
        <w:tab w:val="clear" w:pos="2268"/>
        <w:tab w:val="right" w:pos="9781"/>
      </w:tabs>
    </w:pPr>
    <w:rPr>
      <w:b/>
    </w:rPr>
  </w:style>
  <w:style w:type="paragraph" w:customStyle="1" w:styleId="RecNo">
    <w:name w:val="Rec_No"/>
    <w:basedOn w:val="Normal"/>
    <w:next w:val="Normal"/>
    <w:rsid w:val="00FC4ADC"/>
    <w:pPr>
      <w:keepNext/>
      <w:keepLines/>
      <w:spacing w:before="480"/>
      <w:jc w:val="center"/>
    </w:pPr>
    <w:rPr>
      <w:caps/>
      <w:sz w:val="28"/>
    </w:rPr>
  </w:style>
  <w:style w:type="paragraph" w:customStyle="1" w:styleId="Rectitle">
    <w:name w:val="Rec_title"/>
    <w:basedOn w:val="RecNo"/>
    <w:next w:val="Normal"/>
    <w:rsid w:val="00FC4ADC"/>
    <w:pPr>
      <w:spacing w:before="240"/>
    </w:pPr>
    <w:rPr>
      <w:rFonts w:ascii="Times New Roman Bold" w:hAnsi="Times New Roman Bold"/>
      <w:b/>
      <w:caps w:val="0"/>
    </w:rPr>
  </w:style>
  <w:style w:type="paragraph" w:customStyle="1" w:styleId="Recdate">
    <w:name w:val="Rec_date"/>
    <w:basedOn w:val="Normal"/>
    <w:next w:val="Normalaftertitle"/>
    <w:rsid w:val="00FC4ADC"/>
    <w:pPr>
      <w:keepNext/>
      <w:keepLines/>
      <w:jc w:val="right"/>
    </w:pPr>
    <w:rPr>
      <w:sz w:val="22"/>
    </w:rPr>
  </w:style>
  <w:style w:type="paragraph" w:customStyle="1" w:styleId="Questiondate">
    <w:name w:val="Question_date"/>
    <w:basedOn w:val="Recdate"/>
    <w:next w:val="Normalaftertitle"/>
    <w:rsid w:val="00FC4ADC"/>
  </w:style>
  <w:style w:type="paragraph" w:customStyle="1" w:styleId="QuestionNo">
    <w:name w:val="Question_No"/>
    <w:basedOn w:val="RecNo"/>
    <w:next w:val="Normal"/>
    <w:rsid w:val="00FC4ADC"/>
  </w:style>
  <w:style w:type="paragraph" w:customStyle="1" w:styleId="Questiontitle">
    <w:name w:val="Question_title"/>
    <w:basedOn w:val="Rectitle"/>
    <w:next w:val="Normal"/>
    <w:rsid w:val="00FC4ADC"/>
  </w:style>
  <w:style w:type="paragraph" w:customStyle="1" w:styleId="Reasons">
    <w:name w:val="Reasons"/>
    <w:basedOn w:val="Normal"/>
    <w:qFormat/>
    <w:rsid w:val="00FC4ADC"/>
    <w:pPr>
      <w:tabs>
        <w:tab w:val="clear" w:pos="1871"/>
        <w:tab w:val="clear" w:pos="2268"/>
        <w:tab w:val="left" w:pos="1588"/>
        <w:tab w:val="left" w:pos="1985"/>
      </w:tabs>
    </w:pPr>
  </w:style>
  <w:style w:type="character" w:customStyle="1" w:styleId="Recdef">
    <w:name w:val="Rec_def"/>
    <w:rsid w:val="00FC4ADC"/>
    <w:rPr>
      <w:b/>
    </w:rPr>
  </w:style>
  <w:style w:type="paragraph" w:customStyle="1" w:styleId="Reftext">
    <w:name w:val="Ref_text"/>
    <w:basedOn w:val="Normal"/>
    <w:rsid w:val="00FC4ADC"/>
    <w:pPr>
      <w:ind w:left="1134" w:hanging="1134"/>
    </w:pPr>
  </w:style>
  <w:style w:type="paragraph" w:customStyle="1" w:styleId="Reftitle">
    <w:name w:val="Ref_title"/>
    <w:basedOn w:val="Normal"/>
    <w:next w:val="Reftext"/>
    <w:rsid w:val="00FC4ADC"/>
    <w:pPr>
      <w:spacing w:before="480"/>
      <w:jc w:val="center"/>
    </w:pPr>
    <w:rPr>
      <w:caps/>
    </w:rPr>
  </w:style>
  <w:style w:type="paragraph" w:customStyle="1" w:styleId="Repdate">
    <w:name w:val="Rep_date"/>
    <w:basedOn w:val="Recdate"/>
    <w:next w:val="Normalaftertitle"/>
    <w:rsid w:val="00FC4ADC"/>
  </w:style>
  <w:style w:type="paragraph" w:customStyle="1" w:styleId="RepNo">
    <w:name w:val="Rep_No"/>
    <w:basedOn w:val="RecNo"/>
    <w:next w:val="Normal"/>
    <w:rsid w:val="00FC4ADC"/>
  </w:style>
  <w:style w:type="paragraph" w:customStyle="1" w:styleId="Repref">
    <w:name w:val="Rep_ref"/>
    <w:basedOn w:val="Normal"/>
    <w:next w:val="Repdate"/>
    <w:rsid w:val="00FC4ADC"/>
    <w:pPr>
      <w:keepNext/>
      <w:keepLines/>
      <w:jc w:val="center"/>
    </w:pPr>
  </w:style>
  <w:style w:type="paragraph" w:customStyle="1" w:styleId="Reptitle">
    <w:name w:val="Rep_title"/>
    <w:basedOn w:val="Rectitle"/>
    <w:next w:val="Repref"/>
    <w:rsid w:val="00FC4ADC"/>
  </w:style>
  <w:style w:type="paragraph" w:customStyle="1" w:styleId="Resdate">
    <w:name w:val="Res_date"/>
    <w:basedOn w:val="Recdate"/>
    <w:next w:val="Normalaftertitle"/>
    <w:rsid w:val="00FC4ADC"/>
  </w:style>
  <w:style w:type="character" w:customStyle="1" w:styleId="Resdef">
    <w:name w:val="Res_def"/>
    <w:rsid w:val="00FC4ADC"/>
    <w:rPr>
      <w:rFonts w:ascii="Times New Roman" w:hAnsi="Times New Roman"/>
      <w:b/>
    </w:rPr>
  </w:style>
  <w:style w:type="paragraph" w:customStyle="1" w:styleId="ResNo">
    <w:name w:val="Res_No"/>
    <w:basedOn w:val="RecNo"/>
    <w:next w:val="Normal"/>
    <w:rsid w:val="00FC4ADC"/>
  </w:style>
  <w:style w:type="paragraph" w:customStyle="1" w:styleId="Restitle">
    <w:name w:val="Res_title"/>
    <w:basedOn w:val="Rectitle"/>
    <w:next w:val="Normal"/>
    <w:rsid w:val="00FC4ADC"/>
  </w:style>
  <w:style w:type="paragraph" w:customStyle="1" w:styleId="Section1">
    <w:name w:val="Section_1"/>
    <w:basedOn w:val="Normal"/>
    <w:rsid w:val="00FC4ADC"/>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C4ADC"/>
    <w:rPr>
      <w:b w:val="0"/>
      <w:i/>
    </w:rPr>
  </w:style>
  <w:style w:type="paragraph" w:customStyle="1" w:styleId="Section3">
    <w:name w:val="Section_3"/>
    <w:basedOn w:val="Section1"/>
    <w:rsid w:val="00FC4ADC"/>
    <w:rPr>
      <w:b w:val="0"/>
    </w:rPr>
  </w:style>
  <w:style w:type="paragraph" w:customStyle="1" w:styleId="SectionNo">
    <w:name w:val="Section_No"/>
    <w:basedOn w:val="AnnexNo"/>
    <w:next w:val="Normal"/>
    <w:rsid w:val="00FC4ADC"/>
  </w:style>
  <w:style w:type="paragraph" w:customStyle="1" w:styleId="Sectiontitle">
    <w:name w:val="Section_title"/>
    <w:basedOn w:val="Annextitle"/>
    <w:next w:val="Normalaftertitle"/>
    <w:rsid w:val="00FC4ADC"/>
  </w:style>
  <w:style w:type="paragraph" w:customStyle="1" w:styleId="Source">
    <w:name w:val="Source"/>
    <w:basedOn w:val="Normal"/>
    <w:next w:val="Normal"/>
    <w:rsid w:val="00FC4ADC"/>
    <w:pPr>
      <w:spacing w:before="840"/>
      <w:jc w:val="center"/>
    </w:pPr>
    <w:rPr>
      <w:b/>
      <w:sz w:val="28"/>
    </w:rPr>
  </w:style>
  <w:style w:type="paragraph" w:customStyle="1" w:styleId="SpecialFooter">
    <w:name w:val="Special Footer"/>
    <w:basedOn w:val="Footer"/>
    <w:rsid w:val="00FC4ADC"/>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FC4ADC"/>
  </w:style>
  <w:style w:type="character" w:customStyle="1" w:styleId="Tablefreq">
    <w:name w:val="Table_freq"/>
    <w:rsid w:val="00FC4ADC"/>
    <w:rPr>
      <w:b/>
      <w:color w:val="auto"/>
      <w:sz w:val="20"/>
    </w:rPr>
  </w:style>
  <w:style w:type="paragraph" w:customStyle="1" w:styleId="Tabletext">
    <w:name w:val="Table_text"/>
    <w:basedOn w:val="Normal"/>
    <w:link w:val="TabletextChar"/>
    <w:qFormat/>
    <w:rsid w:val="00FC4A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FC4ADC"/>
    <w:pPr>
      <w:keepNext/>
      <w:spacing w:before="80" w:after="80"/>
      <w:jc w:val="center"/>
    </w:pPr>
    <w:rPr>
      <w:b/>
    </w:rPr>
  </w:style>
  <w:style w:type="paragraph" w:customStyle="1" w:styleId="Tablelegend">
    <w:name w:val="Table_legend"/>
    <w:basedOn w:val="Tabletext"/>
    <w:rsid w:val="00FC4ADC"/>
    <w:pPr>
      <w:tabs>
        <w:tab w:val="clear" w:pos="284"/>
      </w:tabs>
      <w:spacing w:before="120"/>
    </w:pPr>
  </w:style>
  <w:style w:type="paragraph" w:customStyle="1" w:styleId="TableNo">
    <w:name w:val="Table_No"/>
    <w:basedOn w:val="Normal"/>
    <w:next w:val="Normal"/>
    <w:rsid w:val="00FC4ADC"/>
    <w:pPr>
      <w:keepNext/>
      <w:spacing w:before="560" w:after="120"/>
      <w:jc w:val="center"/>
    </w:pPr>
    <w:rPr>
      <w:caps/>
      <w:sz w:val="20"/>
    </w:rPr>
  </w:style>
  <w:style w:type="paragraph" w:customStyle="1" w:styleId="TableTextS5">
    <w:name w:val="Table_TextS5"/>
    <w:basedOn w:val="Normal"/>
    <w:rsid w:val="00FC0101"/>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FC4ADC"/>
    <w:pPr>
      <w:keepNext/>
      <w:keepLines/>
      <w:spacing w:before="0" w:after="120"/>
      <w:jc w:val="center"/>
    </w:pPr>
    <w:rPr>
      <w:rFonts w:ascii="Times New Roman Bold" w:hAnsi="Times New Roman Bold"/>
      <w:b/>
      <w:sz w:val="20"/>
    </w:rPr>
  </w:style>
  <w:style w:type="table" w:styleId="TableGrid">
    <w:name w:val="Table Grid"/>
    <w:basedOn w:val="TableNormal"/>
    <w:rsid w:val="00FC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C4ADC"/>
    <w:rPr>
      <w:rFonts w:ascii="Times New Roman" w:hAnsi="Times New Roman"/>
      <w:sz w:val="18"/>
      <w:lang w:val="fr-FR" w:eastAsia="en-US"/>
    </w:rPr>
  </w:style>
  <w:style w:type="paragraph" w:customStyle="1" w:styleId="AppArttitle">
    <w:name w:val="App_Art_title"/>
    <w:basedOn w:val="Arttitle"/>
    <w:next w:val="Normalaftertitle"/>
    <w:qFormat/>
    <w:rsid w:val="00FC4ADC"/>
    <w:rPr>
      <w:lang w:val="fr-CH"/>
    </w:rPr>
  </w:style>
  <w:style w:type="paragraph" w:customStyle="1" w:styleId="AppArtNo">
    <w:name w:val="App_Art_No"/>
    <w:basedOn w:val="ArtNo"/>
    <w:next w:val="AppArttitle"/>
    <w:qFormat/>
    <w:rsid w:val="00FC4ADC"/>
  </w:style>
  <w:style w:type="paragraph" w:customStyle="1" w:styleId="Headingsplit">
    <w:name w:val="Heading_split"/>
    <w:basedOn w:val="Headingi"/>
    <w:qFormat/>
    <w:rsid w:val="00FC4ADC"/>
  </w:style>
  <w:style w:type="paragraph" w:customStyle="1" w:styleId="Normalsplit">
    <w:name w:val="Normal_split"/>
    <w:basedOn w:val="Normal"/>
    <w:next w:val="Normal"/>
    <w:qFormat/>
    <w:rsid w:val="00FC4ADC"/>
  </w:style>
  <w:style w:type="character" w:customStyle="1" w:styleId="Provsplit">
    <w:name w:val="Prov_split"/>
    <w:basedOn w:val="DefaultParagraphFont"/>
    <w:qFormat/>
    <w:rsid w:val="00FC4ADC"/>
  </w:style>
  <w:style w:type="paragraph" w:customStyle="1" w:styleId="Tablesplit">
    <w:name w:val="Table_split"/>
    <w:basedOn w:val="Normal"/>
    <w:qFormat/>
    <w:rsid w:val="00FC4ADC"/>
    <w:pPr>
      <w:tabs>
        <w:tab w:val="clear" w:pos="1134"/>
        <w:tab w:val="clear" w:pos="1871"/>
        <w:tab w:val="clear" w:pos="2268"/>
        <w:tab w:val="left" w:pos="7825"/>
      </w:tabs>
      <w:spacing w:before="40" w:after="40"/>
    </w:pPr>
    <w:rPr>
      <w:b/>
      <w:sz w:val="20"/>
      <w:lang w:val="en-GB"/>
    </w:rPr>
  </w:style>
  <w:style w:type="paragraph" w:customStyle="1" w:styleId="Committee">
    <w:name w:val="Committee"/>
    <w:basedOn w:val="Normal"/>
    <w:qFormat/>
    <w:rsid w:val="00FC4ADC"/>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MethodHeadingb">
    <w:name w:val="Method_Headingb"/>
    <w:basedOn w:val="Headingb"/>
    <w:qFormat/>
    <w:rsid w:val="00FC4ADC"/>
  </w:style>
  <w:style w:type="paragraph" w:customStyle="1" w:styleId="Methodheading1">
    <w:name w:val="Method_heading1"/>
    <w:basedOn w:val="Heading1"/>
    <w:next w:val="Normal"/>
    <w:qFormat/>
    <w:rsid w:val="00FC4ADC"/>
  </w:style>
  <w:style w:type="paragraph" w:customStyle="1" w:styleId="Methodheading2">
    <w:name w:val="Method_heading2"/>
    <w:basedOn w:val="Heading2"/>
    <w:next w:val="Normal"/>
    <w:qFormat/>
    <w:rsid w:val="00FC4ADC"/>
  </w:style>
  <w:style w:type="paragraph" w:customStyle="1" w:styleId="Methodheading3">
    <w:name w:val="Method_heading3"/>
    <w:basedOn w:val="Heading3"/>
    <w:next w:val="Normal"/>
    <w:qFormat/>
    <w:rsid w:val="00FC4ADC"/>
  </w:style>
  <w:style w:type="paragraph" w:customStyle="1" w:styleId="Methodheading4">
    <w:name w:val="Method_heading4"/>
    <w:basedOn w:val="Heading4"/>
    <w:next w:val="Normal"/>
    <w:qFormat/>
    <w:rsid w:val="00FC4ADC"/>
  </w:style>
  <w:style w:type="paragraph" w:customStyle="1" w:styleId="Volumetitle">
    <w:name w:val="Volume_title"/>
    <w:basedOn w:val="ArtNo"/>
    <w:qFormat/>
    <w:rsid w:val="00FC4ADC"/>
    <w:rPr>
      <w:lang w:val="fr-CH"/>
    </w:rPr>
  </w:style>
  <w:style w:type="character" w:styleId="CommentReference">
    <w:name w:val="annotation reference"/>
    <w:basedOn w:val="DefaultParagraphFont"/>
    <w:semiHidden/>
    <w:unhideWhenUsed/>
    <w:rsid w:val="00434DC5"/>
    <w:rPr>
      <w:sz w:val="16"/>
      <w:szCs w:val="16"/>
    </w:rPr>
  </w:style>
  <w:style w:type="paragraph" w:styleId="CommentText">
    <w:name w:val="annotation text"/>
    <w:basedOn w:val="Normal"/>
    <w:link w:val="CommentTextChar"/>
    <w:unhideWhenUsed/>
    <w:rsid w:val="00434DC5"/>
    <w:rPr>
      <w:sz w:val="20"/>
    </w:rPr>
  </w:style>
  <w:style w:type="character" w:customStyle="1" w:styleId="CommentTextChar">
    <w:name w:val="Comment Text Char"/>
    <w:basedOn w:val="DefaultParagraphFont"/>
    <w:link w:val="CommentText"/>
    <w:rsid w:val="00434DC5"/>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434DC5"/>
    <w:rPr>
      <w:b/>
      <w:bCs/>
    </w:rPr>
  </w:style>
  <w:style w:type="character" w:customStyle="1" w:styleId="CommentSubjectChar">
    <w:name w:val="Comment Subject Char"/>
    <w:basedOn w:val="CommentTextChar"/>
    <w:link w:val="CommentSubject"/>
    <w:semiHidden/>
    <w:rsid w:val="00434DC5"/>
    <w:rPr>
      <w:rFonts w:ascii="Times New Roman" w:hAnsi="Times New Roman"/>
      <w:b/>
      <w:bCs/>
      <w:lang w:val="fr-FR"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qFormat/>
    <w:locked/>
    <w:rsid w:val="0093791E"/>
    <w:rPr>
      <w:rFonts w:ascii="Times New Roman" w:hAnsi="Times New Roman"/>
      <w:sz w:val="24"/>
      <w:lang w:val="fr-FR" w:eastAsia="en-US"/>
    </w:rPr>
  </w:style>
  <w:style w:type="paragraph" w:customStyle="1" w:styleId="TableText0">
    <w:name w:val="Table_Text"/>
    <w:basedOn w:val="Normal"/>
    <w:link w:val="TableTextChar0"/>
    <w:rsid w:val="0093791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lang w:val="es-ES_tradnl"/>
    </w:rPr>
  </w:style>
  <w:style w:type="character" w:customStyle="1" w:styleId="TableTextChar0">
    <w:name w:val="Table_Text Char"/>
    <w:basedOn w:val="DefaultParagraphFont"/>
    <w:link w:val="TableText0"/>
    <w:locked/>
    <w:rsid w:val="0093791E"/>
    <w:rPr>
      <w:rFonts w:ascii="Times New Roman" w:hAnsi="Times New Roman" w:cs="Angsana New"/>
      <w:sz w:val="22"/>
      <w:szCs w:val="22"/>
      <w:lang w:val="es-ES_tradnl" w:eastAsia="en-US"/>
    </w:rPr>
  </w:style>
  <w:style w:type="paragraph" w:customStyle="1" w:styleId="TableHead0">
    <w:name w:val="Table_Head"/>
    <w:basedOn w:val="TableText0"/>
    <w:rsid w:val="0093791E"/>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13" w:after="113"/>
      <w:jc w:val="center"/>
      <w:textAlignment w:val="baseline"/>
    </w:pPr>
    <w:rPr>
      <w:rFonts w:cs="Times New Roman"/>
      <w:b/>
      <w:szCs w:val="20"/>
      <w:lang w:val="en-GB"/>
    </w:rPr>
  </w:style>
  <w:style w:type="table" w:customStyle="1" w:styleId="TableGrid1">
    <w:name w:val="Table Grid1"/>
    <w:basedOn w:val="TableNormal"/>
    <w:next w:val="TableGrid"/>
    <w:uiPriority w:val="59"/>
    <w:rsid w:val="0093791E"/>
    <w:rPr>
      <w:rFonts w:ascii="Times New Roman" w:eastAsiaTheme="minorHAnsi" w:hAnsi="Times New Roman"/>
      <w:sz w:val="24"/>
      <w:szCs w:val="24"/>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ref">
    <w:name w:val="Question_ref"/>
    <w:basedOn w:val="Normal"/>
    <w:next w:val="Questiondate"/>
    <w:rsid w:val="00B268D6"/>
    <w:pPr>
      <w:keepNext/>
      <w:keepLines/>
      <w:jc w:val="center"/>
    </w:pPr>
    <w:rPr>
      <w:lang w:val="en-GB"/>
    </w:rPr>
  </w:style>
  <w:style w:type="character" w:customStyle="1" w:styleId="Heading1Char">
    <w:name w:val="Heading 1 Char"/>
    <w:basedOn w:val="DefaultParagraphFont"/>
    <w:link w:val="Heading1"/>
    <w:rsid w:val="00B03FEC"/>
    <w:rPr>
      <w:rFonts w:ascii="Times New Roman" w:hAnsi="Times New Roman"/>
      <w:b/>
      <w:sz w:val="28"/>
      <w:lang w:val="fr-FR" w:eastAsia="en-US"/>
    </w:rPr>
  </w:style>
  <w:style w:type="character" w:customStyle="1" w:styleId="Heading2Char">
    <w:name w:val="Heading 2 Char"/>
    <w:basedOn w:val="DefaultParagraphFont"/>
    <w:link w:val="Heading2"/>
    <w:rsid w:val="00B03FEC"/>
    <w:rPr>
      <w:rFonts w:ascii="Times New Roman" w:hAnsi="Times New Roman"/>
      <w:b/>
      <w:sz w:val="24"/>
      <w:lang w:val="fr-FR" w:eastAsia="en-US"/>
    </w:rPr>
  </w:style>
  <w:style w:type="character" w:customStyle="1" w:styleId="Heading3Char">
    <w:name w:val="Heading 3 Char"/>
    <w:basedOn w:val="DefaultParagraphFont"/>
    <w:link w:val="Heading3"/>
    <w:rsid w:val="00B03FEC"/>
    <w:rPr>
      <w:rFonts w:ascii="Times New Roman" w:hAnsi="Times New Roman"/>
      <w:b/>
      <w:sz w:val="24"/>
      <w:lang w:val="fr-FR" w:eastAsia="en-US"/>
    </w:rPr>
  </w:style>
  <w:style w:type="character" w:customStyle="1" w:styleId="Heading4Char">
    <w:name w:val="Heading 4 Char"/>
    <w:basedOn w:val="DefaultParagraphFont"/>
    <w:link w:val="Heading4"/>
    <w:rsid w:val="00B03FEC"/>
    <w:rPr>
      <w:rFonts w:ascii="Times New Roman" w:hAnsi="Times New Roman"/>
      <w:b/>
      <w:sz w:val="24"/>
      <w:lang w:val="fr-FR" w:eastAsia="en-US"/>
    </w:rPr>
  </w:style>
  <w:style w:type="character" w:customStyle="1" w:styleId="Heading5Char">
    <w:name w:val="Heading 5 Char"/>
    <w:basedOn w:val="DefaultParagraphFont"/>
    <w:link w:val="Heading5"/>
    <w:rsid w:val="00B03FEC"/>
    <w:rPr>
      <w:rFonts w:ascii="Times New Roman" w:hAnsi="Times New Roman"/>
      <w:b/>
      <w:sz w:val="24"/>
      <w:lang w:val="fr-FR" w:eastAsia="en-US"/>
    </w:rPr>
  </w:style>
  <w:style w:type="character" w:customStyle="1" w:styleId="Heading6Char">
    <w:name w:val="Heading 6 Char"/>
    <w:basedOn w:val="DefaultParagraphFont"/>
    <w:link w:val="Heading6"/>
    <w:rsid w:val="00B03FEC"/>
    <w:rPr>
      <w:rFonts w:ascii="Times New Roman" w:hAnsi="Times New Roman"/>
      <w:b/>
      <w:sz w:val="24"/>
      <w:lang w:val="fr-FR" w:eastAsia="en-US"/>
    </w:rPr>
  </w:style>
  <w:style w:type="character" w:customStyle="1" w:styleId="Heading7Char">
    <w:name w:val="Heading 7 Char"/>
    <w:basedOn w:val="DefaultParagraphFont"/>
    <w:link w:val="Heading7"/>
    <w:rsid w:val="00B03FEC"/>
    <w:rPr>
      <w:rFonts w:ascii="Times New Roman" w:hAnsi="Times New Roman"/>
      <w:b/>
      <w:sz w:val="24"/>
      <w:lang w:val="fr-FR" w:eastAsia="en-US"/>
    </w:rPr>
  </w:style>
  <w:style w:type="character" w:customStyle="1" w:styleId="Heading8Char">
    <w:name w:val="Heading 8 Char"/>
    <w:basedOn w:val="DefaultParagraphFont"/>
    <w:link w:val="Heading8"/>
    <w:rsid w:val="00B03FEC"/>
    <w:rPr>
      <w:rFonts w:ascii="Times New Roman" w:hAnsi="Times New Roman"/>
      <w:b/>
      <w:sz w:val="24"/>
      <w:lang w:val="fr-FR" w:eastAsia="en-US"/>
    </w:rPr>
  </w:style>
  <w:style w:type="character" w:customStyle="1" w:styleId="Heading9Char">
    <w:name w:val="Heading 9 Char"/>
    <w:basedOn w:val="DefaultParagraphFont"/>
    <w:link w:val="Heading9"/>
    <w:rsid w:val="00B03FEC"/>
    <w:rPr>
      <w:rFonts w:ascii="Times New Roman" w:hAnsi="Times New Roman"/>
      <w:b/>
      <w:sz w:val="24"/>
      <w:lang w:val="fr-FR" w:eastAsia="en-US"/>
    </w:rPr>
  </w:style>
  <w:style w:type="character" w:customStyle="1" w:styleId="NormalaftertitleChar">
    <w:name w:val="Normal after title Char"/>
    <w:link w:val="Normalaftertitle"/>
    <w:locked/>
    <w:rsid w:val="00B03FEC"/>
    <w:rPr>
      <w:rFonts w:ascii="Times New Roman" w:hAnsi="Times New Roman"/>
      <w:sz w:val="24"/>
      <w:lang w:val="fr-FR" w:eastAsia="en-US"/>
    </w:rPr>
  </w:style>
  <w:style w:type="character" w:customStyle="1" w:styleId="enumlev1Char">
    <w:name w:val="enumlev1 Char"/>
    <w:basedOn w:val="DefaultParagraphFont"/>
    <w:link w:val="enumlev1"/>
    <w:rsid w:val="00B03FEC"/>
    <w:rPr>
      <w:rFonts w:ascii="Times New Roman" w:hAnsi="Times New Roman"/>
      <w:sz w:val="24"/>
      <w:lang w:val="fr-FR" w:eastAsia="en-US"/>
    </w:rPr>
  </w:style>
  <w:style w:type="character" w:customStyle="1" w:styleId="FooterChar">
    <w:name w:val="Footer Char"/>
    <w:basedOn w:val="DefaultParagraphFont"/>
    <w:link w:val="Footer"/>
    <w:rsid w:val="00B03FEC"/>
    <w:rPr>
      <w:rFonts w:ascii="Times New Roman" w:hAnsi="Times New Roman"/>
      <w:caps/>
      <w:noProof/>
      <w:sz w:val="16"/>
      <w:lang w:val="fr-FR" w:eastAsia="en-US"/>
    </w:rPr>
  </w:style>
  <w:style w:type="character" w:customStyle="1" w:styleId="TabletextChar">
    <w:name w:val="Table_text Char"/>
    <w:basedOn w:val="DefaultParagraphFont"/>
    <w:link w:val="Tabletext"/>
    <w:qFormat/>
    <w:locked/>
    <w:rsid w:val="00B03FEC"/>
    <w:rPr>
      <w:rFonts w:ascii="Times New Roman" w:hAnsi="Times New Roman"/>
      <w:lang w:val="fr-FR" w:eastAsia="en-US"/>
    </w:rPr>
  </w:style>
  <w:style w:type="character" w:customStyle="1" w:styleId="TableheadChar">
    <w:name w:val="Table_head Char"/>
    <w:basedOn w:val="DefaultParagraphFont"/>
    <w:link w:val="Tablehead"/>
    <w:rsid w:val="00B03FEC"/>
    <w:rPr>
      <w:rFonts w:ascii="Times New Roman" w:hAnsi="Times New Roman"/>
      <w:b/>
      <w:lang w:val="fr-FR" w:eastAsia="en-US"/>
    </w:rPr>
  </w:style>
  <w:style w:type="character" w:customStyle="1" w:styleId="BalloonTextChar">
    <w:name w:val="Balloon Text Char"/>
    <w:basedOn w:val="DefaultParagraphFont"/>
    <w:link w:val="BalloonText"/>
    <w:rsid w:val="00B03FEC"/>
    <w:rPr>
      <w:rFonts w:ascii="Segoe UI" w:hAnsi="Segoe UI" w:cs="Segoe UI"/>
      <w:sz w:val="18"/>
      <w:szCs w:val="18"/>
      <w:lang w:val="en-GB" w:eastAsia="en-US"/>
    </w:rPr>
  </w:style>
  <w:style w:type="paragraph" w:styleId="BalloonText">
    <w:name w:val="Balloon Text"/>
    <w:basedOn w:val="Normal"/>
    <w:link w:val="BalloonTextChar"/>
    <w:unhideWhenUsed/>
    <w:rsid w:val="00B03FEC"/>
    <w:pPr>
      <w:spacing w:before="0"/>
    </w:pPr>
    <w:rPr>
      <w:rFonts w:ascii="Segoe UI" w:hAnsi="Segoe UI" w:cs="Segoe UI"/>
      <w:sz w:val="18"/>
      <w:szCs w:val="18"/>
      <w:lang w:val="en-GB"/>
    </w:rPr>
  </w:style>
  <w:style w:type="character" w:customStyle="1" w:styleId="BalloonTextChar1">
    <w:name w:val="Balloon Text Char1"/>
    <w:basedOn w:val="DefaultParagraphFont"/>
    <w:semiHidden/>
    <w:rsid w:val="00B03FEC"/>
    <w:rPr>
      <w:rFonts w:ascii="Segoe UI" w:hAnsi="Segoe UI" w:cs="Segoe UI"/>
      <w:sz w:val="18"/>
      <w:szCs w:val="18"/>
      <w:lang w:val="fr-FR" w:eastAsia="en-US"/>
    </w:rPr>
  </w:style>
  <w:style w:type="character" w:customStyle="1" w:styleId="BRNormal">
    <w:name w:val="BR_Normal"/>
    <w:basedOn w:val="DefaultParagraphFont"/>
    <w:uiPriority w:val="1"/>
    <w:qFormat/>
    <w:rsid w:val="00B03FEC"/>
  </w:style>
  <w:style w:type="paragraph" w:styleId="ListParagraph">
    <w:name w:val="List Paragraph"/>
    <w:basedOn w:val="Normal"/>
    <w:link w:val="ListParagraphChar"/>
    <w:uiPriority w:val="34"/>
    <w:qFormat/>
    <w:rsid w:val="00B03FEC"/>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cs="Arial"/>
      <w:sz w:val="22"/>
      <w:szCs w:val="22"/>
      <w:lang w:val="en-US" w:eastAsia="zh-CN"/>
    </w:rPr>
  </w:style>
  <w:style w:type="character" w:customStyle="1" w:styleId="ListParagraphChar">
    <w:name w:val="List Paragraph Char"/>
    <w:basedOn w:val="DefaultParagraphFont"/>
    <w:link w:val="ListParagraph"/>
    <w:uiPriority w:val="34"/>
    <w:locked/>
    <w:rsid w:val="00B03FEC"/>
    <w:rPr>
      <w:rFonts w:ascii="Calibri" w:eastAsia="SimSun" w:hAnsi="Calibri" w:cs="Arial"/>
      <w:sz w:val="22"/>
      <w:szCs w:val="22"/>
    </w:rPr>
  </w:style>
  <w:style w:type="paragraph" w:customStyle="1" w:styleId="ECCTabletext">
    <w:name w:val="ECC Table text"/>
    <w:basedOn w:val="Normal"/>
    <w:rsid w:val="00B03FEC"/>
    <w:pPr>
      <w:tabs>
        <w:tab w:val="clear" w:pos="1134"/>
        <w:tab w:val="clear" w:pos="1871"/>
        <w:tab w:val="clear" w:pos="2268"/>
      </w:tabs>
      <w:overflowPunct/>
      <w:autoSpaceDE/>
      <w:autoSpaceDN/>
      <w:adjustRightInd/>
      <w:spacing w:before="60" w:after="120"/>
      <w:textAlignment w:val="auto"/>
      <w:textboxTightWrap w:val="lastLineOnly"/>
    </w:pPr>
    <w:rPr>
      <w:rFonts w:ascii="Arial" w:eastAsia="Calibri" w:hAnsi="Arial"/>
      <w:noProof/>
      <w:sz w:val="20"/>
      <w:szCs w:val="22"/>
      <w:lang w:val="en-GB"/>
    </w:rPr>
  </w:style>
  <w:style w:type="character" w:styleId="Hyperlink">
    <w:name w:val="Hyperlink"/>
    <w:basedOn w:val="DefaultParagraphFont"/>
    <w:uiPriority w:val="99"/>
    <w:rsid w:val="00B03FEC"/>
    <w:rPr>
      <w:rFonts w:cs="Times New Roman"/>
      <w:color w:val="0000FF"/>
      <w:u w:val="single"/>
    </w:rPr>
  </w:style>
  <w:style w:type="paragraph" w:styleId="Title">
    <w:name w:val="Title"/>
    <w:basedOn w:val="Normal"/>
    <w:link w:val="TitleChar"/>
    <w:qFormat/>
    <w:rsid w:val="00B03FEC"/>
    <w:pPr>
      <w:widowControl w:val="0"/>
      <w:tabs>
        <w:tab w:val="clear" w:pos="1134"/>
        <w:tab w:val="clear" w:pos="1871"/>
        <w:tab w:val="clear" w:pos="2268"/>
      </w:tabs>
      <w:wordWrap w:val="0"/>
      <w:overflowPunct/>
      <w:adjustRightInd/>
      <w:spacing w:before="0"/>
      <w:jc w:val="center"/>
      <w:textAlignment w:val="auto"/>
    </w:pPr>
    <w:rPr>
      <w:rFonts w:eastAsia="Batang"/>
      <w:b/>
      <w:kern w:val="2"/>
      <w:szCs w:val="28"/>
      <w:lang w:val="en-US" w:eastAsia="ko-KR"/>
    </w:rPr>
  </w:style>
  <w:style w:type="character" w:customStyle="1" w:styleId="TitleChar">
    <w:name w:val="Title Char"/>
    <w:basedOn w:val="DefaultParagraphFont"/>
    <w:link w:val="Title"/>
    <w:rsid w:val="00B03FEC"/>
    <w:rPr>
      <w:rFonts w:ascii="Times New Roman" w:eastAsia="Batang" w:hAnsi="Times New Roman"/>
      <w:b/>
      <w:kern w:val="2"/>
      <w:sz w:val="24"/>
      <w:szCs w:val="28"/>
      <w:lang w:eastAsia="ko-KR"/>
    </w:rPr>
  </w:style>
  <w:style w:type="table" w:customStyle="1" w:styleId="TableGrid2">
    <w:name w:val="Table Grid2"/>
    <w:basedOn w:val="TableNormal"/>
    <w:next w:val="TableGrid"/>
    <w:uiPriority w:val="39"/>
    <w:rsid w:val="00B03FEC"/>
    <w:rPr>
      <w:rFonts w:ascii="Calibri" w:eastAsia="Calibri" w:hAnsi="Calibri"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B03FEC"/>
    <w:rPr>
      <w:rFonts w:ascii="Times New Roman" w:hAnsi="Times New Roman"/>
      <w:sz w:val="24"/>
      <w:szCs w:val="22"/>
      <w:lang w:val="en-GB" w:eastAsia="en-US"/>
    </w:rPr>
  </w:style>
  <w:style w:type="paragraph" w:styleId="BodyText2">
    <w:name w:val="Body Text 2"/>
    <w:basedOn w:val="Normal"/>
    <w:link w:val="BodyText2Char"/>
    <w:rsid w:val="00B03FEC"/>
    <w:pPr>
      <w:tabs>
        <w:tab w:val="clear" w:pos="1134"/>
        <w:tab w:val="clear" w:pos="1871"/>
        <w:tab w:val="clear" w:pos="2268"/>
        <w:tab w:val="left" w:pos="900"/>
        <w:tab w:val="left" w:pos="1191"/>
        <w:tab w:val="left" w:pos="1588"/>
        <w:tab w:val="left" w:pos="1985"/>
      </w:tabs>
    </w:pPr>
    <w:rPr>
      <w:szCs w:val="22"/>
      <w:lang w:val="en-GB"/>
    </w:rPr>
  </w:style>
  <w:style w:type="character" w:customStyle="1" w:styleId="BodyText2Char1">
    <w:name w:val="Body Text 2 Char1"/>
    <w:basedOn w:val="DefaultParagraphFont"/>
    <w:semiHidden/>
    <w:rsid w:val="00B03FEC"/>
    <w:rPr>
      <w:rFonts w:ascii="Times New Roman" w:hAnsi="Times New Roman"/>
      <w:sz w:val="24"/>
      <w:lang w:val="fr-FR" w:eastAsia="en-US"/>
    </w:rPr>
  </w:style>
  <w:style w:type="character" w:styleId="Emphasis">
    <w:name w:val="Emphasis"/>
    <w:basedOn w:val="DefaultParagraphFont"/>
    <w:uiPriority w:val="20"/>
    <w:qFormat/>
    <w:rsid w:val="00B03FEC"/>
    <w:rPr>
      <w:i/>
      <w:iCs/>
    </w:rPr>
  </w:style>
  <w:style w:type="character" w:styleId="Strong">
    <w:name w:val="Strong"/>
    <w:basedOn w:val="DefaultParagraphFont"/>
    <w:uiPriority w:val="22"/>
    <w:qFormat/>
    <w:rsid w:val="00B03FEC"/>
    <w:rPr>
      <w:b/>
      <w:bCs/>
    </w:rPr>
  </w:style>
  <w:style w:type="paragraph" w:styleId="TOCHeading">
    <w:name w:val="TOC Heading"/>
    <w:basedOn w:val="Heading1"/>
    <w:next w:val="Normal"/>
    <w:uiPriority w:val="39"/>
    <w:unhideWhenUsed/>
    <w:qFormat/>
    <w:rsid w:val="00B03FEC"/>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character" w:customStyle="1" w:styleId="UnresolvedMention1">
    <w:name w:val="Unresolved Mention1"/>
    <w:basedOn w:val="DefaultParagraphFont"/>
    <w:uiPriority w:val="99"/>
    <w:semiHidden/>
    <w:unhideWhenUsed/>
    <w:rsid w:val="00B03FEC"/>
    <w:rPr>
      <w:color w:val="605E5C"/>
      <w:shd w:val="clear" w:color="auto" w:fill="E1DFDD"/>
    </w:rPr>
  </w:style>
  <w:style w:type="paragraph" w:customStyle="1" w:styleId="Table">
    <w:name w:val="Table"/>
    <w:basedOn w:val="Normal"/>
    <w:rsid w:val="00B03FEC"/>
    <w:pPr>
      <w:tabs>
        <w:tab w:val="clear" w:pos="1134"/>
        <w:tab w:val="clear" w:pos="1871"/>
        <w:tab w:val="clear" w:pos="2268"/>
      </w:tabs>
      <w:overflowPunct/>
      <w:autoSpaceDE/>
      <w:autoSpaceDN/>
      <w:adjustRightInd/>
      <w:spacing w:before="0"/>
      <w:textAlignment w:val="auto"/>
    </w:pPr>
    <w:rPr>
      <w:rFonts w:eastAsiaTheme="minorHAnsi"/>
      <w:b/>
      <w:szCs w:val="24"/>
    </w:rPr>
  </w:style>
  <w:style w:type="paragraph" w:customStyle="1" w:styleId="Normal65pt">
    <w:name w:val="Normal + 6.5 pt"/>
    <w:basedOn w:val="Normal"/>
    <w:rsid w:val="00857F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Pr>
      <w:rFonts w:eastAsia="Dotum"/>
      <w:sz w:val="18"/>
      <w:szCs w:val="18"/>
    </w:rPr>
  </w:style>
  <w:style w:type="paragraph" w:customStyle="1" w:styleId="NormalCenter">
    <w:name w:val="Normal+ Center"/>
    <w:basedOn w:val="Tabletitle"/>
    <w:rsid w:val="00403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rotte\AppData\Roaming\Microsoft\Templates\POOL%20F%20-%20ITU\BR\PF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549D3-1942-4BD2-962D-09D73EDDD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PF_WRC23.dotx</Template>
  <TotalTime>42</TotalTime>
  <Pages>8</Pages>
  <Words>2235</Words>
  <Characters>12892</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Secrétariat général - Pool</Manager>
  <Company>Union internationale des télécommunications (UIT)</Company>
  <LinksUpToDate>false</LinksUpToDate>
  <CharactersWithSpaces>15097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- 2023</dc:subject>
  <dc:creator>French</dc:creator>
  <cp:keywords>WRC-23</cp:keywords>
  <cp:lastModifiedBy>French</cp:lastModifiedBy>
  <cp:revision>8</cp:revision>
  <cp:lastPrinted>2003-06-05T19:34:00Z</cp:lastPrinted>
  <dcterms:created xsi:type="dcterms:W3CDTF">2023-11-15T06:33:00Z</dcterms:created>
  <dcterms:modified xsi:type="dcterms:W3CDTF">2023-11-15T07:53:00Z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