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A70E29" w14:paraId="6AD35C4C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4E736861" w14:textId="77777777" w:rsidR="00752552" w:rsidRPr="00A70E29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A70E29">
              <w:rPr>
                <w:noProof/>
                <w:lang w:val="en-GB" w:bidi="ar-EG"/>
              </w:rPr>
              <w:drawing>
                <wp:inline distT="0" distB="0" distL="0" distR="0" wp14:anchorId="6BF048CD" wp14:editId="7C25C074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3C78289B" w14:textId="77777777" w:rsidR="00752552" w:rsidRPr="00A70E29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 w:rsidRPr="00A70E29">
              <w:rPr>
                <w:rtl/>
              </w:rPr>
              <w:t xml:space="preserve">المؤتمر العالمي للاتصالات الراديوية </w:t>
            </w:r>
            <w:r w:rsidRPr="00A70E29">
              <w:t>(WRC-23)</w:t>
            </w:r>
          </w:p>
          <w:p w14:paraId="68BA9434" w14:textId="77777777" w:rsidR="00752552" w:rsidRPr="00A70E29" w:rsidRDefault="00752552" w:rsidP="00752552">
            <w:pPr>
              <w:rPr>
                <w:b/>
                <w:bCs/>
                <w:rtl/>
                <w:lang w:bidi="ar-EG"/>
              </w:rPr>
            </w:pPr>
            <w:r w:rsidRPr="00A70E29">
              <w:rPr>
                <w:b/>
                <w:bCs/>
                <w:sz w:val="26"/>
                <w:szCs w:val="26"/>
                <w:rtl/>
              </w:rPr>
              <w:t xml:space="preserve">دبي، </w:t>
            </w:r>
            <w:r w:rsidRPr="00A70E29"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A70E29">
              <w:rPr>
                <w:b/>
                <w:bCs/>
                <w:sz w:val="26"/>
                <w:szCs w:val="26"/>
                <w:rtl/>
                <w:lang w:bidi="ar-EG"/>
              </w:rPr>
              <w:t xml:space="preserve"> نوفمبر – </w:t>
            </w:r>
            <w:r w:rsidRPr="00A70E29"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A70E29">
              <w:rPr>
                <w:b/>
                <w:bCs/>
                <w:sz w:val="26"/>
                <w:szCs w:val="26"/>
                <w:rtl/>
                <w:lang w:bidi="ar-EG"/>
              </w:rPr>
              <w:t xml:space="preserve"> ديسمبر </w:t>
            </w:r>
            <w:r w:rsidRPr="00A70E29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58D47D2F" w14:textId="77777777" w:rsidR="00752552" w:rsidRPr="00A70E29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0E29">
              <w:rPr>
                <w:noProof/>
              </w:rPr>
              <w:drawing>
                <wp:inline distT="0" distB="0" distL="0" distR="0" wp14:anchorId="4F551634" wp14:editId="0E41B0AB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A70E29" w14:paraId="2A4C77D8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988C2D9" w14:textId="77777777" w:rsidR="000D1EE4" w:rsidRPr="00A70E29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1EA7E6C3" w14:textId="77777777" w:rsidR="000D1EE4" w:rsidRPr="00A70E29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A70E29" w14:paraId="1927907E" w14:textId="77777777" w:rsidTr="00A70E29">
        <w:trPr>
          <w:cantSplit/>
          <w:trHeight w:val="99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529E6B5D" w14:textId="77777777" w:rsidR="000D1EE4" w:rsidRPr="00A70E29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289BD15" w14:textId="77777777" w:rsidR="000D1EE4" w:rsidRPr="00A70E29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A70E29" w14:paraId="2B15050F" w14:textId="77777777" w:rsidTr="00752552">
        <w:trPr>
          <w:cantSplit/>
        </w:trPr>
        <w:tc>
          <w:tcPr>
            <w:tcW w:w="6696" w:type="dxa"/>
            <w:gridSpan w:val="2"/>
          </w:tcPr>
          <w:p w14:paraId="1DDEFEA7" w14:textId="77777777" w:rsidR="000D1EE4" w:rsidRPr="00A70E29" w:rsidRDefault="00E50850" w:rsidP="00A70E29">
            <w:pPr>
              <w:pStyle w:val="Committee"/>
              <w:bidi/>
              <w:rPr>
                <w:rtl/>
                <w:lang w:bidi="ar-EG"/>
              </w:rPr>
            </w:pPr>
            <w:r w:rsidRPr="00A70E29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0EDC0E15" w14:textId="77777777" w:rsidR="000D1EE4" w:rsidRPr="00A70E29" w:rsidRDefault="00E50850" w:rsidP="00A70E29">
            <w:pPr>
              <w:jc w:val="left"/>
              <w:rPr>
                <w:b/>
                <w:bCs/>
                <w:rtl/>
                <w:lang w:bidi="ar-EG"/>
              </w:rPr>
            </w:pPr>
            <w:r w:rsidRPr="00A70E29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A70E29">
              <w:rPr>
                <w:rFonts w:eastAsia="SimSun"/>
                <w:b/>
                <w:bCs/>
              </w:rPr>
              <w:t>104-A</w:t>
            </w:r>
          </w:p>
        </w:tc>
      </w:tr>
      <w:tr w:rsidR="000D1EE4" w:rsidRPr="00A70E29" w14:paraId="25FBCA8A" w14:textId="77777777" w:rsidTr="00752552">
        <w:trPr>
          <w:cantSplit/>
        </w:trPr>
        <w:tc>
          <w:tcPr>
            <w:tcW w:w="6696" w:type="dxa"/>
            <w:gridSpan w:val="2"/>
          </w:tcPr>
          <w:p w14:paraId="606FEA96" w14:textId="77777777" w:rsidR="000D1EE4" w:rsidRPr="00A70E29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0876A0A" w14:textId="77777777" w:rsidR="000D1EE4" w:rsidRPr="00A70E29" w:rsidRDefault="00E50850" w:rsidP="00A70E29">
            <w:pPr>
              <w:jc w:val="left"/>
              <w:rPr>
                <w:b/>
                <w:bCs/>
                <w:rtl/>
                <w:lang w:bidi="ar-EG"/>
              </w:rPr>
            </w:pPr>
            <w:r w:rsidRPr="00A70E29">
              <w:rPr>
                <w:rFonts w:eastAsia="SimSun"/>
                <w:b/>
                <w:bCs/>
              </w:rPr>
              <w:t>27</w:t>
            </w:r>
            <w:r w:rsidRPr="00A70E29">
              <w:rPr>
                <w:rFonts w:eastAsia="SimSun"/>
                <w:b/>
                <w:bCs/>
                <w:rtl/>
              </w:rPr>
              <w:t xml:space="preserve"> أكتوبر </w:t>
            </w:r>
            <w:r w:rsidRPr="00A70E29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A70E29" w14:paraId="7EEB3F22" w14:textId="77777777" w:rsidTr="00752552">
        <w:trPr>
          <w:cantSplit/>
        </w:trPr>
        <w:tc>
          <w:tcPr>
            <w:tcW w:w="6696" w:type="dxa"/>
            <w:gridSpan w:val="2"/>
          </w:tcPr>
          <w:p w14:paraId="4795DFDB" w14:textId="77777777" w:rsidR="000D1EE4" w:rsidRPr="00A70E29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BB9B896" w14:textId="77777777" w:rsidR="000D1EE4" w:rsidRPr="00A70E29" w:rsidRDefault="00E50850" w:rsidP="00A70E29">
            <w:pPr>
              <w:jc w:val="left"/>
              <w:rPr>
                <w:b/>
                <w:bCs/>
                <w:lang w:bidi="ar-EG"/>
              </w:rPr>
            </w:pPr>
            <w:r w:rsidRPr="00A70E29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A70E29" w14:paraId="77A9EF3E" w14:textId="77777777" w:rsidTr="00752552">
        <w:trPr>
          <w:cantSplit/>
        </w:trPr>
        <w:tc>
          <w:tcPr>
            <w:tcW w:w="9666" w:type="dxa"/>
            <w:gridSpan w:val="4"/>
          </w:tcPr>
          <w:p w14:paraId="21E20A18" w14:textId="77777777" w:rsidR="000D1EE4" w:rsidRPr="00A70E29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A70E29" w14:paraId="78434699" w14:textId="77777777" w:rsidTr="00752552">
        <w:trPr>
          <w:cantSplit/>
        </w:trPr>
        <w:tc>
          <w:tcPr>
            <w:tcW w:w="9666" w:type="dxa"/>
            <w:gridSpan w:val="4"/>
          </w:tcPr>
          <w:p w14:paraId="4D4C0406" w14:textId="5D3D38D2" w:rsidR="000D1EE4" w:rsidRPr="00A70E29" w:rsidRDefault="000D1EE4" w:rsidP="00A70E29">
            <w:pPr>
              <w:pStyle w:val="Source"/>
              <w:rPr>
                <w:rtl/>
              </w:rPr>
            </w:pPr>
            <w:r w:rsidRPr="00A70E29">
              <w:rPr>
                <w:rtl/>
              </w:rPr>
              <w:t>جمهورية كوريا/جمهورية إندونيسيا/</w:t>
            </w:r>
            <w:r w:rsidR="00486924">
              <w:br/>
            </w:r>
            <w:r w:rsidRPr="00A70E29">
              <w:rPr>
                <w:rtl/>
              </w:rPr>
              <w:t>اليابان/جمهورية فيتنام الاشتراكية</w:t>
            </w:r>
          </w:p>
        </w:tc>
      </w:tr>
      <w:tr w:rsidR="000D1EE4" w:rsidRPr="00A70E29" w14:paraId="1CF1AAD6" w14:textId="77777777" w:rsidTr="00752552">
        <w:trPr>
          <w:cantSplit/>
        </w:trPr>
        <w:tc>
          <w:tcPr>
            <w:tcW w:w="9666" w:type="dxa"/>
            <w:gridSpan w:val="4"/>
          </w:tcPr>
          <w:p w14:paraId="47F8556A" w14:textId="0E0322E8" w:rsidR="000D1EE4" w:rsidRPr="00A70E29" w:rsidRDefault="00A70E29" w:rsidP="00A70E29">
            <w:pPr>
              <w:pStyle w:val="Title1"/>
              <w:rPr>
                <w:rtl/>
              </w:rPr>
            </w:pPr>
            <w:r w:rsidRPr="00A70E29">
              <w:rPr>
                <w:rtl/>
              </w:rPr>
              <w:t>مقترحات بشأن أعمال المؤتمر</w:t>
            </w:r>
          </w:p>
        </w:tc>
      </w:tr>
      <w:tr w:rsidR="000D1EE4" w:rsidRPr="00A70E29" w14:paraId="1C9D4113" w14:textId="77777777" w:rsidTr="00752552">
        <w:trPr>
          <w:cantSplit/>
        </w:trPr>
        <w:tc>
          <w:tcPr>
            <w:tcW w:w="9666" w:type="dxa"/>
            <w:gridSpan w:val="4"/>
          </w:tcPr>
          <w:p w14:paraId="7E3399B9" w14:textId="77777777" w:rsidR="000D1EE4" w:rsidRPr="00A70E29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A70E29" w14:paraId="509EE1A6" w14:textId="77777777" w:rsidTr="00752552">
        <w:trPr>
          <w:cantSplit/>
        </w:trPr>
        <w:tc>
          <w:tcPr>
            <w:tcW w:w="9666" w:type="dxa"/>
            <w:gridSpan w:val="4"/>
          </w:tcPr>
          <w:p w14:paraId="57D63AE9" w14:textId="267E7A8D" w:rsidR="00E50850" w:rsidRPr="00A70E29" w:rsidRDefault="00E50850" w:rsidP="00A70E29">
            <w:pPr>
              <w:pStyle w:val="Agendaitem"/>
            </w:pPr>
            <w:r w:rsidRPr="00A70E29">
              <w:rPr>
                <w:rtl/>
              </w:rPr>
              <w:t>بند جدول الأعمال</w:t>
            </w:r>
            <w:r w:rsidR="00A70E29" w:rsidRPr="00A70E29">
              <w:rPr>
                <w:rFonts w:hint="cs"/>
                <w:rtl/>
              </w:rPr>
              <w:t xml:space="preserve"> </w:t>
            </w:r>
            <w:r w:rsidR="00A70E29" w:rsidRPr="00A70E29">
              <w:t>13.1</w:t>
            </w:r>
          </w:p>
        </w:tc>
      </w:tr>
    </w:tbl>
    <w:p w14:paraId="7A437172" w14:textId="77777777" w:rsidR="00513612" w:rsidRPr="00A70E29" w:rsidRDefault="00513612" w:rsidP="00494622">
      <w:pPr>
        <w:rPr>
          <w:rtl/>
        </w:rPr>
      </w:pPr>
      <w:r w:rsidRPr="00A70E29">
        <w:t>13.1</w:t>
      </w:r>
      <w:r w:rsidRPr="00A70E29">
        <w:tab/>
      </w:r>
      <w:r w:rsidRPr="00A70E29">
        <w:rPr>
          <w:spacing w:val="-6"/>
          <w:rtl/>
          <w:lang w:val="es-ES"/>
        </w:rPr>
        <w:t xml:space="preserve">النظر في إمكانية رفع وضع توزيع نطاق التردد </w:t>
      </w:r>
      <w:r w:rsidRPr="00A70E29">
        <w:rPr>
          <w:spacing w:val="-6"/>
          <w:lang w:bidi="ar-EG"/>
        </w:rPr>
        <w:t>GHz 15,35-14,8</w:t>
      </w:r>
      <w:r w:rsidRPr="00A70E29">
        <w:rPr>
          <w:spacing w:val="-6"/>
          <w:rtl/>
          <w:lang w:val="es-ES"/>
        </w:rPr>
        <w:t xml:space="preserve"> لخدمة الأبحاث الفضائية وفقاً للقرار </w:t>
      </w:r>
      <w:r w:rsidRPr="00A70E29">
        <w:rPr>
          <w:b/>
          <w:bCs/>
          <w:spacing w:val="-6"/>
          <w:lang w:bidi="ar-EG"/>
        </w:rPr>
        <w:t>661</w:t>
      </w:r>
      <w:r w:rsidRPr="00A70E29">
        <w:rPr>
          <w:b/>
          <w:bCs/>
          <w:spacing w:val="-6"/>
          <w:lang w:val="en-GB" w:bidi="ar-EG"/>
        </w:rPr>
        <w:t> (WRC-19)</w:t>
      </w:r>
      <w:r w:rsidRPr="00A70E29">
        <w:rPr>
          <w:spacing w:val="-6"/>
          <w:rtl/>
          <w:lang w:val="es-ES"/>
        </w:rPr>
        <w:t>؛</w:t>
      </w:r>
    </w:p>
    <w:p w14:paraId="086421F2" w14:textId="145A6FA7" w:rsidR="00417E14" w:rsidRPr="00A70E29" w:rsidRDefault="00A70E29" w:rsidP="00A70E29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0476FA63" w14:textId="077721BA" w:rsidR="00B24B17" w:rsidRPr="00A70E29" w:rsidRDefault="00A9757B" w:rsidP="004351B3">
      <w:r>
        <w:rPr>
          <w:rFonts w:hint="cs"/>
          <w:rtl/>
        </w:rPr>
        <w:t>ترى الإدارات المذكورة أعلاه ما يلي:</w:t>
      </w:r>
    </w:p>
    <w:p w14:paraId="637067A7" w14:textId="302A99A3" w:rsidR="00C45930" w:rsidRDefault="00A70E29" w:rsidP="00486924">
      <w:pPr>
        <w:pStyle w:val="enumlev1"/>
        <w:rPr>
          <w:lang w:bidi="ar-LB"/>
        </w:rPr>
      </w:pPr>
      <w:r>
        <w:rPr>
          <w:lang w:bidi="ar-EG"/>
        </w:rPr>
        <w:t>-</w:t>
      </w:r>
      <w:r>
        <w:rPr>
          <w:lang w:bidi="ar-EG"/>
        </w:rPr>
        <w:tab/>
      </w:r>
      <w:r w:rsidR="00A9757B">
        <w:rPr>
          <w:rFonts w:hint="cs"/>
          <w:rtl/>
          <w:lang w:bidi="ar-EG"/>
        </w:rPr>
        <w:t xml:space="preserve">أن </w:t>
      </w:r>
      <w:r w:rsidR="00A9757B">
        <w:rPr>
          <w:rFonts w:hint="cs"/>
          <w:rtl/>
        </w:rPr>
        <w:t xml:space="preserve">إمكانية رفع خدمة الأبحاث الفضائية في نطاق التردد </w:t>
      </w:r>
      <w:r w:rsidR="00A9757B">
        <w:t>GHz 15,35-14,8</w:t>
      </w:r>
      <w:r w:rsidR="00A9757B">
        <w:rPr>
          <w:rFonts w:hint="cs"/>
          <w:rtl/>
          <w:lang w:bidi="ar-LB"/>
        </w:rPr>
        <w:t xml:space="preserve"> يضمن حماية مناسبة للخدمات الأولية القائمة ولا يفرض قيوداً إضافية عليها في نطاق التردد هذا وفي النطاقات</w:t>
      </w:r>
      <w:r w:rsidR="00002D96">
        <w:rPr>
          <w:rFonts w:hint="cs"/>
          <w:rtl/>
          <w:lang w:bidi="ar-LB"/>
        </w:rPr>
        <w:t xml:space="preserve"> </w:t>
      </w:r>
      <w:proofErr w:type="gramStart"/>
      <w:r w:rsidR="00A9757B">
        <w:rPr>
          <w:rFonts w:hint="cs"/>
          <w:rtl/>
          <w:lang w:bidi="ar-LB"/>
        </w:rPr>
        <w:t>المجاورة؛</w:t>
      </w:r>
      <w:proofErr w:type="gramEnd"/>
    </w:p>
    <w:p w14:paraId="6AAA841A" w14:textId="1B2232D0" w:rsidR="00486924" w:rsidRDefault="00486924" w:rsidP="00486924">
      <w:pPr>
        <w:pStyle w:val="enumlev1"/>
      </w:pPr>
      <w:r>
        <w:rPr>
          <w:lang w:bidi="ar-EG"/>
        </w:rPr>
        <w:t>-</w:t>
      </w:r>
      <w:r>
        <w:rPr>
          <w:lang w:bidi="ar-EG"/>
        </w:rPr>
        <w:tab/>
      </w:r>
      <w:r w:rsidR="00A9757B">
        <w:rPr>
          <w:rFonts w:hint="cs"/>
          <w:rtl/>
        </w:rPr>
        <w:t xml:space="preserve">غير أن الدراسة التي أجراها قطاع الاتصالات الراديوية تظهر بوضوح أن إمكانية رفع خدمة الأبحاث الفضائية في نطاق التردد </w:t>
      </w:r>
      <w:r w:rsidR="00A9757B">
        <w:t>GHz 15,35-14,8</w:t>
      </w:r>
      <w:r w:rsidR="00A9757B">
        <w:rPr>
          <w:rFonts w:hint="cs"/>
          <w:rtl/>
          <w:lang w:bidi="ar-LB"/>
        </w:rPr>
        <w:t xml:space="preserve"> لا يوفر الحماية للخدمات الأولية </w:t>
      </w:r>
      <w:proofErr w:type="gramStart"/>
      <w:r w:rsidR="00A9757B">
        <w:rPr>
          <w:rFonts w:hint="cs"/>
          <w:rtl/>
          <w:lang w:bidi="ar-LB"/>
        </w:rPr>
        <w:t>القائمة؛</w:t>
      </w:r>
      <w:proofErr w:type="gramEnd"/>
    </w:p>
    <w:p w14:paraId="2A9ABE00" w14:textId="6278B5B7" w:rsidR="00486924" w:rsidRDefault="00486924" w:rsidP="00486924">
      <w:pPr>
        <w:pStyle w:val="enumlev1"/>
        <w:rPr>
          <w:rtl/>
        </w:rPr>
      </w:pPr>
      <w:r>
        <w:rPr>
          <w:lang w:bidi="ar-EG"/>
        </w:rPr>
        <w:t>-</w:t>
      </w:r>
      <w:r>
        <w:rPr>
          <w:lang w:bidi="ar-EG"/>
        </w:rPr>
        <w:tab/>
      </w:r>
      <w:r w:rsidR="00A9757B">
        <w:rPr>
          <w:rFonts w:hint="cs"/>
          <w:rtl/>
        </w:rPr>
        <w:t xml:space="preserve">أن إمكانية رفع خدمة الأبحاث الفضائية في نطاق التردد </w:t>
      </w:r>
      <w:r w:rsidR="00A9757B">
        <w:t>GHz 15,35-14,8</w:t>
      </w:r>
      <w:r w:rsidR="00A9757B">
        <w:rPr>
          <w:rFonts w:hint="cs"/>
          <w:rtl/>
          <w:lang w:bidi="ar-LB"/>
        </w:rPr>
        <w:t xml:space="preserve"> لا يفي بالقرار </w:t>
      </w:r>
      <w:r w:rsidR="00A9757B" w:rsidRPr="00A9757B">
        <w:rPr>
          <w:b/>
          <w:bCs/>
          <w:lang w:bidi="ar-LB"/>
        </w:rPr>
        <w:t>661 (WRC-19)</w:t>
      </w:r>
      <w:r w:rsidR="00A9757B">
        <w:rPr>
          <w:rFonts w:hint="cs"/>
          <w:rtl/>
          <w:lang w:bidi="ar-LB"/>
        </w:rPr>
        <w:t>.</w:t>
      </w:r>
    </w:p>
    <w:p w14:paraId="49568099" w14:textId="41124C98" w:rsidR="00A70E29" w:rsidRPr="00A70E29" w:rsidRDefault="00A9757B" w:rsidP="00A70E29">
      <w:pPr>
        <w:rPr>
          <w:rtl/>
          <w:lang w:bidi="ar-EG"/>
        </w:rPr>
      </w:pPr>
      <w:r>
        <w:rPr>
          <w:rFonts w:hint="cs"/>
          <w:rtl/>
        </w:rPr>
        <w:t xml:space="preserve">إن الإدارات المذكورة أعلاه تؤيد عدم إدخال أي تغييرات في لوائح الراديو وإلغاء القرار </w:t>
      </w:r>
      <w:r w:rsidR="00002D96" w:rsidRPr="00A9757B">
        <w:rPr>
          <w:b/>
          <w:bCs/>
          <w:lang w:bidi="ar-LB"/>
        </w:rPr>
        <w:t>661 (WRC-19)</w:t>
      </w:r>
      <w:r w:rsidR="00002D96">
        <w:rPr>
          <w:rFonts w:hint="cs"/>
          <w:rtl/>
          <w:lang w:bidi="ar-LB"/>
        </w:rPr>
        <w:t xml:space="preserve"> (الأسلوب </w:t>
      </w:r>
      <w:r w:rsidR="00002D96">
        <w:rPr>
          <w:lang w:bidi="ar-LB"/>
        </w:rPr>
        <w:t>A</w:t>
      </w:r>
      <w:r w:rsidR="00002D96">
        <w:rPr>
          <w:rFonts w:hint="cs"/>
          <w:rtl/>
          <w:lang w:bidi="ar-LB"/>
        </w:rPr>
        <w:t xml:space="preserve"> في تقرير الاجتماع التحضيري للمؤتمر).</w:t>
      </w:r>
    </w:p>
    <w:p w14:paraId="7C7215C0" w14:textId="77777777" w:rsidR="00A70E29" w:rsidRPr="00A70E29" w:rsidRDefault="00A70E29" w:rsidP="00E56BD6">
      <w:pPr>
        <w:rPr>
          <w:lang w:bidi="ar-EG"/>
        </w:rPr>
      </w:pPr>
    </w:p>
    <w:p w14:paraId="6A455AA4" w14:textId="77777777" w:rsidR="004C67F1" w:rsidRPr="00A70E29" w:rsidRDefault="004C67F1" w:rsidP="00A70E29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 w:rsidRPr="00A70E29">
        <w:rPr>
          <w:rtl/>
          <w:lang w:val="en-GB" w:bidi="ar-EG"/>
        </w:rPr>
        <w:br w:type="page"/>
      </w:r>
    </w:p>
    <w:p w14:paraId="6072495E" w14:textId="77777777" w:rsidR="00402C2E" w:rsidRPr="00A70E29" w:rsidRDefault="00513612">
      <w:pPr>
        <w:pStyle w:val="Proposal"/>
      </w:pPr>
      <w:r w:rsidRPr="00A70E29">
        <w:rPr>
          <w:u w:val="single"/>
        </w:rPr>
        <w:lastRenderedPageBreak/>
        <w:t>NOC</w:t>
      </w:r>
      <w:r w:rsidRPr="00A70E29">
        <w:tab/>
        <w:t>KOR/INS/J/VTN/104/1</w:t>
      </w:r>
      <w:r w:rsidRPr="00A70E29">
        <w:rPr>
          <w:vanish/>
          <w:color w:val="7F7F7F" w:themeColor="text1" w:themeTint="80"/>
          <w:vertAlign w:val="superscript"/>
        </w:rPr>
        <w:t>#1815</w:t>
      </w:r>
    </w:p>
    <w:p w14:paraId="1B7597C2" w14:textId="77777777" w:rsidR="00513612" w:rsidRPr="00486924" w:rsidRDefault="00513612" w:rsidP="00486924">
      <w:pPr>
        <w:pStyle w:val="Volumetitle"/>
      </w:pPr>
      <w:r w:rsidRPr="00486924">
        <w:rPr>
          <w:rtl/>
        </w:rPr>
        <w:t>المواد</w:t>
      </w:r>
    </w:p>
    <w:p w14:paraId="094BA394" w14:textId="404D2BDD" w:rsidR="00402C2E" w:rsidRPr="00A70E29" w:rsidRDefault="00513612">
      <w:pPr>
        <w:pStyle w:val="Reasons"/>
      </w:pPr>
      <w:r w:rsidRPr="00A70E29">
        <w:rPr>
          <w:rtl/>
        </w:rPr>
        <w:t>الأسباب:</w:t>
      </w:r>
      <w:r w:rsidRPr="00A70E29">
        <w:tab/>
      </w:r>
      <w:r w:rsidR="00002D96" w:rsidRPr="00002D96">
        <w:rPr>
          <w:rFonts w:hint="cs"/>
          <w:b w:val="0"/>
          <w:bCs w:val="0"/>
          <w:rtl/>
        </w:rPr>
        <w:t>تظهر</w:t>
      </w:r>
      <w:r w:rsidR="00002D96" w:rsidRPr="000D7F43">
        <w:rPr>
          <w:rFonts w:hint="cs"/>
          <w:b w:val="0"/>
          <w:bCs w:val="0"/>
          <w:rtl/>
        </w:rPr>
        <w:t xml:space="preserve"> </w:t>
      </w:r>
      <w:r w:rsidR="00002D96" w:rsidRPr="00002D96">
        <w:rPr>
          <w:rFonts w:hint="cs"/>
          <w:b w:val="0"/>
          <w:bCs w:val="0"/>
          <w:rtl/>
        </w:rPr>
        <w:t xml:space="preserve">الدراسة التي أجراها قطاع الاتصالات الراديوية بوضوح أن إمكانية رفع خدمة الأبحاث الفضائية في نطاق التردد </w:t>
      </w:r>
      <w:r w:rsidR="00002D96" w:rsidRPr="00002D96">
        <w:rPr>
          <w:b w:val="0"/>
          <w:bCs w:val="0"/>
        </w:rPr>
        <w:t>GHz 15,35-14,8</w:t>
      </w:r>
      <w:r w:rsidR="00002D96" w:rsidRPr="00002D96">
        <w:rPr>
          <w:rFonts w:hint="cs"/>
          <w:b w:val="0"/>
          <w:bCs w:val="0"/>
          <w:rtl/>
          <w:lang w:bidi="ar-LB"/>
        </w:rPr>
        <w:t xml:space="preserve"> لا يوفر الحماية للخدمات الأولية القائمة</w:t>
      </w:r>
      <w:r w:rsidR="00002D96">
        <w:rPr>
          <w:rFonts w:hint="cs"/>
          <w:b w:val="0"/>
          <w:bCs w:val="0"/>
          <w:rtl/>
          <w:lang w:bidi="ar-LB"/>
        </w:rPr>
        <w:t>.</w:t>
      </w:r>
    </w:p>
    <w:p w14:paraId="35CF1DC9" w14:textId="77777777" w:rsidR="00402C2E" w:rsidRPr="00A70E29" w:rsidRDefault="00513612">
      <w:pPr>
        <w:pStyle w:val="Proposal"/>
      </w:pPr>
      <w:r w:rsidRPr="00A70E29">
        <w:rPr>
          <w:u w:val="single"/>
        </w:rPr>
        <w:t>NOC</w:t>
      </w:r>
      <w:r w:rsidRPr="00A70E29">
        <w:tab/>
        <w:t>KOR/INS/J/VTN/104/2</w:t>
      </w:r>
      <w:r w:rsidRPr="00A70E29">
        <w:rPr>
          <w:vanish/>
          <w:color w:val="7F7F7F" w:themeColor="text1" w:themeTint="80"/>
          <w:vertAlign w:val="superscript"/>
        </w:rPr>
        <w:t>#1816</w:t>
      </w:r>
    </w:p>
    <w:p w14:paraId="65B68AA0" w14:textId="77777777" w:rsidR="00513612" w:rsidRPr="00486924" w:rsidRDefault="00513612" w:rsidP="00486924">
      <w:pPr>
        <w:pStyle w:val="Volumetitle"/>
        <w:rPr>
          <w:rtl/>
        </w:rPr>
      </w:pPr>
      <w:r w:rsidRPr="00486924">
        <w:rPr>
          <w:rtl/>
        </w:rPr>
        <w:t>التذييلات</w:t>
      </w:r>
    </w:p>
    <w:p w14:paraId="26F0F777" w14:textId="1CD53A76" w:rsidR="00402C2E" w:rsidRPr="00A70E29" w:rsidRDefault="00513612">
      <w:pPr>
        <w:pStyle w:val="Reasons"/>
      </w:pPr>
      <w:r w:rsidRPr="00A70E29">
        <w:rPr>
          <w:rtl/>
        </w:rPr>
        <w:t>الأسباب:</w:t>
      </w:r>
      <w:r w:rsidRPr="00A70E29">
        <w:tab/>
      </w:r>
      <w:r w:rsidR="00002D96">
        <w:rPr>
          <w:rFonts w:hint="cs"/>
          <w:b w:val="0"/>
          <w:bCs w:val="0"/>
          <w:rtl/>
        </w:rPr>
        <w:t>انظر الأسباب المدرجة في المقترح رقم 1 أعلاه.</w:t>
      </w:r>
    </w:p>
    <w:p w14:paraId="055253D2" w14:textId="77777777" w:rsidR="00402C2E" w:rsidRPr="00A70E29" w:rsidRDefault="00513612">
      <w:pPr>
        <w:pStyle w:val="Proposal"/>
      </w:pPr>
      <w:r w:rsidRPr="00A70E29">
        <w:t>SUP</w:t>
      </w:r>
      <w:r w:rsidRPr="00A70E29">
        <w:tab/>
        <w:t>KOR/INS/J/VTN/104/3</w:t>
      </w:r>
      <w:r w:rsidRPr="00A70E29">
        <w:rPr>
          <w:vanish/>
          <w:color w:val="7F7F7F" w:themeColor="text1" w:themeTint="80"/>
          <w:vertAlign w:val="superscript"/>
        </w:rPr>
        <w:t>#1817</w:t>
      </w:r>
    </w:p>
    <w:p w14:paraId="42664C9F" w14:textId="77777777" w:rsidR="00513612" w:rsidRPr="00A96514" w:rsidRDefault="00513612" w:rsidP="00A96514">
      <w:pPr>
        <w:pStyle w:val="ResNo"/>
        <w:rPr>
          <w:rtl/>
        </w:rPr>
      </w:pPr>
      <w:r w:rsidRPr="00A96514">
        <w:rPr>
          <w:rFonts w:hint="cs"/>
          <w:rtl/>
        </w:rPr>
        <w:t xml:space="preserve">القرار </w:t>
      </w:r>
      <w:r w:rsidRPr="00A96514">
        <w:rPr>
          <w:rStyle w:val="href"/>
        </w:rPr>
        <w:t>661</w:t>
      </w:r>
      <w:r w:rsidRPr="00A96514">
        <w:t> (WRC-19)</w:t>
      </w:r>
    </w:p>
    <w:p w14:paraId="6996457A" w14:textId="5D2E7716" w:rsidR="00513612" w:rsidRPr="00A96514" w:rsidRDefault="00513612" w:rsidP="00A96514">
      <w:pPr>
        <w:pStyle w:val="Restitle"/>
      </w:pPr>
      <w:r w:rsidRPr="00A96514">
        <w:rPr>
          <w:rFonts w:hint="cs"/>
          <w:rtl/>
        </w:rPr>
        <w:t>دراسة إمكانية رفع التوزيع الثانوي لخدمة الأبحاث الفضائية إلى توزيع أولي في</w:t>
      </w:r>
      <w:r w:rsidR="00486924">
        <w:rPr>
          <w:rFonts w:hint="eastAsia"/>
          <w:rtl/>
        </w:rPr>
        <w:t> </w:t>
      </w:r>
      <w:r w:rsidRPr="00A96514">
        <w:rPr>
          <w:rFonts w:hint="cs"/>
          <w:rtl/>
        </w:rPr>
        <w:t>نطاق</w:t>
      </w:r>
      <w:r w:rsidR="00486924">
        <w:rPr>
          <w:rFonts w:hint="eastAsia"/>
          <w:rtl/>
        </w:rPr>
        <w:t> </w:t>
      </w:r>
      <w:r w:rsidRPr="00A96514">
        <w:rPr>
          <w:rFonts w:hint="cs"/>
          <w:rtl/>
        </w:rPr>
        <w:t>التردد</w:t>
      </w:r>
      <w:r w:rsidR="00486924">
        <w:rPr>
          <w:rFonts w:hint="eastAsia"/>
          <w:rtl/>
        </w:rPr>
        <w:t> </w:t>
      </w:r>
      <w:r w:rsidRPr="00A96514">
        <w:t>GHz 15,35-14,8</w:t>
      </w:r>
    </w:p>
    <w:p w14:paraId="44F451BB" w14:textId="259C187C" w:rsidR="00402C2E" w:rsidRDefault="00513612">
      <w:pPr>
        <w:pStyle w:val="Reasons"/>
        <w:rPr>
          <w:b w:val="0"/>
          <w:bCs w:val="0"/>
        </w:rPr>
      </w:pPr>
      <w:r w:rsidRPr="00A70E29">
        <w:rPr>
          <w:rtl/>
        </w:rPr>
        <w:t>الأسباب:</w:t>
      </w:r>
      <w:r w:rsidRPr="00A70E29">
        <w:tab/>
      </w:r>
      <w:r w:rsidR="00C87E9B" w:rsidRPr="00C87E9B">
        <w:rPr>
          <w:b w:val="0"/>
          <w:bCs w:val="0"/>
          <w:rtl/>
        </w:rPr>
        <w:t>لم يعد هذا القرار ضرورياً.</w:t>
      </w:r>
    </w:p>
    <w:p w14:paraId="70640B89" w14:textId="5A57C1C9" w:rsidR="000D7F43" w:rsidRPr="000D7F43" w:rsidRDefault="000D7F43" w:rsidP="00884D3B">
      <w:pPr>
        <w:spacing w:before="600"/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</w:t>
      </w:r>
      <w:r w:rsidR="00884D3B">
        <w:rPr>
          <w:rFonts w:hint="cs"/>
          <w:rtl/>
          <w:lang w:bidi="ar-EG"/>
        </w:rPr>
        <w:t>ـــــــــــ</w:t>
      </w:r>
    </w:p>
    <w:sectPr w:rsidR="000D7F43" w:rsidRPr="000D7F43">
      <w:headerReference w:type="even" r:id="rId15"/>
      <w:footerReference w:type="even" r:id="rId16"/>
      <w:footerReference w:type="first" r:id="rId17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CC4D" w14:textId="77777777" w:rsidR="001A6F04" w:rsidRDefault="001A6F04" w:rsidP="002919E1">
      <w:r>
        <w:separator/>
      </w:r>
    </w:p>
    <w:p w14:paraId="4DA985E1" w14:textId="77777777" w:rsidR="001A6F04" w:rsidRDefault="001A6F04" w:rsidP="002919E1"/>
    <w:p w14:paraId="7B81F5C1" w14:textId="77777777" w:rsidR="001A6F04" w:rsidRDefault="001A6F04" w:rsidP="002919E1"/>
    <w:p w14:paraId="43BDF855" w14:textId="77777777" w:rsidR="001A6F04" w:rsidRDefault="001A6F04"/>
    <w:p w14:paraId="69EC9B3C" w14:textId="77777777" w:rsidR="001A6F04" w:rsidRDefault="001A6F04"/>
  </w:endnote>
  <w:endnote w:type="continuationSeparator" w:id="0">
    <w:p w14:paraId="316C07C5" w14:textId="77777777" w:rsidR="001A6F04" w:rsidRDefault="001A6F04" w:rsidP="002919E1">
      <w:r>
        <w:continuationSeparator/>
      </w:r>
    </w:p>
    <w:p w14:paraId="1872F07A" w14:textId="77777777" w:rsidR="001A6F04" w:rsidRDefault="001A6F04" w:rsidP="002919E1"/>
    <w:p w14:paraId="0C803EFB" w14:textId="77777777" w:rsidR="001A6F04" w:rsidRDefault="001A6F04" w:rsidP="002919E1"/>
    <w:p w14:paraId="2EFCE1AD" w14:textId="77777777" w:rsidR="001A6F04" w:rsidRDefault="001A6F04"/>
    <w:p w14:paraId="366A700E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A575" w14:textId="0BE7135F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040C3">
      <w:rPr>
        <w:noProof/>
        <w:sz w:val="16"/>
        <w:szCs w:val="16"/>
        <w:lang w:val="fr-FR"/>
      </w:rPr>
      <w:t>P:\ARA\ITU-R\CONF-R\CMR23\100\104A.docx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A70E29" w:rsidRPr="00A70E29">
      <w:rPr>
        <w:sz w:val="16"/>
        <w:szCs w:val="16"/>
        <w:lang w:val="fr-FR"/>
      </w:rPr>
      <w:t>530165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606C" w14:textId="5549E91D" w:rsidR="00A70E29" w:rsidRPr="00A70E29" w:rsidRDefault="00A70E29" w:rsidP="00A70E29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040C3">
      <w:rPr>
        <w:noProof/>
        <w:sz w:val="16"/>
        <w:szCs w:val="16"/>
        <w:lang w:val="fr-FR"/>
      </w:rPr>
      <w:t>P:\ARA\ITU-R\CONF-R\CMR23\100\104A.docx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A70E29">
      <w:rPr>
        <w:sz w:val="16"/>
        <w:szCs w:val="16"/>
        <w:lang w:val="fr-FR"/>
      </w:rPr>
      <w:t>530165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598E" w14:textId="77777777" w:rsidR="001A6F04" w:rsidRDefault="001A6F04" w:rsidP="00C45930">
      <w:r>
        <w:separator/>
      </w:r>
    </w:p>
  </w:footnote>
  <w:footnote w:type="continuationSeparator" w:id="0">
    <w:p w14:paraId="2E2AC6F8" w14:textId="77777777" w:rsidR="001A6F04" w:rsidRDefault="001A6F04" w:rsidP="002919E1">
      <w:r>
        <w:continuationSeparator/>
      </w:r>
    </w:p>
    <w:p w14:paraId="3A1FE100" w14:textId="77777777" w:rsidR="001A6F04" w:rsidRDefault="001A6F04" w:rsidP="002919E1"/>
    <w:p w14:paraId="74078CB9" w14:textId="77777777" w:rsidR="001A6F04" w:rsidRDefault="001A6F04" w:rsidP="002919E1"/>
    <w:p w14:paraId="60AE793C" w14:textId="77777777" w:rsidR="001A6F04" w:rsidRDefault="001A6F04"/>
    <w:p w14:paraId="206DDF85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38EB" w14:textId="3FE23452" w:rsidR="00D63A6F" w:rsidRPr="00A70E29" w:rsidRDefault="005E5F16" w:rsidP="00A70E29">
    <w:pPr>
      <w:bidi w:val="0"/>
      <w:spacing w:after="360" w:line="240" w:lineRule="auto"/>
      <w:jc w:val="center"/>
      <w:rPr>
        <w:sz w:val="20"/>
        <w:szCs w:val="20"/>
      </w:rPr>
    </w:pPr>
    <w:r w:rsidRPr="00A70E29">
      <w:rPr>
        <w:rStyle w:val="PageNumber"/>
        <w:rFonts w:ascii="Dubai" w:hAnsi="Dubai" w:cs="Dubai"/>
      </w:rPr>
      <w:fldChar w:fldCharType="begin"/>
    </w:r>
    <w:r w:rsidRPr="00A70E29">
      <w:rPr>
        <w:rStyle w:val="PageNumber"/>
        <w:rFonts w:ascii="Dubai" w:hAnsi="Dubai" w:cs="Dubai"/>
      </w:rPr>
      <w:instrText xml:space="preserve"> PAGE </w:instrText>
    </w:r>
    <w:r w:rsidRPr="00A70E29">
      <w:rPr>
        <w:rStyle w:val="PageNumber"/>
        <w:rFonts w:ascii="Dubai" w:hAnsi="Dubai" w:cs="Dubai"/>
      </w:rPr>
      <w:fldChar w:fldCharType="separate"/>
    </w:r>
    <w:r w:rsidRPr="00A70E29">
      <w:rPr>
        <w:rStyle w:val="PageNumber"/>
        <w:rFonts w:ascii="Dubai" w:hAnsi="Dubai" w:cs="Dubai"/>
      </w:rPr>
      <w:t>2</w:t>
    </w:r>
    <w:r w:rsidRPr="00A70E29">
      <w:rPr>
        <w:rStyle w:val="PageNumber"/>
        <w:rFonts w:ascii="Dubai" w:hAnsi="Dubai" w:cs="Dubai"/>
      </w:rPr>
      <w:fldChar w:fldCharType="end"/>
    </w:r>
    <w:r w:rsidRPr="00A70E29">
      <w:rPr>
        <w:rStyle w:val="PageNumber"/>
        <w:rFonts w:ascii="Dubai" w:hAnsi="Dubai" w:cs="Dubai"/>
        <w:rtl/>
      </w:rPr>
      <w:br/>
    </w:r>
    <w:r w:rsidR="004F5F29" w:rsidRPr="00A70E29">
      <w:rPr>
        <w:rStyle w:val="PageNumber"/>
        <w:rFonts w:ascii="Dubai" w:hAnsi="Dubai" w:cs="Dubai"/>
      </w:rPr>
      <w:t>WRC</w:t>
    </w:r>
    <w:r w:rsidRPr="00A70E29">
      <w:rPr>
        <w:rStyle w:val="PageNumber"/>
        <w:rFonts w:ascii="Dubai" w:hAnsi="Dubai" w:cs="Dubai"/>
      </w:rPr>
      <w:t>23/104-A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32034193">
    <w:abstractNumId w:val="9"/>
  </w:num>
  <w:num w:numId="2" w16cid:durableId="2147119169">
    <w:abstractNumId w:val="13"/>
  </w:num>
  <w:num w:numId="3" w16cid:durableId="596714349">
    <w:abstractNumId w:val="11"/>
  </w:num>
  <w:num w:numId="4" w16cid:durableId="244923155">
    <w:abstractNumId w:val="14"/>
  </w:num>
  <w:num w:numId="5" w16cid:durableId="533345063">
    <w:abstractNumId w:val="7"/>
  </w:num>
  <w:num w:numId="6" w16cid:durableId="1681008721">
    <w:abstractNumId w:val="6"/>
  </w:num>
  <w:num w:numId="7" w16cid:durableId="1301305135">
    <w:abstractNumId w:val="5"/>
  </w:num>
  <w:num w:numId="8" w16cid:durableId="1799033513">
    <w:abstractNumId w:val="4"/>
  </w:num>
  <w:num w:numId="9" w16cid:durableId="1647658074">
    <w:abstractNumId w:val="8"/>
  </w:num>
  <w:num w:numId="10" w16cid:durableId="1525241309">
    <w:abstractNumId w:val="3"/>
  </w:num>
  <w:num w:numId="11" w16cid:durableId="906845801">
    <w:abstractNumId w:val="2"/>
  </w:num>
  <w:num w:numId="12" w16cid:durableId="1982728988">
    <w:abstractNumId w:val="1"/>
  </w:num>
  <w:num w:numId="13" w16cid:durableId="338047129">
    <w:abstractNumId w:val="0"/>
  </w:num>
  <w:num w:numId="14" w16cid:durableId="565994653">
    <w:abstractNumId w:val="10"/>
  </w:num>
  <w:num w:numId="15" w16cid:durableId="1576819818">
    <w:abstractNumId w:val="15"/>
  </w:num>
  <w:num w:numId="16" w16cid:durableId="1468817546">
    <w:abstractNumId w:val="12"/>
  </w:num>
  <w:num w:numId="17" w16cid:durableId="1705251990">
    <w:abstractNumId w:val="6"/>
  </w:num>
  <w:num w:numId="18" w16cid:durableId="227158414">
    <w:abstractNumId w:val="5"/>
  </w:num>
  <w:num w:numId="19" w16cid:durableId="230194870">
    <w:abstractNumId w:val="3"/>
  </w:num>
  <w:num w:numId="20" w16cid:durableId="16086142">
    <w:abstractNumId w:val="2"/>
  </w:num>
  <w:num w:numId="21" w16cid:durableId="1120491668">
    <w:abstractNumId w:val="6"/>
  </w:num>
  <w:num w:numId="22" w16cid:durableId="1903371648">
    <w:abstractNumId w:val="5"/>
  </w:num>
  <w:num w:numId="23" w16cid:durableId="2116049925">
    <w:abstractNumId w:val="3"/>
  </w:num>
  <w:num w:numId="24" w16cid:durableId="228224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2D96"/>
    <w:rsid w:val="00003348"/>
    <w:rsid w:val="000036C5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D7F43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02C2E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86924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3612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44BE5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40C3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84D3B"/>
    <w:rsid w:val="008871FE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0E29"/>
    <w:rsid w:val="00A7588B"/>
    <w:rsid w:val="00A809E8"/>
    <w:rsid w:val="00A82CC1"/>
    <w:rsid w:val="00A86B29"/>
    <w:rsid w:val="00A870AD"/>
    <w:rsid w:val="00A90843"/>
    <w:rsid w:val="00A9645C"/>
    <w:rsid w:val="00A96514"/>
    <w:rsid w:val="00A9757B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87E9B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2FF0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EDDD0E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3f166d1-9093-4e06-8c36-6c6fea979591" targetNamespace="http://schemas.microsoft.com/office/2006/metadata/properties" ma:root="true" ma:fieldsID="d41af5c836d734370eb92e7ee5f83852" ns2:_="" ns3:_="">
    <xsd:import namespace="996b2e75-67fd-4955-a3b0-5ab9934cb50b"/>
    <xsd:import namespace="03f166d1-9093-4e06-8c36-6c6fea97959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166d1-9093-4e06-8c36-6c6fea97959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3f166d1-9093-4e06-8c36-6c6fea979591">DPM</DPM_x0020_Author>
    <DPM_x0020_File_x0020_name xmlns="03f166d1-9093-4e06-8c36-6c6fea979591">R23-WRC23-C-0104!!MSW-A</DPM_x0020_File_x0020_name>
    <DPM_x0020_Version xmlns="03f166d1-9093-4e06-8c36-6c6fea979591">DPM_2022.05.12.01</DPM_x0020_Version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3f166d1-9093-4e06-8c36-6c6fea979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166d1-9093-4e06-8c36-6c6fea979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R23-WRC23-C-0104!!MSW-A</vt:lpstr>
    </vt:vector>
  </TitlesOfParts>
  <Manager>General Secretariat - Pool</Manager>
  <Company>International Telecommunication Union (ITU)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R23-WRC23-C-0104!!MSW-A</dc:title>
  <dc:creator>Documents Proposals Manager (DPM)</dc:creator>
  <cp:keywords>DPM_v2023.11.6.1_prod</cp:keywords>
  <cp:lastModifiedBy>Arabic_AA</cp:lastModifiedBy>
  <cp:revision>3</cp:revision>
  <cp:lastPrinted>2020-08-11T14:28:00Z</cp:lastPrinted>
  <dcterms:created xsi:type="dcterms:W3CDTF">2023-11-19T16:06:00Z</dcterms:created>
  <dcterms:modified xsi:type="dcterms:W3CDTF">2023-11-19T16:13:00Z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