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6762C6" w14:paraId="5BEECECB" w14:textId="77777777" w:rsidTr="00C1305F">
        <w:trPr>
          <w:cantSplit/>
        </w:trPr>
        <w:tc>
          <w:tcPr>
            <w:tcW w:w="1418" w:type="dxa"/>
            <w:vAlign w:val="center"/>
          </w:tcPr>
          <w:p w14:paraId="75270522" w14:textId="77777777" w:rsidR="00C1305F" w:rsidRPr="006762C6" w:rsidRDefault="00C1305F" w:rsidP="006762C6">
            <w:pPr>
              <w:spacing w:before="0"/>
              <w:rPr>
                <w:rFonts w:ascii="Verdana" w:hAnsi="Verdana"/>
                <w:b/>
                <w:bCs/>
                <w:sz w:val="20"/>
              </w:rPr>
              <w:pPrChange w:id="0" w:author="Deturche-Nazer, Anne-Marie" w:date="2023-11-07T10:3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 w:rsidRPr="006762C6">
              <w:rPr>
                <w:noProof/>
              </w:rPr>
              <w:drawing>
                <wp:inline distT="0" distB="0" distL="0" distR="0" wp14:anchorId="717F61F2" wp14:editId="3EDD6D30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4FCF0AB" w14:textId="4E639AB8" w:rsidR="00C1305F" w:rsidRPr="006762C6" w:rsidRDefault="00C1305F" w:rsidP="006762C6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  <w:pPrChange w:id="1" w:author="Deturche-Nazer, Anne-Marie" w:date="2023-11-07T10:31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6762C6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6762C6">
              <w:rPr>
                <w:rFonts w:ascii="Verdana" w:hAnsi="Verdana"/>
                <w:b/>
                <w:bCs/>
                <w:sz w:val="20"/>
              </w:rPr>
              <w:br/>
            </w:r>
            <w:r w:rsidRPr="006762C6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6A3C24" w:rsidRPr="006762C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6762C6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6A9D220" w14:textId="77777777" w:rsidR="00C1305F" w:rsidRPr="006762C6" w:rsidRDefault="00C1305F" w:rsidP="006762C6">
            <w:pPr>
              <w:spacing w:before="0"/>
              <w:pPrChange w:id="2" w:author="Deturche-Nazer, Anne-Marie" w:date="2023-11-07T10:3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bookmarkStart w:id="3" w:name="ditulogo"/>
            <w:bookmarkEnd w:id="3"/>
            <w:r w:rsidRPr="006762C6">
              <w:rPr>
                <w:noProof/>
              </w:rPr>
              <w:drawing>
                <wp:inline distT="0" distB="0" distL="0" distR="0" wp14:anchorId="4FB2900C" wp14:editId="104CEC63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762C6" w14:paraId="2209489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3803249" w14:textId="77777777" w:rsidR="00BB1D82" w:rsidRPr="006762C6" w:rsidRDefault="00BB1D82" w:rsidP="006762C6">
            <w:pPr>
              <w:spacing w:before="0" w:after="48"/>
              <w:rPr>
                <w:b/>
                <w:smallCaps/>
                <w:szCs w:val="24"/>
              </w:rPr>
              <w:pPrChange w:id="4" w:author="Deturche-Nazer, Anne-Marie" w:date="2023-11-07T10:31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  <w:bookmarkStart w:id="5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81613FB" w14:textId="77777777" w:rsidR="00BB1D82" w:rsidRPr="006762C6" w:rsidRDefault="00BB1D82" w:rsidP="006762C6">
            <w:pPr>
              <w:spacing w:before="0"/>
              <w:rPr>
                <w:rFonts w:ascii="Verdana" w:hAnsi="Verdana"/>
                <w:szCs w:val="24"/>
              </w:rPr>
              <w:pPrChange w:id="6" w:author="Deturche-Nazer, Anne-Marie" w:date="2023-11-07T10:3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6762C6" w14:paraId="698127B9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932C2D6" w14:textId="77777777" w:rsidR="00BB1D82" w:rsidRPr="006762C6" w:rsidRDefault="00BB1D82" w:rsidP="006762C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7" w:author="Deturche-Nazer, Anne-Marie" w:date="2023-11-07T10:31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B6980DC" w14:textId="77777777" w:rsidR="00BB1D82" w:rsidRPr="006762C6" w:rsidRDefault="00BB1D82" w:rsidP="006762C6">
            <w:pPr>
              <w:spacing w:before="0"/>
              <w:rPr>
                <w:rFonts w:ascii="Verdana" w:hAnsi="Verdana"/>
                <w:sz w:val="20"/>
              </w:rPr>
              <w:pPrChange w:id="8" w:author="Deturche-Nazer, Anne-Marie" w:date="2023-11-07T10:3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6762C6" w14:paraId="3B116AA8" w14:textId="77777777" w:rsidTr="00BB1D82">
        <w:trPr>
          <w:cantSplit/>
        </w:trPr>
        <w:tc>
          <w:tcPr>
            <w:tcW w:w="6911" w:type="dxa"/>
            <w:gridSpan w:val="2"/>
          </w:tcPr>
          <w:p w14:paraId="1ADDE011" w14:textId="77777777" w:rsidR="00BB1D82" w:rsidRPr="006762C6" w:rsidRDefault="006D4724" w:rsidP="006762C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762C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CE9A951" w14:textId="77777777" w:rsidR="00BB1D82" w:rsidRPr="006762C6" w:rsidRDefault="006D4724" w:rsidP="006762C6">
            <w:pPr>
              <w:spacing w:before="0"/>
              <w:rPr>
                <w:rFonts w:ascii="Verdana" w:hAnsi="Verdana"/>
                <w:sz w:val="20"/>
              </w:rPr>
            </w:pPr>
            <w:r w:rsidRPr="006762C6">
              <w:rPr>
                <w:rFonts w:ascii="Verdana" w:hAnsi="Verdana"/>
                <w:b/>
                <w:sz w:val="20"/>
              </w:rPr>
              <w:t>Addendum 4 au</w:t>
            </w:r>
            <w:r w:rsidRPr="006762C6">
              <w:rPr>
                <w:rFonts w:ascii="Verdana" w:hAnsi="Verdana"/>
                <w:b/>
                <w:sz w:val="20"/>
              </w:rPr>
              <w:br/>
              <w:t>Document 100(Add.27)</w:t>
            </w:r>
            <w:r w:rsidR="00BB1D82" w:rsidRPr="006762C6">
              <w:rPr>
                <w:rFonts w:ascii="Verdana" w:hAnsi="Verdana"/>
                <w:b/>
                <w:sz w:val="20"/>
              </w:rPr>
              <w:t>-</w:t>
            </w:r>
            <w:r w:rsidRPr="006762C6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5"/>
      <w:tr w:rsidR="00690C7B" w:rsidRPr="006762C6" w14:paraId="31B85DA4" w14:textId="77777777" w:rsidTr="00BB1D82">
        <w:trPr>
          <w:cantSplit/>
        </w:trPr>
        <w:tc>
          <w:tcPr>
            <w:tcW w:w="6911" w:type="dxa"/>
            <w:gridSpan w:val="2"/>
          </w:tcPr>
          <w:p w14:paraId="26358DE4" w14:textId="77777777" w:rsidR="00690C7B" w:rsidRPr="006762C6" w:rsidRDefault="00690C7B" w:rsidP="006762C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F913C04" w14:textId="77777777" w:rsidR="00690C7B" w:rsidRPr="006762C6" w:rsidRDefault="00690C7B" w:rsidP="006762C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762C6">
              <w:rPr>
                <w:rFonts w:ascii="Verdana" w:hAnsi="Verdana"/>
                <w:b/>
                <w:sz w:val="20"/>
              </w:rPr>
              <w:t>27 octobre 2023</w:t>
            </w:r>
          </w:p>
        </w:tc>
      </w:tr>
      <w:tr w:rsidR="00690C7B" w:rsidRPr="006762C6" w14:paraId="26C4F230" w14:textId="77777777" w:rsidTr="00BB1D82">
        <w:trPr>
          <w:cantSplit/>
        </w:trPr>
        <w:tc>
          <w:tcPr>
            <w:tcW w:w="6911" w:type="dxa"/>
            <w:gridSpan w:val="2"/>
          </w:tcPr>
          <w:p w14:paraId="08ED1D8B" w14:textId="77777777" w:rsidR="00690C7B" w:rsidRPr="006762C6" w:rsidRDefault="00690C7B" w:rsidP="006762C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B93237C" w14:textId="77777777" w:rsidR="00690C7B" w:rsidRPr="006762C6" w:rsidRDefault="00690C7B" w:rsidP="006762C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762C6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6762C6" w14:paraId="4D2B7A8C" w14:textId="77777777" w:rsidTr="00C11970">
        <w:trPr>
          <w:cantSplit/>
        </w:trPr>
        <w:tc>
          <w:tcPr>
            <w:tcW w:w="10031" w:type="dxa"/>
            <w:gridSpan w:val="4"/>
          </w:tcPr>
          <w:p w14:paraId="6C8BE05E" w14:textId="77777777" w:rsidR="00690C7B" w:rsidRPr="006762C6" w:rsidRDefault="00690C7B" w:rsidP="006762C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762C6" w14:paraId="31E4F549" w14:textId="77777777" w:rsidTr="0050008E">
        <w:trPr>
          <w:cantSplit/>
        </w:trPr>
        <w:tc>
          <w:tcPr>
            <w:tcW w:w="10031" w:type="dxa"/>
            <w:gridSpan w:val="4"/>
          </w:tcPr>
          <w:p w14:paraId="18092534" w14:textId="77777777" w:rsidR="00690C7B" w:rsidRPr="006762C6" w:rsidRDefault="00690C7B" w:rsidP="006762C6">
            <w:pPr>
              <w:pStyle w:val="Source"/>
            </w:pPr>
            <w:bookmarkStart w:id="9" w:name="dsource" w:colFirst="0" w:colLast="0"/>
            <w:r w:rsidRPr="006762C6">
              <w:t>Propositions communes des États arabes</w:t>
            </w:r>
          </w:p>
        </w:tc>
      </w:tr>
      <w:tr w:rsidR="00690C7B" w:rsidRPr="006762C6" w14:paraId="7C29910A" w14:textId="77777777" w:rsidTr="0050008E">
        <w:trPr>
          <w:cantSplit/>
        </w:trPr>
        <w:tc>
          <w:tcPr>
            <w:tcW w:w="10031" w:type="dxa"/>
            <w:gridSpan w:val="4"/>
          </w:tcPr>
          <w:p w14:paraId="37A2D09B" w14:textId="2E4D8C65" w:rsidR="00690C7B" w:rsidRPr="006762C6" w:rsidRDefault="002C28FA" w:rsidP="006762C6">
            <w:pPr>
              <w:pStyle w:val="Title1"/>
            </w:pPr>
            <w:bookmarkStart w:id="10" w:name="dtitle1" w:colFirst="0" w:colLast="0"/>
            <w:bookmarkEnd w:id="9"/>
            <w:r w:rsidRPr="006762C6">
              <w:rPr>
                <w:rStyle w:val="ui-provider"/>
              </w:rPr>
              <w:t>Propositions pour les travaux de la Conférence</w:t>
            </w:r>
          </w:p>
        </w:tc>
      </w:tr>
      <w:tr w:rsidR="00690C7B" w:rsidRPr="006762C6" w14:paraId="6EED02AA" w14:textId="77777777" w:rsidTr="0050008E">
        <w:trPr>
          <w:cantSplit/>
        </w:trPr>
        <w:tc>
          <w:tcPr>
            <w:tcW w:w="10031" w:type="dxa"/>
            <w:gridSpan w:val="4"/>
          </w:tcPr>
          <w:p w14:paraId="61AE1874" w14:textId="77777777" w:rsidR="00690C7B" w:rsidRPr="006762C6" w:rsidRDefault="00690C7B" w:rsidP="006762C6">
            <w:pPr>
              <w:pStyle w:val="Title2"/>
            </w:pPr>
            <w:bookmarkStart w:id="11" w:name="dtitle2" w:colFirst="0" w:colLast="0"/>
            <w:bookmarkEnd w:id="10"/>
          </w:p>
        </w:tc>
      </w:tr>
      <w:tr w:rsidR="00690C7B" w:rsidRPr="006762C6" w14:paraId="3B2E7EAB" w14:textId="77777777" w:rsidTr="0050008E">
        <w:trPr>
          <w:cantSplit/>
        </w:trPr>
        <w:tc>
          <w:tcPr>
            <w:tcW w:w="10031" w:type="dxa"/>
            <w:gridSpan w:val="4"/>
          </w:tcPr>
          <w:p w14:paraId="158C1C83" w14:textId="77777777" w:rsidR="00690C7B" w:rsidRPr="006762C6" w:rsidRDefault="00690C7B" w:rsidP="006762C6">
            <w:pPr>
              <w:pStyle w:val="Agendaitem"/>
              <w:rPr>
                <w:lang w:val="fr-FR"/>
              </w:rPr>
            </w:pPr>
            <w:bookmarkStart w:id="12" w:name="dtitle3" w:colFirst="0" w:colLast="0"/>
            <w:bookmarkEnd w:id="11"/>
            <w:r w:rsidRPr="006762C6">
              <w:rPr>
                <w:lang w:val="fr-FR"/>
              </w:rPr>
              <w:t>Point 10 de l'ordre du jour</w:t>
            </w:r>
          </w:p>
        </w:tc>
      </w:tr>
    </w:tbl>
    <w:bookmarkEnd w:id="12"/>
    <w:p w14:paraId="01BE3EFD" w14:textId="762878E3" w:rsidR="00364408" w:rsidRPr="006762C6" w:rsidRDefault="00364408" w:rsidP="006762C6">
      <w:r w:rsidRPr="006762C6">
        <w:t>10</w:t>
      </w:r>
      <w:r w:rsidRPr="006762C6">
        <w:tab/>
        <w:t>recommander au Conseil de l'UIT des points à inscrire à l'ordre du jour de la Conférence mondiale des radiocommunications suivante et des points de l'ordre du jour préliminaire de conférences futures, conformément à l'article</w:t>
      </w:r>
      <w:r w:rsidR="00350640" w:rsidRPr="006762C6">
        <w:t xml:space="preserve"> </w:t>
      </w:r>
      <w:r w:rsidRPr="006762C6">
        <w:t>7 de la</w:t>
      </w:r>
      <w:r w:rsidR="00350640" w:rsidRPr="006762C6">
        <w:t xml:space="preserve"> </w:t>
      </w:r>
      <w:r w:rsidRPr="006762C6">
        <w:t xml:space="preserve">Convention de l'UIT et à la Résolution </w:t>
      </w:r>
      <w:r w:rsidRPr="006762C6">
        <w:rPr>
          <w:b/>
        </w:rPr>
        <w:t>804 (Rév.CMR-19)</w:t>
      </w:r>
      <w:r w:rsidRPr="006762C6">
        <w:t>,</w:t>
      </w:r>
    </w:p>
    <w:p w14:paraId="5D0C350A" w14:textId="14EA43DD" w:rsidR="002C28FA" w:rsidRPr="006762C6" w:rsidRDefault="002C28FA" w:rsidP="006762C6">
      <w:pPr>
        <w:pStyle w:val="Headingb"/>
      </w:pPr>
      <w:r w:rsidRPr="006762C6">
        <w:t>Introduction</w:t>
      </w:r>
    </w:p>
    <w:p w14:paraId="4858CE61" w14:textId="515F213C" w:rsidR="00350640" w:rsidRPr="006762C6" w:rsidRDefault="00B12AA2" w:rsidP="006762C6">
      <w:r w:rsidRPr="006762C6">
        <w:t xml:space="preserve">Les cosignataires indiqués ci-dessus proposent d'inscrire un nouveau point à l'ordre du jour de la Conférence mondiale des radiocommunications de 2027 concernant </w:t>
      </w:r>
      <w:r w:rsidR="009747C4" w:rsidRPr="006762C6">
        <w:t xml:space="preserve">la possibilité de réviser </w:t>
      </w:r>
      <w:r w:rsidRPr="006762C6">
        <w:t xml:space="preserve">l'attribution au service fixe par satellite (SFS) dans la bande de fréquences 51,4-52,4 GHz (Terre vers espace) </w:t>
      </w:r>
      <w:r w:rsidR="001742AF" w:rsidRPr="006762C6">
        <w:t xml:space="preserve">pour </w:t>
      </w:r>
      <w:r w:rsidRPr="006762C6">
        <w:t xml:space="preserve">permettre </w:t>
      </w:r>
      <w:r w:rsidR="001742AF" w:rsidRPr="006762C6">
        <w:t xml:space="preserve">son </w:t>
      </w:r>
      <w:r w:rsidRPr="006762C6">
        <w:t>utilisation</w:t>
      </w:r>
      <w:r w:rsidR="009747C4" w:rsidRPr="006762C6">
        <w:t xml:space="preserve"> à titre primaire </w:t>
      </w:r>
      <w:r w:rsidRPr="006762C6">
        <w:t xml:space="preserve">par les systèmes </w:t>
      </w:r>
      <w:r w:rsidR="009747C4" w:rsidRPr="006762C6">
        <w:t xml:space="preserve">non OSG </w:t>
      </w:r>
      <w:r w:rsidRPr="006762C6">
        <w:t>du SFS et</w:t>
      </w:r>
      <w:r w:rsidR="009747C4" w:rsidRPr="006762C6">
        <w:t xml:space="preserve"> </w:t>
      </w:r>
      <w:r w:rsidRPr="006762C6">
        <w:t>les stations terriennes passerelles associées</w:t>
      </w:r>
      <w:r w:rsidR="00350640" w:rsidRPr="006762C6">
        <w:t>.</w:t>
      </w:r>
      <w:r w:rsidR="001742AF" w:rsidRPr="006762C6">
        <w:t xml:space="preserve"> </w:t>
      </w:r>
      <w:r w:rsidRPr="006762C6">
        <w:t xml:space="preserve">La proposition consiste à envisager </w:t>
      </w:r>
      <w:r w:rsidR="009747C4" w:rsidRPr="006762C6">
        <w:t>d'attribuer</w:t>
      </w:r>
      <w:r w:rsidRPr="006762C6">
        <w:t xml:space="preserve"> cette bande de fréquences </w:t>
      </w:r>
      <w:r w:rsidR="001742AF" w:rsidRPr="006762C6">
        <w:t>en vue de son utilisation par les</w:t>
      </w:r>
      <w:r w:rsidRPr="006762C6">
        <w:t xml:space="preserve"> systèmes </w:t>
      </w:r>
      <w:r w:rsidR="00E40D00" w:rsidRPr="006762C6">
        <w:t>non OSG</w:t>
      </w:r>
      <w:r w:rsidR="009747C4" w:rsidRPr="006762C6">
        <w:t xml:space="preserve"> du SFS</w:t>
      </w:r>
      <w:r w:rsidRPr="006762C6">
        <w:t>.</w:t>
      </w:r>
    </w:p>
    <w:p w14:paraId="6F7787BE" w14:textId="51F9089E" w:rsidR="00350640" w:rsidRPr="006762C6" w:rsidRDefault="00350640" w:rsidP="006762C6">
      <w:pPr>
        <w:pStyle w:val="Headingb"/>
      </w:pPr>
      <w:r w:rsidRPr="006762C6">
        <w:t>Propositions</w:t>
      </w:r>
    </w:p>
    <w:p w14:paraId="16640273" w14:textId="46636DC9" w:rsidR="0015203F" w:rsidRPr="006762C6" w:rsidRDefault="0015203F" w:rsidP="006762C6">
      <w:r w:rsidRPr="006762C6">
        <w:br w:type="page"/>
      </w:r>
    </w:p>
    <w:p w14:paraId="15BEAFDA" w14:textId="77777777" w:rsidR="00D05EB0" w:rsidRPr="006762C6" w:rsidRDefault="00364408" w:rsidP="006762C6">
      <w:pPr>
        <w:pStyle w:val="Proposal"/>
      </w:pPr>
      <w:r w:rsidRPr="006762C6">
        <w:lastRenderedPageBreak/>
        <w:t>ADD</w:t>
      </w:r>
      <w:r w:rsidRPr="006762C6">
        <w:tab/>
        <w:t>ARB/100A27A4/1</w:t>
      </w:r>
    </w:p>
    <w:p w14:paraId="4F6CE8E7" w14:textId="0E935ED2" w:rsidR="00D05EB0" w:rsidRPr="006762C6" w:rsidRDefault="00364408" w:rsidP="006762C6">
      <w:pPr>
        <w:pStyle w:val="ResNo"/>
      </w:pPr>
      <w:r w:rsidRPr="006762C6">
        <w:t>Projet de nouvelle Résolution [ARB</w:t>
      </w:r>
      <w:r w:rsidR="00350640" w:rsidRPr="006762C6">
        <w:noBreakHyphen/>
      </w:r>
      <w:r w:rsidR="00D60DDF" w:rsidRPr="006762C6">
        <w:t>AI</w:t>
      </w:r>
      <w:r w:rsidR="00350640" w:rsidRPr="006762C6">
        <w:t> </w:t>
      </w:r>
      <w:r w:rsidR="00D60DDF" w:rsidRPr="006762C6">
        <w:t>10</w:t>
      </w:r>
      <w:r w:rsidR="00350640" w:rsidRPr="006762C6">
        <w:t> </w:t>
      </w:r>
      <w:r w:rsidR="00D60DDF" w:rsidRPr="006762C6">
        <w:t>NON</w:t>
      </w:r>
      <w:r w:rsidR="00350640" w:rsidRPr="006762C6">
        <w:noBreakHyphen/>
      </w:r>
      <w:r w:rsidR="00D60DDF" w:rsidRPr="006762C6">
        <w:t>GSO</w:t>
      </w:r>
      <w:r w:rsidR="00350640" w:rsidRPr="006762C6">
        <w:t> </w:t>
      </w:r>
      <w:r w:rsidR="00D60DDF" w:rsidRPr="006762C6">
        <w:t>IN</w:t>
      </w:r>
      <w:r w:rsidR="00350640" w:rsidRPr="006762C6">
        <w:t> </w:t>
      </w:r>
      <w:r w:rsidR="00D60DDF" w:rsidRPr="006762C6">
        <w:t>51.4</w:t>
      </w:r>
      <w:r w:rsidR="00350640" w:rsidRPr="006762C6">
        <w:noBreakHyphen/>
      </w:r>
      <w:r w:rsidR="00D60DDF" w:rsidRPr="006762C6">
        <w:t>52.4</w:t>
      </w:r>
      <w:r w:rsidR="00350640" w:rsidRPr="006762C6">
        <w:t> </w:t>
      </w:r>
      <w:r w:rsidR="00D60DDF" w:rsidRPr="006762C6">
        <w:t>GHZ</w:t>
      </w:r>
      <w:r w:rsidRPr="006762C6">
        <w:t>]</w:t>
      </w:r>
      <w:r w:rsidR="00B43034" w:rsidRPr="006762C6">
        <w:t xml:space="preserve"> </w:t>
      </w:r>
      <w:r w:rsidR="002C28FA" w:rsidRPr="006762C6">
        <w:t>(CMR-23)</w:t>
      </w:r>
    </w:p>
    <w:p w14:paraId="202FD44A" w14:textId="6A1B52ED" w:rsidR="00D05EB0" w:rsidRPr="006762C6" w:rsidRDefault="00D60DDF" w:rsidP="006762C6">
      <w:pPr>
        <w:pStyle w:val="Restitle"/>
      </w:pPr>
      <w:r w:rsidRPr="006762C6">
        <w:t xml:space="preserve">Études </w:t>
      </w:r>
      <w:r w:rsidR="009747C4" w:rsidRPr="006762C6">
        <w:t>relatives à la possibilité de réviser</w:t>
      </w:r>
      <w:r w:rsidRPr="006762C6">
        <w:t xml:space="preserve"> l'attribution au</w:t>
      </w:r>
      <w:r w:rsidR="00350640" w:rsidRPr="006762C6">
        <w:t xml:space="preserve"> </w:t>
      </w:r>
      <w:r w:rsidR="009747C4" w:rsidRPr="006762C6">
        <w:t>service fixe par satellite (</w:t>
      </w:r>
      <w:r w:rsidRPr="006762C6">
        <w:t>SFS</w:t>
      </w:r>
      <w:r w:rsidR="009747C4" w:rsidRPr="006762C6">
        <w:t>)</w:t>
      </w:r>
      <w:r w:rsidRPr="006762C6">
        <w:t xml:space="preserve"> dans la bande de fréquences 51,4-52,4 GHz (Terre vers espace) pour permettre </w:t>
      </w:r>
      <w:r w:rsidR="001742AF" w:rsidRPr="006762C6">
        <w:t xml:space="preserve">son </w:t>
      </w:r>
      <w:r w:rsidRPr="006762C6">
        <w:t xml:space="preserve">utilisation </w:t>
      </w:r>
      <w:r w:rsidR="00535497" w:rsidRPr="006762C6">
        <w:t xml:space="preserve">à titre primaire </w:t>
      </w:r>
      <w:r w:rsidRPr="006762C6">
        <w:t>par les systèmes</w:t>
      </w:r>
      <w:r w:rsidR="00E40D00" w:rsidRPr="006762C6">
        <w:t xml:space="preserve"> </w:t>
      </w:r>
      <w:r w:rsidR="009747C4" w:rsidRPr="006762C6">
        <w:t>à satellites</w:t>
      </w:r>
      <w:r w:rsidR="00373874" w:rsidRPr="006762C6">
        <w:br/>
      </w:r>
      <w:r w:rsidR="009747C4" w:rsidRPr="006762C6">
        <w:t xml:space="preserve">non géostationnaires </w:t>
      </w:r>
      <w:r w:rsidRPr="006762C6">
        <w:t>du SFS et les stations terriennes</w:t>
      </w:r>
      <w:r w:rsidR="00373874" w:rsidRPr="006762C6">
        <w:br/>
      </w:r>
      <w:r w:rsidRPr="006762C6">
        <w:t>passerelles associées</w:t>
      </w:r>
    </w:p>
    <w:p w14:paraId="415BABE7" w14:textId="242542F8" w:rsidR="002C28FA" w:rsidRPr="006762C6" w:rsidRDefault="002C28FA" w:rsidP="006762C6">
      <w:pPr>
        <w:pStyle w:val="Normalaftertitle"/>
      </w:pPr>
      <w:r w:rsidRPr="006762C6">
        <w:t>La Conférence mondiale des radiocommunications (Dubaï, 2023),</w:t>
      </w:r>
    </w:p>
    <w:p w14:paraId="0692707D" w14:textId="129F386C" w:rsidR="002C28FA" w:rsidRPr="006762C6" w:rsidRDefault="002C28FA" w:rsidP="006762C6">
      <w:pPr>
        <w:pStyle w:val="Call"/>
      </w:pPr>
      <w:r w:rsidRPr="006762C6">
        <w:t>considérant</w:t>
      </w:r>
    </w:p>
    <w:p w14:paraId="7AB02E97" w14:textId="25629777" w:rsidR="002C28FA" w:rsidRPr="006762C6" w:rsidRDefault="002C28FA" w:rsidP="006762C6">
      <w:r w:rsidRPr="006762C6">
        <w:rPr>
          <w:i/>
          <w:iCs/>
        </w:rPr>
        <w:t>a)</w:t>
      </w:r>
      <w:r w:rsidRPr="006762C6">
        <w:tab/>
        <w:t>que les systèmes à satellites sont de plus en plus utilisés pour fournir des services large bande et peuvent contribuer à rendre possible l'accès au large bande;</w:t>
      </w:r>
    </w:p>
    <w:p w14:paraId="53F860DF" w14:textId="68FD82B4" w:rsidR="002C28FA" w:rsidRPr="006762C6" w:rsidRDefault="002C28FA" w:rsidP="006762C6">
      <w:r w:rsidRPr="006762C6">
        <w:rPr>
          <w:i/>
          <w:iCs/>
        </w:rPr>
        <w:t>b)</w:t>
      </w:r>
      <w:r w:rsidRPr="006762C6">
        <w:tab/>
        <w:t xml:space="preserve">que les technologies de prochaine génération du service fixe par satellite </w:t>
      </w:r>
      <w:r w:rsidR="00D60DDF" w:rsidRPr="006762C6">
        <w:t xml:space="preserve">(SFS) </w:t>
      </w:r>
      <w:r w:rsidRPr="006762C6">
        <w:t>applicables au large bande feront augmenter les débits, des débits plus élevés étant prévus à court terme;</w:t>
      </w:r>
    </w:p>
    <w:p w14:paraId="7AA93B53" w14:textId="70A6C833" w:rsidR="002C28FA" w:rsidRPr="006762C6" w:rsidRDefault="002C28FA" w:rsidP="006762C6">
      <w:r w:rsidRPr="006762C6">
        <w:rPr>
          <w:i/>
          <w:iCs/>
        </w:rPr>
        <w:t>c)</w:t>
      </w:r>
      <w:r w:rsidRPr="006762C6">
        <w:tab/>
      </w:r>
      <w:r w:rsidR="00A361CF" w:rsidRPr="006762C6">
        <w:t xml:space="preserve">que les progrès techniques, par exemple les avancées concernant les technologies des faisceaux ponctuels et la réutilisation des fréquences, sont mis à profit par le SFS </w:t>
      </w:r>
      <w:r w:rsidR="00E7152B" w:rsidRPr="006762C6">
        <w:t>dans les</w:t>
      </w:r>
      <w:r w:rsidR="00A361CF" w:rsidRPr="006762C6">
        <w:t xml:space="preserve"> </w:t>
      </w:r>
      <w:r w:rsidR="00535497" w:rsidRPr="006762C6">
        <w:t xml:space="preserve">bandes de </w:t>
      </w:r>
      <w:r w:rsidR="00A361CF" w:rsidRPr="006762C6">
        <w:t>fréquences supérieures à 30 GHz</w:t>
      </w:r>
      <w:r w:rsidR="00535497" w:rsidRPr="006762C6">
        <w:t>,</w:t>
      </w:r>
      <w:r w:rsidR="00A361CF" w:rsidRPr="006762C6">
        <w:t xml:space="preserve"> afin d'</w:t>
      </w:r>
      <w:r w:rsidR="00E7152B" w:rsidRPr="006762C6">
        <w:t xml:space="preserve">améliorer </w:t>
      </w:r>
      <w:r w:rsidR="00A361CF" w:rsidRPr="006762C6">
        <w:t>l'efficacité d'utilisation du spectre</w:t>
      </w:r>
      <w:r w:rsidRPr="006762C6">
        <w:t>,</w:t>
      </w:r>
    </w:p>
    <w:p w14:paraId="2FB0A2A0" w14:textId="47F35BD1" w:rsidR="002C28FA" w:rsidRPr="006762C6" w:rsidRDefault="002C28FA" w:rsidP="006762C6">
      <w:pPr>
        <w:pStyle w:val="Call"/>
      </w:pPr>
      <w:r w:rsidRPr="006762C6">
        <w:t>reconnaissant</w:t>
      </w:r>
    </w:p>
    <w:p w14:paraId="595EC845" w14:textId="3E1123A2" w:rsidR="002C28FA" w:rsidRPr="006762C6" w:rsidRDefault="002C28FA" w:rsidP="006762C6">
      <w:r w:rsidRPr="006762C6">
        <w:rPr>
          <w:i/>
          <w:iCs/>
        </w:rPr>
        <w:t>a)</w:t>
      </w:r>
      <w:r w:rsidRPr="006762C6">
        <w:tab/>
        <w:t>qu'il est nécessaire de protéger les services existants lorsqu'on examine des bandes de fréquences en vue de faire d'éventuelles attributions additionnelles à un service;</w:t>
      </w:r>
    </w:p>
    <w:p w14:paraId="2435E412" w14:textId="4FA8F13F" w:rsidR="002C28FA" w:rsidRPr="006762C6" w:rsidRDefault="002C28FA" w:rsidP="006762C6">
      <w:r w:rsidRPr="006762C6">
        <w:rPr>
          <w:i/>
          <w:iCs/>
        </w:rPr>
        <w:t>b)</w:t>
      </w:r>
      <w:r w:rsidRPr="006762C6">
        <w:tab/>
      </w:r>
      <w:r w:rsidRPr="006762C6">
        <w:rPr>
          <w:color w:val="000000"/>
        </w:rPr>
        <w:t xml:space="preserve">que la bande de fréquences 51,4-52,4 GHz est attribuée aux services fixe et mobile, qui devront bénéficier d'une protection, et est disponible </w:t>
      </w:r>
      <w:r w:rsidR="00535497" w:rsidRPr="006762C6">
        <w:rPr>
          <w:color w:val="000000"/>
        </w:rPr>
        <w:t>pour les</w:t>
      </w:r>
      <w:r w:rsidRPr="006762C6">
        <w:rPr>
          <w:color w:val="000000"/>
        </w:rPr>
        <w:t xml:space="preserve"> applications haute densité </w:t>
      </w:r>
      <w:r w:rsidR="00535497" w:rsidRPr="006762C6">
        <w:rPr>
          <w:color w:val="000000"/>
        </w:rPr>
        <w:t>du</w:t>
      </w:r>
      <w:r w:rsidRPr="006762C6">
        <w:rPr>
          <w:color w:val="000000"/>
        </w:rPr>
        <w:t xml:space="preserve"> service fixe, comme indiqué au numéro </w:t>
      </w:r>
      <w:r w:rsidRPr="006762C6">
        <w:rPr>
          <w:b/>
          <w:bCs/>
          <w:color w:val="000000"/>
        </w:rPr>
        <w:t>5.547</w:t>
      </w:r>
      <w:r w:rsidRPr="006762C6">
        <w:rPr>
          <w:color w:val="000000"/>
        </w:rPr>
        <w:t>;</w:t>
      </w:r>
    </w:p>
    <w:p w14:paraId="427B5AAF" w14:textId="0978637C" w:rsidR="002C28FA" w:rsidRPr="006762C6" w:rsidRDefault="002C28FA" w:rsidP="006762C6">
      <w:r w:rsidRPr="006762C6">
        <w:rPr>
          <w:i/>
          <w:iCs/>
        </w:rPr>
        <w:t>c)</w:t>
      </w:r>
      <w:r w:rsidRPr="006762C6">
        <w:tab/>
      </w:r>
      <w:r w:rsidR="008B4677" w:rsidRPr="006762C6">
        <w:t xml:space="preserve">que dans la bande de fréquences 51,4-54,25 GHz, des observations de radioastronomie sont effectuées aux termes d'arrangements nationaux, comme indiqué </w:t>
      </w:r>
      <w:r w:rsidR="00535497" w:rsidRPr="006762C6">
        <w:t xml:space="preserve">au </w:t>
      </w:r>
      <w:r w:rsidR="008B4677" w:rsidRPr="006762C6">
        <w:t xml:space="preserve">numéro </w:t>
      </w:r>
      <w:r w:rsidR="008B4677" w:rsidRPr="006762C6">
        <w:rPr>
          <w:b/>
          <w:bCs/>
        </w:rPr>
        <w:t>5.556</w:t>
      </w:r>
      <w:r w:rsidR="008B4677" w:rsidRPr="006762C6">
        <w:t>, et qu'il faudra peut-être définir des mesures appropriées pour protéger le service de radioastronomie</w:t>
      </w:r>
      <w:r w:rsidR="00A361CF" w:rsidRPr="006762C6">
        <w:t>;</w:t>
      </w:r>
    </w:p>
    <w:p w14:paraId="1152C4BE" w14:textId="44D44F85" w:rsidR="002C28FA" w:rsidRPr="006762C6" w:rsidRDefault="002C28FA" w:rsidP="006762C6">
      <w:r w:rsidRPr="006762C6">
        <w:rPr>
          <w:i/>
          <w:iCs/>
        </w:rPr>
        <w:t>d)</w:t>
      </w:r>
      <w:r w:rsidRPr="006762C6">
        <w:tab/>
      </w:r>
      <w:r w:rsidR="006C3F9F" w:rsidRPr="006762C6">
        <w:t xml:space="preserve">que l'utilisation de la bande de fréquences 51,4-52,4 GHz par le SFS (Terre vers espace) est limitée aux seuls réseaux à satellite géostationnaire (OSG) et aux stations terriennes passerelles associées </w:t>
      </w:r>
      <w:r w:rsidR="00535497" w:rsidRPr="006762C6">
        <w:t xml:space="preserve">dotées d'une antenne d'un </w:t>
      </w:r>
      <w:r w:rsidR="006C3F9F" w:rsidRPr="006762C6">
        <w:t xml:space="preserve">diamètre minimal de 2,4 </w:t>
      </w:r>
      <w:r w:rsidR="00535497" w:rsidRPr="006762C6">
        <w:t xml:space="preserve">m, </w:t>
      </w:r>
      <w:r w:rsidR="006C3F9F" w:rsidRPr="006762C6">
        <w:t xml:space="preserve">conformément au numéro </w:t>
      </w:r>
      <w:r w:rsidR="006C3F9F" w:rsidRPr="006762C6">
        <w:rPr>
          <w:b/>
          <w:bCs/>
        </w:rPr>
        <w:t>5.555C</w:t>
      </w:r>
      <w:r w:rsidR="00535497" w:rsidRPr="006762C6">
        <w:t>,</w:t>
      </w:r>
      <w:r w:rsidR="006C3F9F" w:rsidRPr="006762C6">
        <w:t xml:space="preserve"> établi à </w:t>
      </w:r>
      <w:r w:rsidR="00535497" w:rsidRPr="006762C6">
        <w:t xml:space="preserve">la suite </w:t>
      </w:r>
      <w:r w:rsidR="006C3F9F" w:rsidRPr="006762C6">
        <w:t>des études de la CMR-19;</w:t>
      </w:r>
    </w:p>
    <w:p w14:paraId="5FA803E3" w14:textId="77777777" w:rsidR="006C3F9F" w:rsidRPr="006762C6" w:rsidRDefault="002C28FA" w:rsidP="006762C6">
      <w:r w:rsidRPr="006762C6">
        <w:rPr>
          <w:i/>
          <w:iCs/>
        </w:rPr>
        <w:t>e)</w:t>
      </w:r>
      <w:r w:rsidRPr="006762C6">
        <w:tab/>
      </w:r>
      <w:r w:rsidR="006C3F9F" w:rsidRPr="006762C6">
        <w:t xml:space="preserve">que, dans la bande de fréquences 51,4-52,4 GHz, la Résolution </w:t>
      </w:r>
      <w:r w:rsidR="006C3F9F" w:rsidRPr="006762C6">
        <w:rPr>
          <w:b/>
          <w:bCs/>
        </w:rPr>
        <w:t>750 (Rév.CMR-19)</w:t>
      </w:r>
      <w:r w:rsidR="006C3F9F" w:rsidRPr="006762C6">
        <w:t xml:space="preserve"> s'applique comme indiqué au numéro </w:t>
      </w:r>
      <w:r w:rsidR="006C3F9F" w:rsidRPr="006762C6">
        <w:rPr>
          <w:b/>
          <w:bCs/>
        </w:rPr>
        <w:t>5.338A</w:t>
      </w:r>
      <w:r w:rsidR="006C3F9F" w:rsidRPr="006762C6">
        <w:t>;</w:t>
      </w:r>
    </w:p>
    <w:p w14:paraId="32068C99" w14:textId="6D8855C3" w:rsidR="002C28FA" w:rsidRPr="006762C6" w:rsidRDefault="002C28FA" w:rsidP="006762C6">
      <w:r w:rsidRPr="006762C6">
        <w:rPr>
          <w:i/>
          <w:iCs/>
        </w:rPr>
        <w:t>f)</w:t>
      </w:r>
      <w:r w:rsidRPr="006762C6">
        <w:tab/>
      </w:r>
      <w:r w:rsidR="00E43050" w:rsidRPr="006762C6">
        <w:t>que</w:t>
      </w:r>
      <w:r w:rsidR="00D863D1" w:rsidRPr="006762C6">
        <w:t xml:space="preserve"> d'après les besoins de spectre identifiés dans le Rapport UIT-R S.2461 dans la bande de fréquences 51,4-52,4 GHz, </w:t>
      </w:r>
      <w:r w:rsidR="00E43050" w:rsidRPr="006762C6">
        <w:t xml:space="preserve">le SFS </w:t>
      </w:r>
      <w:r w:rsidR="00D863D1" w:rsidRPr="006762C6">
        <w:t>doit bénéficier de bandes</w:t>
      </w:r>
      <w:r w:rsidR="00E43050" w:rsidRPr="006762C6">
        <w:t xml:space="preserve"> de fréquences additionnelles</w:t>
      </w:r>
      <w:r w:rsidR="00D863D1" w:rsidRPr="006762C6">
        <w:t xml:space="preserve"> (Terre vers espace) </w:t>
      </w:r>
      <w:r w:rsidR="00E43050" w:rsidRPr="006762C6">
        <w:t xml:space="preserve">pour les réseaux à satellite OSG </w:t>
      </w:r>
      <w:r w:rsidR="00D863D1" w:rsidRPr="006762C6">
        <w:t>et</w:t>
      </w:r>
      <w:r w:rsidR="00E43050" w:rsidRPr="006762C6">
        <w:t xml:space="preserve"> les systèmes à satellites non OSG;</w:t>
      </w:r>
    </w:p>
    <w:p w14:paraId="67B514D8" w14:textId="37C3F594" w:rsidR="002C28FA" w:rsidRPr="006762C6" w:rsidRDefault="002C28FA" w:rsidP="006762C6">
      <w:r w:rsidRPr="006762C6">
        <w:rPr>
          <w:i/>
          <w:iCs/>
        </w:rPr>
        <w:t>g)</w:t>
      </w:r>
      <w:r w:rsidRPr="006762C6">
        <w:tab/>
      </w:r>
      <w:r w:rsidR="00E43050" w:rsidRPr="006762C6">
        <w:t xml:space="preserve">que le Rapport UIT-R S.2462 </w:t>
      </w:r>
      <w:r w:rsidR="00F4528F" w:rsidRPr="006762C6">
        <w:t>présente</w:t>
      </w:r>
      <w:r w:rsidR="00E43050" w:rsidRPr="006762C6">
        <w:t xml:space="preserve"> des études de partage et de compatibilité entre les réseaux OSG </w:t>
      </w:r>
      <w:r w:rsidR="00D863D1" w:rsidRPr="006762C6">
        <w:t xml:space="preserve">du SFS </w:t>
      </w:r>
      <w:r w:rsidR="00E43050" w:rsidRPr="006762C6">
        <w:t xml:space="preserve">et les systèmes non OSG </w:t>
      </w:r>
      <w:r w:rsidR="00D863D1" w:rsidRPr="006762C6">
        <w:t xml:space="preserve">du SFS </w:t>
      </w:r>
      <w:r w:rsidR="00E43050" w:rsidRPr="006762C6">
        <w:t xml:space="preserve">dans la bande </w:t>
      </w:r>
      <w:r w:rsidR="00D863D1" w:rsidRPr="006762C6">
        <w:t>de fréquences des</w:t>
      </w:r>
      <w:r w:rsidR="00350640" w:rsidRPr="006762C6">
        <w:t> </w:t>
      </w:r>
      <w:r w:rsidR="00E43050" w:rsidRPr="006762C6">
        <w:t>50/40</w:t>
      </w:r>
      <w:r w:rsidR="00350640" w:rsidRPr="006762C6">
        <w:t> </w:t>
      </w:r>
      <w:r w:rsidR="00E43050" w:rsidRPr="006762C6">
        <w:t>GHz;</w:t>
      </w:r>
    </w:p>
    <w:p w14:paraId="02B5985C" w14:textId="60058B11" w:rsidR="00411263" w:rsidRPr="006762C6" w:rsidRDefault="002C28FA" w:rsidP="006762C6">
      <w:r w:rsidRPr="006762C6">
        <w:rPr>
          <w:i/>
          <w:iCs/>
        </w:rPr>
        <w:t>h)</w:t>
      </w:r>
      <w:r w:rsidRPr="006762C6">
        <w:tab/>
      </w:r>
      <w:r w:rsidR="00D863D1" w:rsidRPr="006762C6">
        <w:t xml:space="preserve">qu'il demeure nécessaire de disposer de bandes de fréquences additionnelles </w:t>
      </w:r>
      <w:r w:rsidR="00411263" w:rsidRPr="006762C6">
        <w:t xml:space="preserve">pour les liaisons montantes dans la gamme de fréquences des 50 GHz </w:t>
      </w:r>
      <w:r w:rsidR="00D863D1" w:rsidRPr="006762C6">
        <w:t xml:space="preserve">aux fins de leur utilisation par </w:t>
      </w:r>
      <w:r w:rsidR="00411263" w:rsidRPr="006762C6">
        <w:t>les passerelles du SFS non OSG</w:t>
      </w:r>
      <w:r w:rsidR="001E414E" w:rsidRPr="006762C6">
        <w:t>,</w:t>
      </w:r>
    </w:p>
    <w:p w14:paraId="0830F61F" w14:textId="3DE5576F" w:rsidR="002C28FA" w:rsidRPr="006762C6" w:rsidRDefault="002C28FA" w:rsidP="006762C6">
      <w:pPr>
        <w:pStyle w:val="Call"/>
      </w:pPr>
      <w:r w:rsidRPr="006762C6">
        <w:t>décide</w:t>
      </w:r>
    </w:p>
    <w:p w14:paraId="7385E363" w14:textId="4B06940E" w:rsidR="00411263" w:rsidRPr="006762C6" w:rsidRDefault="00411263" w:rsidP="006762C6">
      <w:r w:rsidRPr="006762C6">
        <w:t>d'inviter le Secteur des radiocommunications de l'UIT à mener</w:t>
      </w:r>
      <w:r w:rsidR="00D863D1" w:rsidRPr="006762C6">
        <w:t>,</w:t>
      </w:r>
      <w:r w:rsidR="00350640" w:rsidRPr="006762C6">
        <w:t xml:space="preserve"> </w:t>
      </w:r>
      <w:r w:rsidRPr="006762C6">
        <w:t>et à achever à temps pour la</w:t>
      </w:r>
      <w:r w:rsidR="00350640" w:rsidRPr="006762C6">
        <w:t> </w:t>
      </w:r>
      <w:r w:rsidRPr="006762C6">
        <w:t>CMR</w:t>
      </w:r>
      <w:r w:rsidR="00350640" w:rsidRPr="006762C6">
        <w:noBreakHyphen/>
      </w:r>
      <w:r w:rsidRPr="006762C6">
        <w:t>27:</w:t>
      </w:r>
    </w:p>
    <w:p w14:paraId="5582E3D2" w14:textId="6D610FB9" w:rsidR="00411263" w:rsidRPr="006762C6" w:rsidRDefault="002C28FA" w:rsidP="006762C6">
      <w:r w:rsidRPr="006762C6">
        <w:t>1</w:t>
      </w:r>
      <w:r w:rsidRPr="006762C6">
        <w:tab/>
      </w:r>
      <w:r w:rsidR="00F93ADE" w:rsidRPr="006762C6">
        <w:t>d</w:t>
      </w:r>
      <w:r w:rsidR="00411263" w:rsidRPr="006762C6">
        <w:t xml:space="preserve">es études de partage et de compatibilité avec les services existants, </w:t>
      </w:r>
      <w:r w:rsidR="00D863D1" w:rsidRPr="006762C6">
        <w:t xml:space="preserve">exploités </w:t>
      </w:r>
      <w:r w:rsidR="00411263" w:rsidRPr="006762C6">
        <w:t xml:space="preserve">à titre primaire ou secondaire, y compris dans les bandes de fréquences adjacentes, selon </w:t>
      </w:r>
      <w:r w:rsidR="00D863D1" w:rsidRPr="006762C6">
        <w:t>qu'il conviendra</w:t>
      </w:r>
      <w:r w:rsidR="00411263" w:rsidRPr="006762C6">
        <w:t xml:space="preserve">, afin de déterminer s'il est envisageable, compte tenu de la protection des services fixe et mobile, </w:t>
      </w:r>
      <w:r w:rsidR="00F03B5C" w:rsidRPr="006762C6">
        <w:t xml:space="preserve">de permettre l'utilisation </w:t>
      </w:r>
      <w:r w:rsidR="00064CAA" w:rsidRPr="006762C6">
        <w:t xml:space="preserve">à titre primaire </w:t>
      </w:r>
      <w:r w:rsidR="00F03B5C" w:rsidRPr="006762C6">
        <w:t xml:space="preserve">de </w:t>
      </w:r>
      <w:r w:rsidR="00411263" w:rsidRPr="006762C6">
        <w:t>l'attribution au SFS dans la bande de fréquences 51,4</w:t>
      </w:r>
      <w:r w:rsidR="00350640" w:rsidRPr="006762C6">
        <w:noBreakHyphen/>
      </w:r>
      <w:r w:rsidR="00411263" w:rsidRPr="006762C6">
        <w:t>52,4</w:t>
      </w:r>
      <w:r w:rsidR="00350640" w:rsidRPr="006762C6">
        <w:t> </w:t>
      </w:r>
      <w:r w:rsidR="00411263" w:rsidRPr="006762C6">
        <w:t xml:space="preserve">GHz (Terre vers espace) </w:t>
      </w:r>
      <w:r w:rsidR="00F4528F" w:rsidRPr="006762C6">
        <w:t>par</w:t>
      </w:r>
      <w:r w:rsidR="00411263" w:rsidRPr="006762C6">
        <w:t xml:space="preserve"> </w:t>
      </w:r>
      <w:r w:rsidR="00F03B5C" w:rsidRPr="006762C6">
        <w:t>l</w:t>
      </w:r>
      <w:r w:rsidR="00411263" w:rsidRPr="006762C6">
        <w:t xml:space="preserve">es systèmes </w:t>
      </w:r>
      <w:r w:rsidR="00F03B5C" w:rsidRPr="006762C6">
        <w:t xml:space="preserve">non OSG </w:t>
      </w:r>
      <w:r w:rsidR="00064CAA" w:rsidRPr="006762C6">
        <w:t xml:space="preserve">du SFS </w:t>
      </w:r>
      <w:r w:rsidR="00F03B5C" w:rsidRPr="006762C6">
        <w:t>et les stations terriennes passerelles associées</w:t>
      </w:r>
      <w:r w:rsidR="00411263" w:rsidRPr="006762C6">
        <w:t>, et de définir les éventuelles mesures réglementaires associées;</w:t>
      </w:r>
    </w:p>
    <w:p w14:paraId="0F7C6715" w14:textId="6275B6B6" w:rsidR="00F03B5C" w:rsidRPr="006762C6" w:rsidRDefault="002C28FA" w:rsidP="006762C6">
      <w:r w:rsidRPr="006762C6">
        <w:t>2</w:t>
      </w:r>
      <w:r w:rsidRPr="006762C6">
        <w:tab/>
      </w:r>
      <w:r w:rsidR="00F93ADE" w:rsidRPr="006762C6">
        <w:rPr>
          <w:szCs w:val="24"/>
        </w:rPr>
        <w:t>d</w:t>
      </w:r>
      <w:r w:rsidR="00F03B5C" w:rsidRPr="006762C6">
        <w:rPr>
          <w:szCs w:val="24"/>
        </w:rPr>
        <w:t xml:space="preserve">es études de compatibilité relatives à la protection des systèmes fonctionnant dans la bande de fréquences passive 52,6-54,25 GHz </w:t>
      </w:r>
      <w:r w:rsidR="00064CAA" w:rsidRPr="006762C6">
        <w:rPr>
          <w:szCs w:val="24"/>
        </w:rPr>
        <w:t>vis-à-vis des</w:t>
      </w:r>
      <w:r w:rsidR="00F03B5C" w:rsidRPr="006762C6">
        <w:rPr>
          <w:szCs w:val="24"/>
        </w:rPr>
        <w:t xml:space="preserve"> émissions des stations terriennes passerelles associées </w:t>
      </w:r>
      <w:r w:rsidR="00064CAA" w:rsidRPr="006762C6">
        <w:rPr>
          <w:szCs w:val="24"/>
        </w:rPr>
        <w:t xml:space="preserve">du </w:t>
      </w:r>
      <w:r w:rsidR="00F03B5C" w:rsidRPr="006762C6">
        <w:rPr>
          <w:szCs w:val="24"/>
        </w:rPr>
        <w:t>SFS non OSG;</w:t>
      </w:r>
    </w:p>
    <w:p w14:paraId="0ED5D836" w14:textId="0605D86C" w:rsidR="002C28FA" w:rsidRPr="006762C6" w:rsidRDefault="002C28FA" w:rsidP="006762C6">
      <w:pPr>
        <w:rPr>
          <w:szCs w:val="24"/>
        </w:rPr>
      </w:pPr>
      <w:r w:rsidRPr="006762C6">
        <w:t>3</w:t>
      </w:r>
      <w:r w:rsidRPr="006762C6">
        <w:tab/>
      </w:r>
      <w:r w:rsidR="00F93ADE" w:rsidRPr="006762C6">
        <w:t>de</w:t>
      </w:r>
      <w:r w:rsidR="00F03B5C" w:rsidRPr="006762C6">
        <w:rPr>
          <w:szCs w:val="24"/>
        </w:rPr>
        <w:t>s études relatives à la protection du service de radioastronomie, comme indiqué au point</w:t>
      </w:r>
      <w:r w:rsidR="00350640" w:rsidRPr="006762C6">
        <w:rPr>
          <w:szCs w:val="24"/>
        </w:rPr>
        <w:t> </w:t>
      </w:r>
      <w:r w:rsidR="00F03B5C" w:rsidRPr="006762C6">
        <w:rPr>
          <w:i/>
          <w:iCs/>
          <w:szCs w:val="24"/>
        </w:rPr>
        <w:t>c)</w:t>
      </w:r>
      <w:r w:rsidR="00F03B5C" w:rsidRPr="006762C6">
        <w:rPr>
          <w:szCs w:val="24"/>
        </w:rPr>
        <w:t xml:space="preserve"> du </w:t>
      </w:r>
      <w:r w:rsidR="00F03B5C" w:rsidRPr="006762C6">
        <w:rPr>
          <w:i/>
          <w:iCs/>
          <w:szCs w:val="24"/>
        </w:rPr>
        <w:t>reconnaissant</w:t>
      </w:r>
      <w:r w:rsidR="00F03B5C" w:rsidRPr="006762C6">
        <w:rPr>
          <w:szCs w:val="24"/>
        </w:rPr>
        <w:t>, y compris des mesures réglementaires appropriées,</w:t>
      </w:r>
      <w:r w:rsidR="00064CAA" w:rsidRPr="006762C6">
        <w:rPr>
          <w:szCs w:val="24"/>
        </w:rPr>
        <w:t xml:space="preserve"> selon qu'il conviendra;</w:t>
      </w:r>
    </w:p>
    <w:p w14:paraId="60784B66" w14:textId="001D9A2F" w:rsidR="00F93ADE" w:rsidRPr="006762C6" w:rsidRDefault="003C2E2D" w:rsidP="006762C6">
      <w:pPr>
        <w:rPr>
          <w:szCs w:val="24"/>
        </w:rPr>
      </w:pPr>
      <w:r w:rsidRPr="006762C6">
        <w:rPr>
          <w:szCs w:val="24"/>
        </w:rPr>
        <w:t>4</w:t>
      </w:r>
      <w:r w:rsidRPr="006762C6">
        <w:rPr>
          <w:szCs w:val="24"/>
        </w:rPr>
        <w:tab/>
      </w:r>
      <w:r w:rsidR="00F93ADE" w:rsidRPr="006762C6">
        <w:t>de</w:t>
      </w:r>
      <w:r w:rsidR="00F93ADE" w:rsidRPr="006762C6">
        <w:rPr>
          <w:szCs w:val="24"/>
        </w:rPr>
        <w:t xml:space="preserve">s études relatives à la protection des réseaux OSG </w:t>
      </w:r>
      <w:r w:rsidR="00064CAA" w:rsidRPr="006762C6">
        <w:rPr>
          <w:szCs w:val="24"/>
        </w:rPr>
        <w:t xml:space="preserve">du SFS </w:t>
      </w:r>
      <w:r w:rsidR="00F93ADE" w:rsidRPr="006762C6">
        <w:rPr>
          <w:szCs w:val="24"/>
        </w:rPr>
        <w:t xml:space="preserve">et des stations terriennes associées </w:t>
      </w:r>
      <w:r w:rsidR="00064CAA" w:rsidRPr="006762C6">
        <w:rPr>
          <w:szCs w:val="24"/>
        </w:rPr>
        <w:t xml:space="preserve">vis-à-vis des </w:t>
      </w:r>
      <w:r w:rsidR="00F93ADE" w:rsidRPr="006762C6">
        <w:rPr>
          <w:szCs w:val="24"/>
        </w:rPr>
        <w:t>émissions des systèmes non OSG</w:t>
      </w:r>
      <w:r w:rsidR="00064CAA" w:rsidRPr="006762C6">
        <w:rPr>
          <w:szCs w:val="24"/>
        </w:rPr>
        <w:t xml:space="preserve"> du SFS</w:t>
      </w:r>
      <w:r w:rsidR="00F93ADE" w:rsidRPr="006762C6">
        <w:rPr>
          <w:szCs w:val="24"/>
        </w:rPr>
        <w:t>,</w:t>
      </w:r>
    </w:p>
    <w:p w14:paraId="0249165E" w14:textId="0EE06C25" w:rsidR="003C2E2D" w:rsidRPr="006762C6" w:rsidRDefault="003C2E2D" w:rsidP="006762C6">
      <w:pPr>
        <w:pStyle w:val="Call"/>
      </w:pPr>
      <w:r w:rsidRPr="006762C6">
        <w:t>décide en outre</w:t>
      </w:r>
    </w:p>
    <w:p w14:paraId="2BD652DE" w14:textId="0F21F8FF" w:rsidR="003C2E2D" w:rsidRPr="006762C6" w:rsidRDefault="003C2E2D" w:rsidP="006762C6">
      <w:r w:rsidRPr="006762C6">
        <w:t>d'inviter la CMR</w:t>
      </w:r>
      <w:r w:rsidRPr="006762C6">
        <w:noBreakHyphen/>
        <w:t>2</w:t>
      </w:r>
      <w:r w:rsidR="00A361CF" w:rsidRPr="006762C6">
        <w:t>7</w:t>
      </w:r>
      <w:r w:rsidRPr="006762C6">
        <w:t xml:space="preserve"> à examiner les résultats des études mentionnées ci-dessus et à prendre les mesures</w:t>
      </w:r>
      <w:r w:rsidR="00064CAA" w:rsidRPr="006762C6">
        <w:t xml:space="preserve"> voulues</w:t>
      </w:r>
      <w:r w:rsidRPr="006762C6">
        <w:t>,</w:t>
      </w:r>
    </w:p>
    <w:p w14:paraId="168835C5" w14:textId="77777777" w:rsidR="003C2E2D" w:rsidRPr="006762C6" w:rsidRDefault="003C2E2D" w:rsidP="006762C6">
      <w:pPr>
        <w:pStyle w:val="Call"/>
        <w:rPr>
          <w:lang w:eastAsia="nl-NL"/>
        </w:rPr>
      </w:pPr>
      <w:r w:rsidRPr="006762C6">
        <w:rPr>
          <w:lang w:eastAsia="nl-NL"/>
        </w:rPr>
        <w:t>invite les administrations</w:t>
      </w:r>
    </w:p>
    <w:p w14:paraId="02837C5E" w14:textId="78435D80" w:rsidR="003C2E2D" w:rsidRPr="006762C6" w:rsidRDefault="003C2E2D" w:rsidP="006762C6">
      <w:pPr>
        <w:rPr>
          <w:lang w:eastAsia="nl-NL"/>
        </w:rPr>
      </w:pPr>
      <w:r w:rsidRPr="006762C6">
        <w:rPr>
          <w:lang w:eastAsia="nl-NL"/>
        </w:rPr>
        <w:t xml:space="preserve">à participer activement à ces études en soumettant des contributions </w:t>
      </w:r>
      <w:r w:rsidR="00064CAA" w:rsidRPr="006762C6">
        <w:rPr>
          <w:lang w:eastAsia="nl-NL"/>
        </w:rPr>
        <w:t xml:space="preserve">au Secteur des radiocommunications de </w:t>
      </w:r>
      <w:r w:rsidRPr="006762C6">
        <w:rPr>
          <w:lang w:eastAsia="nl-NL"/>
        </w:rPr>
        <w:t>l'UIT</w:t>
      </w:r>
      <w:r w:rsidR="00350640" w:rsidRPr="006762C6">
        <w:rPr>
          <w:lang w:eastAsia="nl-NL"/>
        </w:rPr>
        <w:t>.</w:t>
      </w:r>
    </w:p>
    <w:p w14:paraId="4B66EB30" w14:textId="77777777" w:rsidR="001E414E" w:rsidRPr="006762C6" w:rsidRDefault="001E414E" w:rsidP="006762C6">
      <w:pPr>
        <w:pStyle w:val="Reasons"/>
        <w:rPr>
          <w:lang w:eastAsia="nl-NL"/>
        </w:rPr>
      </w:pPr>
    </w:p>
    <w:p w14:paraId="2DC3015B" w14:textId="0832A98B" w:rsidR="003C2E2D" w:rsidRPr="006762C6" w:rsidRDefault="003C2E2D" w:rsidP="006762C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762C6">
        <w:br w:type="page"/>
      </w:r>
    </w:p>
    <w:p w14:paraId="343C4BBF" w14:textId="20F68413" w:rsidR="002C28FA" w:rsidRPr="006762C6" w:rsidRDefault="003C2E2D" w:rsidP="006762C6">
      <w:pPr>
        <w:pStyle w:val="AnnexNo"/>
      </w:pPr>
      <w:r w:rsidRPr="006762C6">
        <w:t>pièce jointe</w:t>
      </w:r>
    </w:p>
    <w:p w14:paraId="2878BCFE" w14:textId="21F6DBE2" w:rsidR="003C2E2D" w:rsidRPr="006762C6" w:rsidRDefault="00F93ADE" w:rsidP="006762C6">
      <w:pPr>
        <w:spacing w:after="240"/>
        <w:jc w:val="center"/>
        <w:rPr>
          <w:rFonts w:ascii="Times New Roman Bold" w:hAnsi="Times New Roman Bold"/>
          <w:b/>
          <w:sz w:val="28"/>
        </w:rPr>
      </w:pPr>
      <w:r w:rsidRPr="006762C6">
        <w:rPr>
          <w:rFonts w:ascii="Times New Roman Bold" w:hAnsi="Times New Roman Bold"/>
          <w:b/>
          <w:sz w:val="28"/>
        </w:rPr>
        <w:t xml:space="preserve">Proposition visant à inscrire un nouveau point à l'ordre du jour relatif à l'utilisation de la bande </w:t>
      </w:r>
      <w:r w:rsidR="00F4528F" w:rsidRPr="006762C6">
        <w:rPr>
          <w:rFonts w:ascii="Times New Roman Bold" w:hAnsi="Times New Roman Bold"/>
          <w:b/>
          <w:sz w:val="28"/>
        </w:rPr>
        <w:t xml:space="preserve">de fréquences </w:t>
      </w:r>
      <w:r w:rsidRPr="006762C6">
        <w:rPr>
          <w:rFonts w:ascii="Times New Roman Bold" w:hAnsi="Times New Roman Bold"/>
          <w:b/>
          <w:sz w:val="28"/>
        </w:rPr>
        <w:t>51,4-52,4 GHz par les stations</w:t>
      </w:r>
      <w:r w:rsidR="00373874" w:rsidRPr="006762C6">
        <w:rPr>
          <w:rFonts w:ascii="Times New Roman Bold" w:hAnsi="Times New Roman Bold"/>
          <w:b/>
          <w:sz w:val="28"/>
        </w:rPr>
        <w:br/>
      </w:r>
      <w:r w:rsidRPr="006762C6">
        <w:rPr>
          <w:rFonts w:ascii="Times New Roman Bold" w:hAnsi="Times New Roman Bold"/>
          <w:b/>
          <w:sz w:val="28"/>
        </w:rPr>
        <w:t>terriennes passerelles communiquant avec des systèmes à satellites</w:t>
      </w:r>
      <w:r w:rsidR="00373874" w:rsidRPr="006762C6">
        <w:rPr>
          <w:rFonts w:ascii="Times New Roman Bold" w:hAnsi="Times New Roman Bold"/>
          <w:b/>
          <w:sz w:val="28"/>
        </w:rPr>
        <w:br/>
      </w:r>
      <w:r w:rsidRPr="006762C6">
        <w:rPr>
          <w:rFonts w:ascii="Times New Roman Bold" w:hAnsi="Times New Roman Bold"/>
          <w:b/>
          <w:sz w:val="28"/>
        </w:rPr>
        <w:t xml:space="preserve">non géostationnaires </w:t>
      </w:r>
      <w:r w:rsidR="00064CAA" w:rsidRPr="006762C6">
        <w:rPr>
          <w:rFonts w:ascii="Times New Roman Bold" w:hAnsi="Times New Roman Bold"/>
          <w:b/>
          <w:sz w:val="28"/>
        </w:rPr>
        <w:t xml:space="preserve">fonctionnant dans le </w:t>
      </w:r>
      <w:r w:rsidRPr="006762C6">
        <w:rPr>
          <w:rFonts w:ascii="Times New Roman Bold" w:hAnsi="Times New Roman Bold"/>
          <w:b/>
          <w:sz w:val="28"/>
        </w:rPr>
        <w:t>SFS</w:t>
      </w:r>
      <w:r w:rsidR="00373874" w:rsidRPr="006762C6">
        <w:rPr>
          <w:rFonts w:ascii="Times New Roman Bold" w:hAnsi="Times New Roman Bold"/>
          <w:b/>
          <w:sz w:val="28"/>
        </w:rPr>
        <w:br/>
      </w:r>
      <w:r w:rsidRPr="006762C6">
        <w:rPr>
          <w:rFonts w:ascii="Times New Roman Bold" w:hAnsi="Times New Roman Bold"/>
          <w:b/>
          <w:sz w:val="28"/>
        </w:rPr>
        <w:t>(Terre vers espace)</w:t>
      </w:r>
    </w:p>
    <w:tbl>
      <w:tblPr>
        <w:tblStyle w:val="TableGrid"/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627"/>
        <w:gridCol w:w="5096"/>
      </w:tblGrid>
      <w:tr w:rsidR="003C2E2D" w:rsidRPr="006762C6" w14:paraId="733F8F85" w14:textId="77777777" w:rsidTr="003C2E2D">
        <w:tc>
          <w:tcPr>
            <w:tcW w:w="9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24F0D" w14:textId="3E9E45C4" w:rsidR="003C2E2D" w:rsidRPr="006762C6" w:rsidRDefault="003C2E2D" w:rsidP="006762C6">
            <w:pPr>
              <w:spacing w:after="120"/>
              <w:rPr>
                <w:i/>
                <w:iCs/>
              </w:rPr>
            </w:pPr>
            <w:r w:rsidRPr="006762C6">
              <w:rPr>
                <w:b/>
                <w:bCs/>
              </w:rPr>
              <w:t>Objet</w:t>
            </w:r>
            <w:r w:rsidRPr="006762C6">
              <w:t>:</w:t>
            </w:r>
            <w:r w:rsidR="006A3C24" w:rsidRPr="006762C6">
              <w:t xml:space="preserve"> </w:t>
            </w:r>
            <w:r w:rsidR="00E56CA4" w:rsidRPr="006762C6">
              <w:t xml:space="preserve">Utilisation de la bande de fréquences 51,4-52,4 GHz par </w:t>
            </w:r>
            <w:r w:rsidR="00F93ADE" w:rsidRPr="006762C6">
              <w:t>l</w:t>
            </w:r>
            <w:r w:rsidR="00E56CA4" w:rsidRPr="006762C6">
              <w:t>es stations terriennes passerelles communiquant avec des systèmes à satellites non géostationnaires du SFS (Terre vers espace)</w:t>
            </w:r>
            <w:r w:rsidR="00350640" w:rsidRPr="006762C6">
              <w:t>.</w:t>
            </w:r>
          </w:p>
        </w:tc>
      </w:tr>
      <w:tr w:rsidR="003C2E2D" w:rsidRPr="006762C6" w14:paraId="146F9D3D" w14:textId="77777777" w:rsidTr="003C2E2D"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921BA" w14:textId="0114F4DE" w:rsidR="003C2E2D" w:rsidRPr="006762C6" w:rsidRDefault="003C2E2D" w:rsidP="006762C6">
            <w:pPr>
              <w:spacing w:after="120"/>
              <w:rPr>
                <w:i/>
                <w:iCs/>
              </w:rPr>
            </w:pPr>
            <w:r w:rsidRPr="006762C6">
              <w:rPr>
                <w:b/>
                <w:bCs/>
              </w:rPr>
              <w:t>Origine</w:t>
            </w:r>
            <w:r w:rsidRPr="006762C6">
              <w:t>:</w:t>
            </w:r>
            <w:r w:rsidR="006A3C24" w:rsidRPr="006762C6">
              <w:t xml:space="preserve"> </w:t>
            </w:r>
            <w:r w:rsidR="00224AB5" w:rsidRPr="006762C6">
              <w:t>États arabes</w:t>
            </w:r>
          </w:p>
        </w:tc>
      </w:tr>
      <w:tr w:rsidR="003C2E2D" w:rsidRPr="006762C6" w14:paraId="501826A6" w14:textId="77777777" w:rsidTr="004335D7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76AAA" w14:textId="77777777" w:rsidR="003C2E2D" w:rsidRPr="006762C6" w:rsidRDefault="003C2E2D" w:rsidP="006762C6">
            <w:r w:rsidRPr="006762C6">
              <w:rPr>
                <w:b/>
                <w:bCs/>
                <w:i/>
                <w:iCs/>
              </w:rPr>
              <w:t>Proposition</w:t>
            </w:r>
            <w:r w:rsidRPr="006762C6">
              <w:t>:</w:t>
            </w:r>
          </w:p>
          <w:p w14:paraId="61B3F703" w14:textId="72C238DB" w:rsidR="003C2E2D" w:rsidRPr="006762C6" w:rsidRDefault="00373874" w:rsidP="006762C6">
            <w:pPr>
              <w:spacing w:after="120"/>
              <w:rPr>
                <w:bCs/>
                <w:iCs/>
              </w:rPr>
            </w:pPr>
            <w:r w:rsidRPr="006762C6">
              <w:rPr>
                <w:bCs/>
                <w:iCs/>
              </w:rPr>
              <w:t>E</w:t>
            </w:r>
            <w:r w:rsidR="00E56CA4" w:rsidRPr="006762C6">
              <w:rPr>
                <w:bCs/>
                <w:iCs/>
              </w:rPr>
              <w:t>nvisager</w:t>
            </w:r>
            <w:r w:rsidR="00064CAA" w:rsidRPr="006762C6">
              <w:t xml:space="preserve"> la possibilité de réviser l'attribution au SFS dans la bande de fréquences 51,4-52,4</w:t>
            </w:r>
            <w:r w:rsidR="00350640" w:rsidRPr="006762C6">
              <w:t> </w:t>
            </w:r>
            <w:r w:rsidR="00064CAA" w:rsidRPr="006762C6">
              <w:t>GHz (Terre vers espace) pour permettre son utilisation à titre primaire par les systèmes non OSG du SFS et les stations terriennes passerelles associées</w:t>
            </w:r>
            <w:r w:rsidR="001E414E" w:rsidRPr="006762C6">
              <w:t>.</w:t>
            </w:r>
          </w:p>
        </w:tc>
      </w:tr>
      <w:tr w:rsidR="003C2E2D" w:rsidRPr="006762C6" w14:paraId="2639C662" w14:textId="77777777" w:rsidTr="004335D7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F921C" w14:textId="77777777" w:rsidR="003C2E2D" w:rsidRPr="006762C6" w:rsidRDefault="003C2E2D" w:rsidP="006762C6">
            <w:pPr>
              <w:rPr>
                <w:b/>
                <w:bCs/>
                <w:i/>
                <w:iCs/>
              </w:rPr>
            </w:pPr>
            <w:r w:rsidRPr="006762C6">
              <w:rPr>
                <w:b/>
                <w:bCs/>
                <w:i/>
                <w:iCs/>
              </w:rPr>
              <w:t>Contexte/motif</w:t>
            </w:r>
            <w:r w:rsidRPr="006762C6">
              <w:t>:</w:t>
            </w:r>
          </w:p>
          <w:p w14:paraId="23A971AD" w14:textId="26624A0C" w:rsidR="000908FF" w:rsidRPr="006762C6" w:rsidRDefault="00064CAA" w:rsidP="006762C6">
            <w:pPr>
              <w:rPr>
                <w:bCs/>
                <w:iCs/>
              </w:rPr>
            </w:pPr>
            <w:r w:rsidRPr="006762C6">
              <w:rPr>
                <w:bCs/>
                <w:iCs/>
              </w:rPr>
              <w:t>La nécessité de dégager des bandes de fréquences additionnelles</w:t>
            </w:r>
            <w:r w:rsidR="000908FF" w:rsidRPr="006762C6">
              <w:rPr>
                <w:bCs/>
                <w:iCs/>
              </w:rPr>
              <w:t xml:space="preserve"> pour les liaisons montantes des stations terriennes passerelles du SFS dans la gamme de fréquences des 50 GHz pour les systèmes non OSG a déjà été examiné</w:t>
            </w:r>
            <w:r w:rsidRPr="006762C6">
              <w:rPr>
                <w:bCs/>
                <w:iCs/>
              </w:rPr>
              <w:t>e</w:t>
            </w:r>
            <w:r w:rsidR="000908FF" w:rsidRPr="006762C6">
              <w:rPr>
                <w:bCs/>
                <w:iCs/>
              </w:rPr>
              <w:t xml:space="preserve"> par la CMR-19, mais n'a pas été </w:t>
            </w:r>
            <w:r w:rsidRPr="006762C6">
              <w:rPr>
                <w:bCs/>
                <w:iCs/>
              </w:rPr>
              <w:t xml:space="preserve">pleinement traitée, </w:t>
            </w:r>
            <w:r w:rsidR="006368B4" w:rsidRPr="006762C6">
              <w:rPr>
                <w:bCs/>
                <w:iCs/>
              </w:rPr>
              <w:t>l'</w:t>
            </w:r>
            <w:r w:rsidR="000908FF" w:rsidRPr="006762C6">
              <w:rPr>
                <w:bCs/>
                <w:iCs/>
              </w:rPr>
              <w:t xml:space="preserve">utilisation </w:t>
            </w:r>
            <w:r w:rsidRPr="006762C6">
              <w:rPr>
                <w:bCs/>
                <w:iCs/>
              </w:rPr>
              <w:t xml:space="preserve">étant </w:t>
            </w:r>
            <w:r w:rsidR="000908FF" w:rsidRPr="006762C6">
              <w:rPr>
                <w:bCs/>
                <w:iCs/>
              </w:rPr>
              <w:t>limitée aux seules liaisons de connexion des réseaux OSG.</w:t>
            </w:r>
          </w:p>
          <w:p w14:paraId="23E513EA" w14:textId="5AD00FC2" w:rsidR="003C2E2D" w:rsidRPr="006762C6" w:rsidRDefault="006368B4" w:rsidP="006762C6">
            <w:pPr>
              <w:spacing w:after="120"/>
              <w:rPr>
                <w:bCs/>
                <w:iCs/>
              </w:rPr>
            </w:pPr>
            <w:r w:rsidRPr="006762C6">
              <w:rPr>
                <w:bCs/>
                <w:iCs/>
              </w:rPr>
              <w:t xml:space="preserve">Il </w:t>
            </w:r>
            <w:r w:rsidR="00064CAA" w:rsidRPr="006762C6">
              <w:rPr>
                <w:bCs/>
                <w:iCs/>
              </w:rPr>
              <w:t xml:space="preserve">faut </w:t>
            </w:r>
            <w:r w:rsidRPr="006762C6">
              <w:rPr>
                <w:bCs/>
                <w:iCs/>
              </w:rPr>
              <w:t>tenir compte des</w:t>
            </w:r>
            <w:r w:rsidR="000908FF" w:rsidRPr="006762C6">
              <w:rPr>
                <w:bCs/>
                <w:iCs/>
              </w:rPr>
              <w:t xml:space="preserve"> autres services </w:t>
            </w:r>
            <w:r w:rsidRPr="006762C6">
              <w:rPr>
                <w:bCs/>
                <w:iCs/>
              </w:rPr>
              <w:t>bénéficiant d'</w:t>
            </w:r>
            <w:r w:rsidR="000908FF" w:rsidRPr="006762C6">
              <w:rPr>
                <w:bCs/>
                <w:iCs/>
              </w:rPr>
              <w:t>attribu</w:t>
            </w:r>
            <w:r w:rsidRPr="006762C6">
              <w:rPr>
                <w:bCs/>
                <w:iCs/>
              </w:rPr>
              <w:t xml:space="preserve">tions </w:t>
            </w:r>
            <w:r w:rsidR="000908FF" w:rsidRPr="006762C6">
              <w:rPr>
                <w:bCs/>
                <w:iCs/>
              </w:rPr>
              <w:t>dans la bande et</w:t>
            </w:r>
            <w:r w:rsidR="00064CAA" w:rsidRPr="006762C6">
              <w:rPr>
                <w:bCs/>
                <w:iCs/>
              </w:rPr>
              <w:t xml:space="preserve"> dans </w:t>
            </w:r>
            <w:r w:rsidR="000908FF" w:rsidRPr="006762C6">
              <w:rPr>
                <w:bCs/>
                <w:iCs/>
              </w:rPr>
              <w:t>les bandes</w:t>
            </w:r>
            <w:r w:rsidR="00064CAA" w:rsidRPr="006762C6">
              <w:rPr>
                <w:bCs/>
                <w:iCs/>
              </w:rPr>
              <w:t xml:space="preserve"> de fréquences </w:t>
            </w:r>
            <w:r w:rsidR="000908FF" w:rsidRPr="006762C6">
              <w:rPr>
                <w:bCs/>
                <w:iCs/>
              </w:rPr>
              <w:t>adjacentes</w:t>
            </w:r>
            <w:r w:rsidR="00064CAA" w:rsidRPr="006762C6">
              <w:rPr>
                <w:bCs/>
                <w:iCs/>
              </w:rPr>
              <w:t>,</w:t>
            </w:r>
            <w:r w:rsidR="000908FF" w:rsidRPr="006762C6">
              <w:rPr>
                <w:bCs/>
                <w:iCs/>
              </w:rPr>
              <w:t xml:space="preserve"> </w:t>
            </w:r>
            <w:r w:rsidRPr="006762C6">
              <w:rPr>
                <w:bCs/>
                <w:iCs/>
              </w:rPr>
              <w:t>afin d'</w:t>
            </w:r>
            <w:r w:rsidR="000908FF" w:rsidRPr="006762C6">
              <w:rPr>
                <w:bCs/>
                <w:iCs/>
              </w:rPr>
              <w:t>assurer leur protection.</w:t>
            </w:r>
          </w:p>
        </w:tc>
      </w:tr>
      <w:tr w:rsidR="003C2E2D" w:rsidRPr="006762C6" w14:paraId="6A7EEDD0" w14:textId="77777777" w:rsidTr="004335D7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C774B" w14:textId="77777777" w:rsidR="003C2E2D" w:rsidRPr="006762C6" w:rsidRDefault="003C2E2D" w:rsidP="006762C6">
            <w:r w:rsidRPr="006762C6">
              <w:rPr>
                <w:b/>
                <w:bCs/>
                <w:i/>
                <w:iCs/>
              </w:rPr>
              <w:t>Services de radiocommunication concernés</w:t>
            </w:r>
            <w:r w:rsidRPr="006762C6">
              <w:t>:</w:t>
            </w:r>
          </w:p>
          <w:p w14:paraId="6EF93BFB" w14:textId="0BF5CD98" w:rsidR="003C2E2D" w:rsidRPr="006762C6" w:rsidRDefault="006368B4" w:rsidP="006762C6">
            <w:pPr>
              <w:spacing w:after="120"/>
              <w:rPr>
                <w:bCs/>
                <w:iCs/>
              </w:rPr>
            </w:pPr>
            <w:r w:rsidRPr="006762C6">
              <w:rPr>
                <w:bCs/>
                <w:iCs/>
              </w:rPr>
              <w:t>Les s</w:t>
            </w:r>
            <w:r w:rsidR="000908FF" w:rsidRPr="006762C6">
              <w:rPr>
                <w:bCs/>
                <w:iCs/>
              </w:rPr>
              <w:t xml:space="preserve">ervices de radiocommunication </w:t>
            </w:r>
            <w:r w:rsidRPr="006762C6">
              <w:rPr>
                <w:bCs/>
                <w:iCs/>
              </w:rPr>
              <w:t>bénéficiant d'</w:t>
            </w:r>
            <w:r w:rsidR="000908FF" w:rsidRPr="006762C6">
              <w:rPr>
                <w:bCs/>
                <w:iCs/>
              </w:rPr>
              <w:t>attribu</w:t>
            </w:r>
            <w:r w:rsidRPr="006762C6">
              <w:rPr>
                <w:bCs/>
                <w:iCs/>
              </w:rPr>
              <w:t>tions</w:t>
            </w:r>
            <w:r w:rsidR="000908FF" w:rsidRPr="006762C6">
              <w:rPr>
                <w:bCs/>
                <w:iCs/>
              </w:rPr>
              <w:t xml:space="preserve"> dans la bande de fréquences 51,4</w:t>
            </w:r>
            <w:r w:rsidR="001E414E" w:rsidRPr="006762C6">
              <w:rPr>
                <w:bCs/>
                <w:iCs/>
              </w:rPr>
              <w:noBreakHyphen/>
            </w:r>
            <w:r w:rsidR="000908FF" w:rsidRPr="006762C6">
              <w:rPr>
                <w:bCs/>
                <w:iCs/>
              </w:rPr>
              <w:t>52,4</w:t>
            </w:r>
            <w:r w:rsidR="001E414E" w:rsidRPr="006762C6">
              <w:rPr>
                <w:bCs/>
                <w:iCs/>
              </w:rPr>
              <w:t> </w:t>
            </w:r>
            <w:r w:rsidR="000908FF" w:rsidRPr="006762C6">
              <w:rPr>
                <w:bCs/>
                <w:iCs/>
              </w:rPr>
              <w:t>GHz et dans les bandes de fréquences adjacentes</w:t>
            </w:r>
            <w:r w:rsidR="001E414E" w:rsidRPr="006762C6">
              <w:rPr>
                <w:bCs/>
                <w:iCs/>
              </w:rPr>
              <w:t>.</w:t>
            </w:r>
          </w:p>
        </w:tc>
      </w:tr>
      <w:tr w:rsidR="003C2E2D" w:rsidRPr="006762C6" w14:paraId="329568B2" w14:textId="77777777" w:rsidTr="004335D7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6387B" w14:textId="77777777" w:rsidR="003C2E2D" w:rsidRPr="006762C6" w:rsidRDefault="003C2E2D" w:rsidP="006762C6">
            <w:r w:rsidRPr="006762C6">
              <w:rPr>
                <w:b/>
                <w:bCs/>
                <w:i/>
                <w:iCs/>
              </w:rPr>
              <w:t>Indication des difficultés éventuelles</w:t>
            </w:r>
            <w:r w:rsidRPr="006762C6">
              <w:t>:</w:t>
            </w:r>
          </w:p>
          <w:p w14:paraId="2C617A16" w14:textId="3D2323BA" w:rsidR="003C2E2D" w:rsidRPr="006762C6" w:rsidRDefault="003C2E2D" w:rsidP="006762C6">
            <w:pPr>
              <w:spacing w:after="120"/>
              <w:rPr>
                <w:bCs/>
                <w:iCs/>
              </w:rPr>
            </w:pPr>
            <w:r w:rsidRPr="006762C6">
              <w:rPr>
                <w:bCs/>
                <w:iCs/>
              </w:rPr>
              <w:t>À déterminer</w:t>
            </w:r>
            <w:r w:rsidR="001E414E" w:rsidRPr="006762C6">
              <w:rPr>
                <w:bCs/>
                <w:iCs/>
              </w:rPr>
              <w:t>.</w:t>
            </w:r>
          </w:p>
        </w:tc>
      </w:tr>
      <w:tr w:rsidR="003C2E2D" w:rsidRPr="006762C6" w14:paraId="3F0EB1CD" w14:textId="77777777" w:rsidTr="004335D7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E522D" w14:textId="77777777" w:rsidR="003C2E2D" w:rsidRPr="006762C6" w:rsidRDefault="003C2E2D" w:rsidP="006762C6">
            <w:r w:rsidRPr="006762C6">
              <w:rPr>
                <w:b/>
                <w:bCs/>
                <w:i/>
                <w:iCs/>
              </w:rPr>
              <w:t>Études précédentes ou en cours sur la question</w:t>
            </w:r>
            <w:r w:rsidRPr="006762C6">
              <w:t>:</w:t>
            </w:r>
          </w:p>
          <w:p w14:paraId="74035632" w14:textId="3F58169D" w:rsidR="003C2E2D" w:rsidRPr="006762C6" w:rsidRDefault="006368B4" w:rsidP="006762C6">
            <w:pPr>
              <w:spacing w:after="120"/>
              <w:rPr>
                <w:bCs/>
                <w:iCs/>
              </w:rPr>
            </w:pPr>
            <w:r w:rsidRPr="006762C6">
              <w:rPr>
                <w:bCs/>
                <w:iCs/>
              </w:rPr>
              <w:t>P</w:t>
            </w:r>
            <w:r w:rsidR="00E56CA4" w:rsidRPr="006762C6">
              <w:rPr>
                <w:bCs/>
                <w:iCs/>
              </w:rPr>
              <w:t>oint 9.1 de l'ordre du jour de la CMR-19, question 9.1.9</w:t>
            </w:r>
            <w:r w:rsidR="001E414E" w:rsidRPr="006762C6">
              <w:rPr>
                <w:bCs/>
                <w:iCs/>
              </w:rPr>
              <w:t>.</w:t>
            </w:r>
          </w:p>
        </w:tc>
      </w:tr>
      <w:tr w:rsidR="003C2E2D" w:rsidRPr="006762C6" w14:paraId="73E7EAD0" w14:textId="77777777" w:rsidTr="004335D7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E635" w14:textId="77777777" w:rsidR="003C2E2D" w:rsidRPr="006762C6" w:rsidRDefault="003C2E2D" w:rsidP="006762C6">
            <w:r w:rsidRPr="006762C6">
              <w:rPr>
                <w:b/>
                <w:bCs/>
                <w:i/>
                <w:iCs/>
              </w:rPr>
              <w:t>Études devant être réalisées par</w:t>
            </w:r>
            <w:r w:rsidRPr="006762C6">
              <w:t>:</w:t>
            </w:r>
          </w:p>
          <w:p w14:paraId="5CD745D6" w14:textId="71019DF3" w:rsidR="003C2E2D" w:rsidRPr="006762C6" w:rsidRDefault="00224AB5" w:rsidP="006762C6">
            <w:pPr>
              <w:rPr>
                <w:bCs/>
                <w:iCs/>
                <w:color w:val="000000"/>
              </w:rPr>
            </w:pPr>
            <w:r w:rsidRPr="006762C6">
              <w:rPr>
                <w:bCs/>
                <w:iCs/>
                <w:color w:val="000000"/>
              </w:rPr>
              <w:t>GT 4A de l'UIT-R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28A7A" w14:textId="77777777" w:rsidR="001E414E" w:rsidRPr="006762C6" w:rsidRDefault="003C2E2D" w:rsidP="006762C6">
            <w:r w:rsidRPr="006762C6">
              <w:rPr>
                <w:b/>
                <w:bCs/>
                <w:i/>
                <w:iCs/>
              </w:rPr>
              <w:t>avec la participation de</w:t>
            </w:r>
            <w:r w:rsidRPr="006762C6">
              <w:t>:</w:t>
            </w:r>
          </w:p>
          <w:p w14:paraId="499F00A1" w14:textId="436BE164" w:rsidR="003C2E2D" w:rsidRPr="006762C6" w:rsidRDefault="006368B4" w:rsidP="006762C6">
            <w:pPr>
              <w:spacing w:after="120"/>
              <w:rPr>
                <w:i/>
                <w:color w:val="000000"/>
              </w:rPr>
            </w:pPr>
            <w:r w:rsidRPr="006762C6">
              <w:t>A</w:t>
            </w:r>
            <w:r w:rsidR="00E56CA4" w:rsidRPr="006762C6">
              <w:t xml:space="preserve">utres </w:t>
            </w:r>
            <w:r w:rsidRPr="006762C6">
              <w:t>g</w:t>
            </w:r>
            <w:r w:rsidR="00E56CA4" w:rsidRPr="006762C6">
              <w:t>roupes de travail, administrations et Membres de Secteur concernés</w:t>
            </w:r>
          </w:p>
        </w:tc>
      </w:tr>
      <w:tr w:rsidR="003C2E2D" w:rsidRPr="006762C6" w14:paraId="6DD0C523" w14:textId="77777777" w:rsidTr="004335D7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834F6" w14:textId="77777777" w:rsidR="003C2E2D" w:rsidRPr="006762C6" w:rsidRDefault="003C2E2D" w:rsidP="006762C6">
            <w:r w:rsidRPr="006762C6">
              <w:rPr>
                <w:b/>
                <w:bCs/>
                <w:i/>
                <w:iCs/>
              </w:rPr>
              <w:t>Commissions d'études de l'UIT-R concernées</w:t>
            </w:r>
            <w:r w:rsidRPr="006762C6">
              <w:t>:</w:t>
            </w:r>
          </w:p>
          <w:p w14:paraId="58847D89" w14:textId="1D176736" w:rsidR="003C2E2D" w:rsidRPr="006762C6" w:rsidRDefault="00E56CA4" w:rsidP="006762C6">
            <w:pPr>
              <w:spacing w:after="120"/>
              <w:rPr>
                <w:bCs/>
                <w:iCs/>
              </w:rPr>
            </w:pPr>
            <w:r w:rsidRPr="006762C6">
              <w:rPr>
                <w:bCs/>
                <w:iCs/>
              </w:rPr>
              <w:t>CE</w:t>
            </w:r>
            <w:r w:rsidR="00224AB5" w:rsidRPr="006762C6">
              <w:rPr>
                <w:bCs/>
                <w:iCs/>
              </w:rPr>
              <w:t xml:space="preserve"> 4, </w:t>
            </w:r>
            <w:r w:rsidRPr="006762C6">
              <w:rPr>
                <w:bCs/>
                <w:iCs/>
              </w:rPr>
              <w:t xml:space="preserve">CE </w:t>
            </w:r>
            <w:r w:rsidR="00224AB5" w:rsidRPr="006762C6">
              <w:rPr>
                <w:bCs/>
                <w:iCs/>
              </w:rPr>
              <w:t>5</w:t>
            </w:r>
            <w:r w:rsidRPr="006762C6">
              <w:rPr>
                <w:bCs/>
                <w:iCs/>
              </w:rPr>
              <w:t xml:space="preserve"> et</w:t>
            </w:r>
            <w:r w:rsidR="00224AB5" w:rsidRPr="006762C6">
              <w:rPr>
                <w:bCs/>
                <w:iCs/>
              </w:rPr>
              <w:t xml:space="preserve"> </w:t>
            </w:r>
            <w:r w:rsidRPr="006762C6">
              <w:rPr>
                <w:bCs/>
                <w:iCs/>
              </w:rPr>
              <w:t xml:space="preserve">CE </w:t>
            </w:r>
            <w:r w:rsidR="00224AB5" w:rsidRPr="006762C6">
              <w:rPr>
                <w:bCs/>
                <w:iCs/>
              </w:rPr>
              <w:t>7</w:t>
            </w:r>
          </w:p>
        </w:tc>
      </w:tr>
      <w:tr w:rsidR="003C2E2D" w:rsidRPr="006762C6" w14:paraId="775F11CA" w14:textId="77777777" w:rsidTr="004335D7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7BDC8" w14:textId="53A869D1" w:rsidR="003C2E2D" w:rsidRPr="006762C6" w:rsidRDefault="003C2E2D" w:rsidP="006762C6">
            <w:r w:rsidRPr="006762C6">
              <w:rPr>
                <w:b/>
                <w:bCs/>
                <w:i/>
                <w:iCs/>
              </w:rPr>
              <w:t>Répercussions au niveau des ressources de l'UIT, y compris incidences financières</w:t>
            </w:r>
            <w:r w:rsidR="001E414E" w:rsidRPr="006762C6">
              <w:rPr>
                <w:b/>
                <w:bCs/>
                <w:i/>
                <w:iCs/>
              </w:rPr>
              <w:t xml:space="preserve"> </w:t>
            </w:r>
            <w:r w:rsidRPr="006762C6">
              <w:rPr>
                <w:b/>
                <w:bCs/>
                <w:i/>
                <w:iCs/>
              </w:rPr>
              <w:t>(voir le numéro 126 de la Convention)</w:t>
            </w:r>
            <w:r w:rsidRPr="006762C6">
              <w:t>:</w:t>
            </w:r>
          </w:p>
          <w:p w14:paraId="78A89B69" w14:textId="4231CE6D" w:rsidR="003C2E2D" w:rsidRPr="006762C6" w:rsidRDefault="00224AB5" w:rsidP="006762C6">
            <w:pPr>
              <w:spacing w:after="120"/>
              <w:rPr>
                <w:bCs/>
                <w:iCs/>
              </w:rPr>
            </w:pPr>
            <w:r w:rsidRPr="006762C6">
              <w:rPr>
                <w:bCs/>
                <w:iCs/>
              </w:rPr>
              <w:t>Aucune</w:t>
            </w:r>
            <w:r w:rsidR="006762C6" w:rsidRPr="006762C6">
              <w:rPr>
                <w:bCs/>
                <w:iCs/>
              </w:rPr>
              <w:t>.</w:t>
            </w:r>
          </w:p>
        </w:tc>
      </w:tr>
      <w:tr w:rsidR="003C2E2D" w:rsidRPr="006762C6" w14:paraId="58747400" w14:textId="77777777" w:rsidTr="004335D7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A5BF6" w14:textId="2A47C2B5" w:rsidR="003C2E2D" w:rsidRPr="006762C6" w:rsidRDefault="003C2E2D" w:rsidP="006762C6">
            <w:pPr>
              <w:rPr>
                <w:b/>
                <w:iCs/>
              </w:rPr>
            </w:pPr>
            <w:r w:rsidRPr="006762C6">
              <w:rPr>
                <w:b/>
                <w:bCs/>
                <w:i/>
                <w:iCs/>
              </w:rPr>
              <w:t>Proposition régionale commune</w:t>
            </w:r>
            <w:r w:rsidRPr="006762C6">
              <w:t>: Oui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69D4B" w14:textId="0BC90750" w:rsidR="003C2E2D" w:rsidRPr="006762C6" w:rsidRDefault="003C2E2D" w:rsidP="006762C6">
            <w:r w:rsidRPr="006762C6">
              <w:rPr>
                <w:b/>
                <w:bCs/>
                <w:i/>
                <w:iCs/>
              </w:rPr>
              <w:t>Proposition soumise par plusieurs pays</w:t>
            </w:r>
            <w:r w:rsidRPr="006762C6">
              <w:t>:</w:t>
            </w:r>
            <w:r w:rsidRPr="006762C6">
              <w:rPr>
                <w:iCs/>
              </w:rPr>
              <w:t xml:space="preserve"> </w:t>
            </w:r>
            <w:r w:rsidRPr="006762C6">
              <w:rPr>
                <w:bCs/>
                <w:iCs/>
              </w:rPr>
              <w:t>À</w:t>
            </w:r>
            <w:r w:rsidR="001E414E" w:rsidRPr="006762C6">
              <w:rPr>
                <w:bCs/>
                <w:iCs/>
              </w:rPr>
              <w:t> </w:t>
            </w:r>
            <w:r w:rsidRPr="006762C6">
              <w:rPr>
                <w:bCs/>
                <w:iCs/>
              </w:rPr>
              <w:t>déterminer</w:t>
            </w:r>
            <w:r w:rsidR="006762C6" w:rsidRPr="006762C6">
              <w:rPr>
                <w:bCs/>
                <w:iCs/>
              </w:rPr>
              <w:t>.</w:t>
            </w:r>
          </w:p>
          <w:p w14:paraId="6DB8752F" w14:textId="3A2A4820" w:rsidR="003C2E2D" w:rsidRPr="006762C6" w:rsidRDefault="003C2E2D" w:rsidP="006762C6">
            <w:pPr>
              <w:spacing w:after="120"/>
            </w:pPr>
            <w:r w:rsidRPr="006762C6">
              <w:rPr>
                <w:b/>
                <w:bCs/>
                <w:i/>
                <w:iCs/>
              </w:rPr>
              <w:t>Nombre de pays</w:t>
            </w:r>
            <w:r w:rsidRPr="006762C6">
              <w:t xml:space="preserve">: </w:t>
            </w:r>
            <w:r w:rsidRPr="006762C6">
              <w:rPr>
                <w:bCs/>
                <w:iCs/>
              </w:rPr>
              <w:t>À déterminer</w:t>
            </w:r>
            <w:r w:rsidR="006762C6" w:rsidRPr="006762C6">
              <w:rPr>
                <w:bCs/>
                <w:iCs/>
              </w:rPr>
              <w:t>.</w:t>
            </w:r>
          </w:p>
        </w:tc>
      </w:tr>
      <w:tr w:rsidR="003C2E2D" w:rsidRPr="006762C6" w14:paraId="5241592E" w14:textId="77777777" w:rsidTr="004335D7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2FB72" w14:textId="702C6F7F" w:rsidR="003C2E2D" w:rsidRPr="006762C6" w:rsidRDefault="003C2E2D" w:rsidP="006762C6">
            <w:r w:rsidRPr="006762C6">
              <w:rPr>
                <w:b/>
                <w:bCs/>
                <w:i/>
                <w:iCs/>
              </w:rPr>
              <w:t>Observations</w:t>
            </w:r>
            <w:r w:rsidR="001E414E" w:rsidRPr="006762C6">
              <w:t>:</w:t>
            </w:r>
          </w:p>
          <w:p w14:paraId="4FC4F6EA" w14:textId="77777777" w:rsidR="003C2E2D" w:rsidRPr="006762C6" w:rsidRDefault="003C2E2D" w:rsidP="006762C6">
            <w:pPr>
              <w:rPr>
                <w:b/>
                <w:i/>
              </w:rPr>
            </w:pPr>
          </w:p>
        </w:tc>
      </w:tr>
    </w:tbl>
    <w:p w14:paraId="3B604AE0" w14:textId="26607435" w:rsidR="003C2E2D" w:rsidRPr="006762C6" w:rsidRDefault="00C31E1C" w:rsidP="006762C6">
      <w:pPr>
        <w:jc w:val="center"/>
      </w:pPr>
      <w:r w:rsidRPr="006762C6">
        <w:t>______________</w:t>
      </w:r>
    </w:p>
    <w:sectPr w:rsidR="003C2E2D" w:rsidRPr="006762C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549B" w14:textId="77777777" w:rsidR="003C1AA8" w:rsidRDefault="003C1AA8">
      <w:r>
        <w:separator/>
      </w:r>
    </w:p>
  </w:endnote>
  <w:endnote w:type="continuationSeparator" w:id="0">
    <w:p w14:paraId="1B6C1397" w14:textId="77777777" w:rsidR="003C1AA8" w:rsidRDefault="003C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BC72" w14:textId="20F7527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762C6">
      <w:rPr>
        <w:noProof/>
        <w:lang w:val="en-US"/>
      </w:rPr>
      <w:t>P:\FRA\ITU-R\CONF-R\CMR23\100\100ADD27ADD04F.docx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62C6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62C6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EA76" w14:textId="4808E9BD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762C6">
      <w:rPr>
        <w:lang w:val="en-US"/>
      </w:rPr>
      <w:t>P:\FRA\ITU-R\CONF-R\CMR23\100\100ADD27ADD04F.docx</w:t>
    </w:r>
    <w:r>
      <w:fldChar w:fldCharType="end"/>
    </w:r>
    <w:r w:rsidR="002C28FA" w:rsidRPr="009747C4">
      <w:rPr>
        <w:lang w:val="en-GB"/>
        <w:rPrChange w:id="13" w:author="Deturche-Nazer, Anne-Marie" w:date="2023-11-07T10:26:00Z">
          <w:rPr/>
        </w:rPrChange>
      </w:rPr>
      <w:t xml:space="preserve"> (530220)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844F" w14:textId="118F56EE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762C6">
      <w:rPr>
        <w:lang w:val="en-US"/>
      </w:rPr>
      <w:t>P:\FRA\ITU-R\CONF-R\CMR23\100\100ADD27ADD04F.docx</w:t>
    </w:r>
    <w:r>
      <w:fldChar w:fldCharType="end"/>
    </w:r>
    <w:r w:rsidR="002C28FA" w:rsidRPr="009747C4">
      <w:rPr>
        <w:lang w:val="en-GB"/>
        <w:rPrChange w:id="14" w:author="Deturche-Nazer, Anne-Marie" w:date="2023-11-07T10:26:00Z">
          <w:rPr/>
        </w:rPrChange>
      </w:rPr>
      <w:t xml:space="preserve"> (530220)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216A" w14:textId="77777777" w:rsidR="003C1AA8" w:rsidRDefault="003C1AA8">
      <w:r>
        <w:rPr>
          <w:b/>
        </w:rPr>
        <w:t>_______________</w:t>
      </w:r>
    </w:p>
  </w:footnote>
  <w:footnote w:type="continuationSeparator" w:id="0">
    <w:p w14:paraId="33502726" w14:textId="77777777" w:rsidR="003C1AA8" w:rsidRDefault="003C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7CD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E4E50A0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100(Add.27)(Add.4)-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41373354">
    <w:abstractNumId w:val="0"/>
  </w:num>
  <w:num w:numId="2" w16cid:durableId="50390787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turche-Nazer, Anne-Marie">
    <w15:presenceInfo w15:providerId="AD" w15:userId="S::anne-marie.deturche@itu.int::40845eb8-3c04-4326-9bb8-01038e27fb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64CAA"/>
    <w:rsid w:val="00080E2C"/>
    <w:rsid w:val="00081366"/>
    <w:rsid w:val="000863B3"/>
    <w:rsid w:val="000908FF"/>
    <w:rsid w:val="000A4755"/>
    <w:rsid w:val="000A55AE"/>
    <w:rsid w:val="000B2E0C"/>
    <w:rsid w:val="000B3D0C"/>
    <w:rsid w:val="001167B9"/>
    <w:rsid w:val="001267A0"/>
    <w:rsid w:val="0015203F"/>
    <w:rsid w:val="00160C64"/>
    <w:rsid w:val="001742AF"/>
    <w:rsid w:val="0018169B"/>
    <w:rsid w:val="0019352B"/>
    <w:rsid w:val="001960D0"/>
    <w:rsid w:val="001A11F6"/>
    <w:rsid w:val="001E414E"/>
    <w:rsid w:val="001F17E8"/>
    <w:rsid w:val="00204306"/>
    <w:rsid w:val="00224AB5"/>
    <w:rsid w:val="00225CF2"/>
    <w:rsid w:val="00232FD2"/>
    <w:rsid w:val="0026554E"/>
    <w:rsid w:val="002A4622"/>
    <w:rsid w:val="002A6F8F"/>
    <w:rsid w:val="002B17E5"/>
    <w:rsid w:val="002C0EBF"/>
    <w:rsid w:val="002C28A4"/>
    <w:rsid w:val="002C28FA"/>
    <w:rsid w:val="002D7E0A"/>
    <w:rsid w:val="00315AFE"/>
    <w:rsid w:val="003411F6"/>
    <w:rsid w:val="00350640"/>
    <w:rsid w:val="003606A6"/>
    <w:rsid w:val="00364408"/>
    <w:rsid w:val="0036650C"/>
    <w:rsid w:val="00373874"/>
    <w:rsid w:val="00393ACD"/>
    <w:rsid w:val="003A583E"/>
    <w:rsid w:val="003C1AA8"/>
    <w:rsid w:val="003C2E2D"/>
    <w:rsid w:val="003E112B"/>
    <w:rsid w:val="003E1D1C"/>
    <w:rsid w:val="003E7B05"/>
    <w:rsid w:val="003F3719"/>
    <w:rsid w:val="003F6F2D"/>
    <w:rsid w:val="00411263"/>
    <w:rsid w:val="00466211"/>
    <w:rsid w:val="00483196"/>
    <w:rsid w:val="004834A9"/>
    <w:rsid w:val="004D01FC"/>
    <w:rsid w:val="004E28C3"/>
    <w:rsid w:val="004F1F8E"/>
    <w:rsid w:val="00512A32"/>
    <w:rsid w:val="005343DA"/>
    <w:rsid w:val="00535497"/>
    <w:rsid w:val="00560874"/>
    <w:rsid w:val="00586CF2"/>
    <w:rsid w:val="005A7C75"/>
    <w:rsid w:val="005C3768"/>
    <w:rsid w:val="005C6C3F"/>
    <w:rsid w:val="00613635"/>
    <w:rsid w:val="0062093D"/>
    <w:rsid w:val="006368B4"/>
    <w:rsid w:val="00637ECF"/>
    <w:rsid w:val="00647B59"/>
    <w:rsid w:val="006762C6"/>
    <w:rsid w:val="00690C7B"/>
    <w:rsid w:val="006A3C24"/>
    <w:rsid w:val="006A4B45"/>
    <w:rsid w:val="006C3F9F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406D9"/>
    <w:rsid w:val="00851625"/>
    <w:rsid w:val="00863C0A"/>
    <w:rsid w:val="008A3120"/>
    <w:rsid w:val="008A4B97"/>
    <w:rsid w:val="008B467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47C4"/>
    <w:rsid w:val="0098732F"/>
    <w:rsid w:val="009A045F"/>
    <w:rsid w:val="009A6A2B"/>
    <w:rsid w:val="009C7E7C"/>
    <w:rsid w:val="00A00473"/>
    <w:rsid w:val="00A03C9B"/>
    <w:rsid w:val="00A361CF"/>
    <w:rsid w:val="00A37105"/>
    <w:rsid w:val="00A606C3"/>
    <w:rsid w:val="00A83B09"/>
    <w:rsid w:val="00A84541"/>
    <w:rsid w:val="00AE36A0"/>
    <w:rsid w:val="00B00294"/>
    <w:rsid w:val="00B12AA2"/>
    <w:rsid w:val="00B3749C"/>
    <w:rsid w:val="00B43034"/>
    <w:rsid w:val="00B64FD0"/>
    <w:rsid w:val="00BA5BD0"/>
    <w:rsid w:val="00BB1D82"/>
    <w:rsid w:val="00BC217E"/>
    <w:rsid w:val="00BD51C5"/>
    <w:rsid w:val="00BF26E7"/>
    <w:rsid w:val="00C1305F"/>
    <w:rsid w:val="00C31E1C"/>
    <w:rsid w:val="00C53FCA"/>
    <w:rsid w:val="00C71DEB"/>
    <w:rsid w:val="00C76BAF"/>
    <w:rsid w:val="00C814B9"/>
    <w:rsid w:val="00CB685A"/>
    <w:rsid w:val="00CD516F"/>
    <w:rsid w:val="00D05EB0"/>
    <w:rsid w:val="00D119A7"/>
    <w:rsid w:val="00D25FBA"/>
    <w:rsid w:val="00D32B28"/>
    <w:rsid w:val="00D3426F"/>
    <w:rsid w:val="00D42954"/>
    <w:rsid w:val="00D60DDF"/>
    <w:rsid w:val="00D66EAC"/>
    <w:rsid w:val="00D730DF"/>
    <w:rsid w:val="00D772F0"/>
    <w:rsid w:val="00D77BDC"/>
    <w:rsid w:val="00D863D1"/>
    <w:rsid w:val="00DC402B"/>
    <w:rsid w:val="00DE0932"/>
    <w:rsid w:val="00DF15E8"/>
    <w:rsid w:val="00E03A27"/>
    <w:rsid w:val="00E049F1"/>
    <w:rsid w:val="00E37A25"/>
    <w:rsid w:val="00E40D00"/>
    <w:rsid w:val="00E43050"/>
    <w:rsid w:val="00E537FF"/>
    <w:rsid w:val="00E55AD8"/>
    <w:rsid w:val="00E56CA4"/>
    <w:rsid w:val="00E60CB2"/>
    <w:rsid w:val="00E6539B"/>
    <w:rsid w:val="00E70A31"/>
    <w:rsid w:val="00E7152B"/>
    <w:rsid w:val="00E723A7"/>
    <w:rsid w:val="00EA3F38"/>
    <w:rsid w:val="00EA5AB6"/>
    <w:rsid w:val="00EC7615"/>
    <w:rsid w:val="00ED16AA"/>
    <w:rsid w:val="00ED6B8D"/>
    <w:rsid w:val="00EE3D7B"/>
    <w:rsid w:val="00EF662E"/>
    <w:rsid w:val="00F03B5C"/>
    <w:rsid w:val="00F10064"/>
    <w:rsid w:val="00F148F1"/>
    <w:rsid w:val="00F4528F"/>
    <w:rsid w:val="00F711A7"/>
    <w:rsid w:val="00F93ADE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A7FF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2C28FA"/>
  </w:style>
  <w:style w:type="character" w:customStyle="1" w:styleId="CallChar">
    <w:name w:val="Call Char"/>
    <w:basedOn w:val="DefaultParagraphFont"/>
    <w:link w:val="Call"/>
    <w:locked/>
    <w:rsid w:val="003C2E2D"/>
    <w:rPr>
      <w:rFonts w:ascii="Times New Roman" w:hAnsi="Times New Roman"/>
      <w:i/>
      <w:sz w:val="24"/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3C2E2D"/>
    <w:rPr>
      <w:rFonts w:ascii="Times New Roman" w:hAnsi="Times New Roman"/>
      <w:b/>
      <w:sz w:val="24"/>
      <w:lang w:val="fr-FR" w:eastAsia="en-US"/>
    </w:rPr>
  </w:style>
  <w:style w:type="paragraph" w:styleId="Revision">
    <w:name w:val="Revision"/>
    <w:hidden/>
    <w:uiPriority w:val="99"/>
    <w:semiHidden/>
    <w:rsid w:val="009747C4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9747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47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47C4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4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47C4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R23-WRC23-C-0100!A27-A4!MSW-F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9B3949-C7E7-4D1E-8AE7-A99C2163538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32a1a8c5-2265-4ebc-b7a0-2071e2c5c9b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E3EC74-B3A3-4AE8-8ECC-4F50A3907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CBFC6-439C-42B1-8760-3B622D745A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1170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R23-WRC23-C-0100!A27-A4!MSW-F</vt:lpstr>
      <vt:lpstr>R23-WRC23-C-0100!A27-A4!MSW-F</vt:lpstr>
    </vt:vector>
  </TitlesOfParts>
  <Manager>Secrétariat général - Pool</Manager>
  <Company>Union internationale des télécommunications (UIT)</Company>
  <LinksUpToDate>false</LinksUpToDate>
  <CharactersWithSpaces>7777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R23-WRC23-C-0100!A27-A4!MSW-F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2023-11-11T16:36:00Z</dcterms:created>
  <dcterms:modified xsi:type="dcterms:W3CDTF">2023-11-13T06:29:00Z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