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4F61AB" w14:paraId="1CC3E480" w14:textId="77777777" w:rsidTr="00C1305F">
        <w:trPr>
          <w:cantSplit/>
        </w:trPr>
        <w:tc>
          <w:tcPr>
            <w:tcW w:w="1418" w:type="dxa"/>
            <w:vAlign w:val="center"/>
          </w:tcPr>
          <w:p w14:paraId="2C973BE1" w14:textId="77777777" w:rsidR="00C1305F" w:rsidRPr="004F61AB" w:rsidRDefault="00C1305F" w:rsidP="009A246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F61AB">
              <w:drawing>
                <wp:inline distT="0" distB="0" distL="0" distR="0" wp14:anchorId="5E0CB819" wp14:editId="28FF6F4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0E0FF9A" w14:textId="77777777" w:rsidR="00C1305F" w:rsidRPr="004F61AB" w:rsidRDefault="00C1305F" w:rsidP="009A246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4F61A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4F61AB">
              <w:rPr>
                <w:rFonts w:ascii="Verdana" w:hAnsi="Verdana"/>
                <w:b/>
                <w:bCs/>
                <w:sz w:val="20"/>
              </w:rPr>
              <w:br/>
            </w:r>
            <w:r w:rsidRPr="004F61A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3E5026" w:rsidRPr="004F61A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4F61A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2BAA11F" w14:textId="77777777" w:rsidR="00C1305F" w:rsidRPr="004F61AB" w:rsidRDefault="00C1305F" w:rsidP="009A246C">
            <w:pPr>
              <w:spacing w:before="0"/>
            </w:pPr>
            <w:bookmarkStart w:id="0" w:name="ditulogo"/>
            <w:bookmarkEnd w:id="0"/>
            <w:r w:rsidRPr="004F61AB">
              <w:drawing>
                <wp:inline distT="0" distB="0" distL="0" distR="0" wp14:anchorId="6A5CA240" wp14:editId="7EC95893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F61AB" w14:paraId="757CC83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221CBDB" w14:textId="77777777" w:rsidR="00BB1D82" w:rsidRPr="004F61AB" w:rsidRDefault="00BB1D82" w:rsidP="009A246C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9663BC" w14:textId="77777777" w:rsidR="00BB1D82" w:rsidRPr="004F61AB" w:rsidRDefault="00BB1D82" w:rsidP="009A246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4F61AB" w14:paraId="76C5562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F1A94B1" w14:textId="77777777" w:rsidR="00BB1D82" w:rsidRPr="004F61AB" w:rsidRDefault="00BB1D82" w:rsidP="009A246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9C71D8C" w14:textId="77777777" w:rsidR="00BB1D82" w:rsidRPr="004F61AB" w:rsidRDefault="00BB1D82" w:rsidP="009A246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4F61AB" w14:paraId="2AAC237D" w14:textId="77777777" w:rsidTr="00BB1D82">
        <w:trPr>
          <w:cantSplit/>
        </w:trPr>
        <w:tc>
          <w:tcPr>
            <w:tcW w:w="6911" w:type="dxa"/>
            <w:gridSpan w:val="2"/>
          </w:tcPr>
          <w:p w14:paraId="0B861AC4" w14:textId="77777777" w:rsidR="00BB1D82" w:rsidRPr="004F61AB" w:rsidRDefault="006D4724" w:rsidP="00CB3E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F61A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2BD7E89" w14:textId="77777777" w:rsidR="00BB1D82" w:rsidRPr="004F61AB" w:rsidRDefault="006D4724" w:rsidP="00CB3E09">
            <w:pPr>
              <w:spacing w:before="0"/>
              <w:rPr>
                <w:rFonts w:ascii="Verdana" w:hAnsi="Verdana"/>
                <w:sz w:val="20"/>
              </w:rPr>
            </w:pPr>
            <w:r w:rsidRPr="004F61AB">
              <w:rPr>
                <w:rFonts w:ascii="Verdana" w:hAnsi="Verdana"/>
                <w:b/>
                <w:sz w:val="20"/>
              </w:rPr>
              <w:t>Addendum 3 au</w:t>
            </w:r>
            <w:r w:rsidRPr="004F61AB">
              <w:rPr>
                <w:rFonts w:ascii="Verdana" w:hAnsi="Verdana"/>
                <w:b/>
                <w:sz w:val="20"/>
              </w:rPr>
              <w:br/>
              <w:t>Document 100(Add.27)</w:t>
            </w:r>
            <w:r w:rsidR="00BB1D82" w:rsidRPr="004F61AB">
              <w:rPr>
                <w:rFonts w:ascii="Verdana" w:hAnsi="Verdana"/>
                <w:b/>
                <w:sz w:val="20"/>
              </w:rPr>
              <w:t>-</w:t>
            </w:r>
            <w:r w:rsidRPr="004F61A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4F61AB" w14:paraId="6AAAA67E" w14:textId="77777777" w:rsidTr="00BB1D82">
        <w:trPr>
          <w:cantSplit/>
        </w:trPr>
        <w:tc>
          <w:tcPr>
            <w:tcW w:w="6911" w:type="dxa"/>
            <w:gridSpan w:val="2"/>
          </w:tcPr>
          <w:p w14:paraId="28DA4475" w14:textId="77777777" w:rsidR="00690C7B" w:rsidRPr="004F61AB" w:rsidRDefault="00690C7B" w:rsidP="00CB3E0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881125F" w14:textId="77777777" w:rsidR="00690C7B" w:rsidRPr="004F61AB" w:rsidRDefault="00690C7B" w:rsidP="00CB3E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F61AB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4F61AB" w14:paraId="29685DFD" w14:textId="77777777" w:rsidTr="00BB1D82">
        <w:trPr>
          <w:cantSplit/>
        </w:trPr>
        <w:tc>
          <w:tcPr>
            <w:tcW w:w="6911" w:type="dxa"/>
            <w:gridSpan w:val="2"/>
          </w:tcPr>
          <w:p w14:paraId="2FC223C4" w14:textId="77777777" w:rsidR="00690C7B" w:rsidRPr="004F61AB" w:rsidRDefault="00690C7B" w:rsidP="00CB3E0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5E2D092" w14:textId="77777777" w:rsidR="00690C7B" w:rsidRPr="004F61AB" w:rsidRDefault="00690C7B" w:rsidP="00CB3E0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F61A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4F61AB" w14:paraId="7301EEA6" w14:textId="77777777" w:rsidTr="00C11970">
        <w:trPr>
          <w:cantSplit/>
        </w:trPr>
        <w:tc>
          <w:tcPr>
            <w:tcW w:w="10031" w:type="dxa"/>
            <w:gridSpan w:val="4"/>
          </w:tcPr>
          <w:p w14:paraId="23EA6A6F" w14:textId="77777777" w:rsidR="00690C7B" w:rsidRPr="004F61AB" w:rsidRDefault="00690C7B" w:rsidP="00CB3E0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F61AB" w14:paraId="63707E8E" w14:textId="77777777" w:rsidTr="0050008E">
        <w:trPr>
          <w:cantSplit/>
        </w:trPr>
        <w:tc>
          <w:tcPr>
            <w:tcW w:w="10031" w:type="dxa"/>
            <w:gridSpan w:val="4"/>
          </w:tcPr>
          <w:p w14:paraId="2C2D5DB4" w14:textId="77777777" w:rsidR="00690C7B" w:rsidRPr="004F61AB" w:rsidRDefault="00690C7B" w:rsidP="00CB3E09">
            <w:pPr>
              <w:pStyle w:val="Source"/>
            </w:pPr>
            <w:bookmarkStart w:id="2" w:name="dsource" w:colFirst="0" w:colLast="0"/>
            <w:r w:rsidRPr="004F61AB">
              <w:t>Propositions communes des États arabes</w:t>
            </w:r>
          </w:p>
        </w:tc>
      </w:tr>
      <w:tr w:rsidR="00690C7B" w:rsidRPr="004F61AB" w14:paraId="2EAFF97F" w14:textId="77777777" w:rsidTr="0050008E">
        <w:trPr>
          <w:cantSplit/>
        </w:trPr>
        <w:tc>
          <w:tcPr>
            <w:tcW w:w="10031" w:type="dxa"/>
            <w:gridSpan w:val="4"/>
          </w:tcPr>
          <w:p w14:paraId="6DB40851" w14:textId="77777777" w:rsidR="00690C7B" w:rsidRPr="004F61AB" w:rsidRDefault="003E5026" w:rsidP="00CB3E09">
            <w:pPr>
              <w:pStyle w:val="Title1"/>
            </w:pPr>
            <w:bookmarkStart w:id="3" w:name="dtitle1" w:colFirst="0" w:colLast="0"/>
            <w:bookmarkEnd w:id="2"/>
            <w:r w:rsidRPr="004F61AB">
              <w:t>Propositions pour les travaux de la Conférence</w:t>
            </w:r>
          </w:p>
        </w:tc>
      </w:tr>
      <w:tr w:rsidR="00690C7B" w:rsidRPr="004F61AB" w14:paraId="0A35519E" w14:textId="77777777" w:rsidTr="0050008E">
        <w:trPr>
          <w:cantSplit/>
        </w:trPr>
        <w:tc>
          <w:tcPr>
            <w:tcW w:w="10031" w:type="dxa"/>
            <w:gridSpan w:val="4"/>
          </w:tcPr>
          <w:p w14:paraId="30035089" w14:textId="77777777" w:rsidR="00690C7B" w:rsidRPr="004F61AB" w:rsidRDefault="00690C7B" w:rsidP="00CB3E09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4F61AB" w14:paraId="2E9C4D0C" w14:textId="77777777" w:rsidTr="0050008E">
        <w:trPr>
          <w:cantSplit/>
        </w:trPr>
        <w:tc>
          <w:tcPr>
            <w:tcW w:w="10031" w:type="dxa"/>
            <w:gridSpan w:val="4"/>
          </w:tcPr>
          <w:p w14:paraId="3A88D691" w14:textId="77777777" w:rsidR="00690C7B" w:rsidRPr="004F61AB" w:rsidRDefault="00690C7B" w:rsidP="00CB3E09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4F61AB">
              <w:rPr>
                <w:lang w:val="fr-FR"/>
              </w:rPr>
              <w:t>Point 10 de l'ordre du jour</w:t>
            </w:r>
          </w:p>
        </w:tc>
      </w:tr>
    </w:tbl>
    <w:bookmarkEnd w:id="5"/>
    <w:p w14:paraId="3D448D11" w14:textId="77777777" w:rsidR="0044713D" w:rsidRPr="004F61AB" w:rsidRDefault="0044713D" w:rsidP="00CB3E09">
      <w:r w:rsidRPr="004F61AB">
        <w:t>10</w:t>
      </w:r>
      <w:r w:rsidRPr="004F61AB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4F61AB">
        <w:rPr>
          <w:b/>
        </w:rPr>
        <w:t>804 (Rév.CMR-19)</w:t>
      </w:r>
      <w:r w:rsidRPr="004F61AB">
        <w:t>,</w:t>
      </w:r>
    </w:p>
    <w:p w14:paraId="21BB1961" w14:textId="77777777" w:rsidR="003E5026" w:rsidRPr="004F61AB" w:rsidRDefault="003E5026" w:rsidP="00CB3E09">
      <w:pPr>
        <w:pStyle w:val="Headingb"/>
      </w:pPr>
      <w:r w:rsidRPr="004F61AB">
        <w:t>Introduction</w:t>
      </w:r>
    </w:p>
    <w:p w14:paraId="66F10C07" w14:textId="3D55B9EB" w:rsidR="00FF27EA" w:rsidRPr="004F61AB" w:rsidRDefault="00CE6DAF" w:rsidP="00CB3E09">
      <w:r w:rsidRPr="004F61AB">
        <w:t xml:space="preserve">Les cosignataires ci-dessus proposent </w:t>
      </w:r>
      <w:r w:rsidR="006135F1" w:rsidRPr="004F61AB">
        <w:t xml:space="preserve">d'apporter </w:t>
      </w:r>
      <w:r w:rsidRPr="004F61AB">
        <w:t xml:space="preserve">une modification </w:t>
      </w:r>
      <w:r w:rsidR="006135F1" w:rsidRPr="004F61AB">
        <w:t xml:space="preserve">au </w:t>
      </w:r>
      <w:r w:rsidRPr="004F61AB">
        <w:t>point de l</w:t>
      </w:r>
      <w:r w:rsidR="00CB3E09" w:rsidRPr="004F61AB">
        <w:t>'</w:t>
      </w:r>
      <w:r w:rsidRPr="004F61AB">
        <w:t xml:space="preserve">ordre du jour de la Conférence mondiale des radiocommunications de 2027 concernant </w:t>
      </w:r>
      <w:r w:rsidR="006135F1" w:rsidRPr="004F61AB">
        <w:t>la possibilité d'effectuer de</w:t>
      </w:r>
      <w:r w:rsidR="006135F1" w:rsidRPr="004F61AB" w:rsidDel="006135F1">
        <w:t xml:space="preserve"> </w:t>
      </w:r>
      <w:r w:rsidRPr="004F61AB">
        <w:t>nouvelles attributions de fréquences au service mobile par satellite (SMS) dans les bandes de fréquences au-dessous de 5</w:t>
      </w:r>
      <w:r w:rsidR="00CA6BB2" w:rsidRPr="004F61AB">
        <w:t> </w:t>
      </w:r>
      <w:r w:rsidRPr="004F61AB">
        <w:t>GHz</w:t>
      </w:r>
      <w:r w:rsidR="00CA6BB2" w:rsidRPr="004F61AB">
        <w:t xml:space="preserve">. </w:t>
      </w:r>
      <w:r w:rsidR="00E7422F" w:rsidRPr="004F61AB">
        <w:t xml:space="preserve">La proposition vise à étudier la possibilité de faire des attributions additionnelles au SMS dans les bandes de fréquences au-dessous de 5 GHz à titre primaire, afin de permettre aux fournisseurs de services de </w:t>
      </w:r>
      <w:r w:rsidR="006135F1" w:rsidRPr="004F61AB">
        <w:t>télé</w:t>
      </w:r>
      <w:r w:rsidR="00E7422F" w:rsidRPr="004F61AB">
        <w:t xml:space="preserve">communication par satellite de déployer des systèmes de communication directement </w:t>
      </w:r>
      <w:r w:rsidR="00EA29C3" w:rsidRPr="004F61AB">
        <w:t>vers le</w:t>
      </w:r>
      <w:r w:rsidR="00E7422F" w:rsidRPr="004F61AB">
        <w:t xml:space="preserve"> dispositif</w:t>
      </w:r>
      <w:r w:rsidR="00255409" w:rsidRPr="004F61AB">
        <w:t>,</w:t>
      </w:r>
      <w:r w:rsidR="00E7422F" w:rsidRPr="004F61AB">
        <w:t xml:space="preserve"> qui viendraient compléter les réseaux de Terre existants.</w:t>
      </w:r>
    </w:p>
    <w:p w14:paraId="453C350A" w14:textId="77777777" w:rsidR="0015203F" w:rsidRPr="004F61AB" w:rsidRDefault="0015203F" w:rsidP="00CB3E0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F61AB">
        <w:br w:type="page"/>
      </w:r>
    </w:p>
    <w:p w14:paraId="31CB8BDD" w14:textId="77777777" w:rsidR="00E94462" w:rsidRPr="004F61AB" w:rsidRDefault="0044713D" w:rsidP="00CB3E09">
      <w:pPr>
        <w:pStyle w:val="Proposal"/>
      </w:pPr>
      <w:r w:rsidRPr="004F61AB">
        <w:lastRenderedPageBreak/>
        <w:t>ADD</w:t>
      </w:r>
      <w:r w:rsidRPr="004F61AB">
        <w:tab/>
        <w:t>ARB/100A27A3/1</w:t>
      </w:r>
    </w:p>
    <w:p w14:paraId="68C15ED8" w14:textId="01DA222E" w:rsidR="00E94462" w:rsidRPr="004F61AB" w:rsidRDefault="0044713D" w:rsidP="00CB3E09">
      <w:pPr>
        <w:pStyle w:val="ResNo"/>
      </w:pPr>
      <w:r w:rsidRPr="004F61AB">
        <w:t xml:space="preserve">Projet de nouvelle Résolution </w:t>
      </w:r>
      <w:r w:rsidR="003E5026" w:rsidRPr="004F61AB">
        <w:t>[ARB</w:t>
      </w:r>
      <w:r w:rsidR="003E5026" w:rsidRPr="004F61AB">
        <w:noBreakHyphen/>
      </w:r>
      <w:r w:rsidR="002125EE" w:rsidRPr="004F61AB">
        <w:t>AI 10 MSS in Frequency bands below 5 GHz</w:t>
      </w:r>
      <w:r w:rsidR="003E5026" w:rsidRPr="004F61AB">
        <w:t>] (CMR-23)</w:t>
      </w:r>
    </w:p>
    <w:p w14:paraId="5D608232" w14:textId="732F44B9" w:rsidR="00E94462" w:rsidRPr="004F61AB" w:rsidRDefault="00685DBF" w:rsidP="00CB3E09">
      <w:pPr>
        <w:pStyle w:val="Restitle"/>
      </w:pPr>
      <w:r w:rsidRPr="004F61AB">
        <w:t>P</w:t>
      </w:r>
      <w:r w:rsidR="00757F50" w:rsidRPr="004F61AB">
        <w:t>oss</w:t>
      </w:r>
      <w:r w:rsidR="00085211" w:rsidRPr="004F61AB">
        <w:t xml:space="preserve">ibilité </w:t>
      </w:r>
      <w:r w:rsidR="003F61AA" w:rsidRPr="004F61AB">
        <w:t>d</w:t>
      </w:r>
      <w:r w:rsidR="00CB3E09" w:rsidRPr="004F61AB">
        <w:t>'</w:t>
      </w:r>
      <w:r w:rsidR="003F61AA" w:rsidRPr="004F61AB">
        <w:t xml:space="preserve">effectuer de nouvelles attributions </w:t>
      </w:r>
      <w:r w:rsidR="006135F1" w:rsidRPr="004F61AB">
        <w:t xml:space="preserve">de fréquences à titre primaire </w:t>
      </w:r>
      <w:r w:rsidR="004A3B8D" w:rsidRPr="004F61AB">
        <w:t xml:space="preserve">au service mobile par satellite dans les bandes de fréquences </w:t>
      </w:r>
      <w:r w:rsidR="005D6E49" w:rsidRPr="004F61AB">
        <w:t>a</w:t>
      </w:r>
      <w:r w:rsidR="00A5264B" w:rsidRPr="004F61AB">
        <w:t>u</w:t>
      </w:r>
      <w:r w:rsidR="005D6E49" w:rsidRPr="004F61AB">
        <w:t>-</w:t>
      </w:r>
      <w:r w:rsidR="004A3B8D" w:rsidRPr="004F61AB">
        <w:t xml:space="preserve">dessous de 5 GHz </w:t>
      </w:r>
    </w:p>
    <w:p w14:paraId="5A6FB06C" w14:textId="77777777" w:rsidR="00E94462" w:rsidRPr="004F61AB" w:rsidRDefault="003E5026" w:rsidP="00CB3E09">
      <w:pPr>
        <w:pStyle w:val="Normalaftertitle"/>
      </w:pPr>
      <w:r w:rsidRPr="004F61AB">
        <w:t>La Conférence mondiale des radiocommunications (Dubaï, 2023),</w:t>
      </w:r>
    </w:p>
    <w:p w14:paraId="09D00D88" w14:textId="77777777" w:rsidR="003E5026" w:rsidRPr="004F61AB" w:rsidRDefault="003E5026" w:rsidP="00CB3E09">
      <w:pPr>
        <w:pStyle w:val="Call"/>
      </w:pPr>
      <w:r w:rsidRPr="004F61AB">
        <w:t>considérant</w:t>
      </w:r>
    </w:p>
    <w:p w14:paraId="0DA3DC46" w14:textId="13F09ADD" w:rsidR="003E5026" w:rsidRPr="004F61AB" w:rsidRDefault="003E5026" w:rsidP="00CB3E09">
      <w:r w:rsidRPr="004F61AB">
        <w:rPr>
          <w:i/>
          <w:iCs/>
        </w:rPr>
        <w:t>a)</w:t>
      </w:r>
      <w:r w:rsidRPr="004F61AB">
        <w:tab/>
      </w:r>
      <w:r w:rsidR="00B051B0" w:rsidRPr="004F61AB">
        <w:t>qu</w:t>
      </w:r>
      <w:r w:rsidR="00CB3E09" w:rsidRPr="004F61AB">
        <w:t>'</w:t>
      </w:r>
      <w:r w:rsidR="00B051B0" w:rsidRPr="004F61AB">
        <w:t>il est nécessaire</w:t>
      </w:r>
      <w:r w:rsidR="00544317" w:rsidRPr="004F61AB">
        <w:t xml:space="preserve"> d</w:t>
      </w:r>
      <w:r w:rsidR="00CB3E09" w:rsidRPr="004F61AB">
        <w:t>'</w:t>
      </w:r>
      <w:r w:rsidR="00604882" w:rsidRPr="004F61AB">
        <w:t>attribuer des bandes de fréquences additionnelles</w:t>
      </w:r>
      <w:r w:rsidR="00544317" w:rsidRPr="004F61AB">
        <w:t xml:space="preserve"> au service mobile par satellite (SMS)</w:t>
      </w:r>
      <w:r w:rsidR="00490031" w:rsidRPr="004F61AB">
        <w:t xml:space="preserve"> pour </w:t>
      </w:r>
      <w:r w:rsidR="00E270A9" w:rsidRPr="004F61AB">
        <w:t>faire face au</w:t>
      </w:r>
      <w:r w:rsidR="00490031" w:rsidRPr="004F61AB">
        <w:t xml:space="preserve"> nombre croissant d</w:t>
      </w:r>
      <w:r w:rsidR="00CB3E09" w:rsidRPr="004F61AB">
        <w:t>'</w:t>
      </w:r>
      <w:r w:rsidR="00490031" w:rsidRPr="004F61AB">
        <w:t>applications et d</w:t>
      </w:r>
      <w:r w:rsidR="00CB3E09" w:rsidRPr="004F61AB">
        <w:t>'</w:t>
      </w:r>
      <w:r w:rsidR="00490031" w:rsidRPr="004F61AB">
        <w:t>utilisateurs du SMS</w:t>
      </w:r>
      <w:r w:rsidRPr="004F61AB">
        <w:t>;</w:t>
      </w:r>
    </w:p>
    <w:p w14:paraId="62460FF1" w14:textId="37CBE6EF" w:rsidR="003E5026" w:rsidRPr="004F61AB" w:rsidRDefault="003E5026" w:rsidP="00CB3E09">
      <w:r w:rsidRPr="004F61AB">
        <w:rPr>
          <w:i/>
          <w:iCs/>
        </w:rPr>
        <w:t>b)</w:t>
      </w:r>
      <w:r w:rsidRPr="004F61AB">
        <w:tab/>
      </w:r>
      <w:r w:rsidR="00967392" w:rsidRPr="004F61AB">
        <w:t>que les</w:t>
      </w:r>
      <w:r w:rsidR="009A246C" w:rsidRPr="004F61AB">
        <w:t xml:space="preserve"> </w:t>
      </w:r>
      <w:r w:rsidR="00F07F42" w:rsidRPr="004F61AB">
        <w:t xml:space="preserve">avancées </w:t>
      </w:r>
      <w:r w:rsidR="00967392" w:rsidRPr="004F61AB">
        <w:t>technologiques récent</w:t>
      </w:r>
      <w:r w:rsidR="00F07F42" w:rsidRPr="004F61AB">
        <w:t>e</w:t>
      </w:r>
      <w:r w:rsidR="00967392" w:rsidRPr="004F61AB">
        <w:t>s ont facilité l</w:t>
      </w:r>
      <w:r w:rsidR="00CB3E09" w:rsidRPr="004F61AB">
        <w:t>'</w:t>
      </w:r>
      <w:r w:rsidR="00967392" w:rsidRPr="004F61AB">
        <w:t>intégration de la connectivité mobile par satellite dans les équipements d</w:t>
      </w:r>
      <w:r w:rsidR="00CB3E09" w:rsidRPr="004F61AB">
        <w:t>'</w:t>
      </w:r>
      <w:r w:rsidR="00967392" w:rsidRPr="004F61AB">
        <w:t>utilisateur mobiles, ce qui a considérablement</w:t>
      </w:r>
      <w:r w:rsidR="009A246C" w:rsidRPr="004F61AB">
        <w:t xml:space="preserve"> </w:t>
      </w:r>
      <w:r w:rsidR="00AB58F6" w:rsidRPr="004F61AB">
        <w:t>favorisé le développement du</w:t>
      </w:r>
      <w:r w:rsidR="009A246C" w:rsidRPr="004F61AB">
        <w:t xml:space="preserve"> </w:t>
      </w:r>
      <w:r w:rsidR="00967392" w:rsidRPr="004F61AB">
        <w:t>marché des utilisateurs potentiels des services du SMS</w:t>
      </w:r>
      <w:r w:rsidRPr="004F61AB">
        <w:t>;</w:t>
      </w:r>
    </w:p>
    <w:p w14:paraId="34DE7854" w14:textId="0FABC402" w:rsidR="003E5026" w:rsidRPr="004F61AB" w:rsidRDefault="003E5026" w:rsidP="00CB3E09">
      <w:r w:rsidRPr="004F61AB">
        <w:rPr>
          <w:i/>
          <w:iCs/>
        </w:rPr>
        <w:t>c)</w:t>
      </w:r>
      <w:r w:rsidRPr="004F61AB">
        <w:tab/>
      </w:r>
      <w:r w:rsidR="00EB2D22" w:rsidRPr="004F61AB">
        <w:t>que l</w:t>
      </w:r>
      <w:r w:rsidR="00CB3E09" w:rsidRPr="004F61AB">
        <w:t>'</w:t>
      </w:r>
      <w:r w:rsidR="00EB2D22" w:rsidRPr="004F61AB">
        <w:t>intégration de la connectivité mobile par satellite dans les équipements d</w:t>
      </w:r>
      <w:r w:rsidR="00CB3E09" w:rsidRPr="004F61AB">
        <w:t>'</w:t>
      </w:r>
      <w:r w:rsidR="00EB2D22" w:rsidRPr="004F61AB">
        <w:t xml:space="preserve">utilisateur mobiles </w:t>
      </w:r>
      <w:r w:rsidR="0067002E" w:rsidRPr="004F61AB">
        <w:t xml:space="preserve">permet aux opérateurs de systèmes du SMS de fournir </w:t>
      </w:r>
      <w:r w:rsidR="00281AE1" w:rsidRPr="004F61AB">
        <w:t xml:space="preserve">aux utilisateurs finals </w:t>
      </w:r>
      <w:r w:rsidR="00AB58F6" w:rsidRPr="004F61AB">
        <w:t xml:space="preserve">un </w:t>
      </w:r>
      <w:r w:rsidR="0067002E" w:rsidRPr="004F61AB">
        <w:t xml:space="preserve">service de connectivité mobile par satellite </w:t>
      </w:r>
      <w:r w:rsidR="003B5957" w:rsidRPr="004F61AB">
        <w:t xml:space="preserve">directement vers </w:t>
      </w:r>
      <w:r w:rsidR="00AB58F6" w:rsidRPr="004F61AB">
        <w:t xml:space="preserve">le </w:t>
      </w:r>
      <w:r w:rsidR="003B5957" w:rsidRPr="004F61AB">
        <w:t>dispositif</w:t>
      </w:r>
      <w:r w:rsidR="00AB58F6" w:rsidRPr="004F61AB">
        <w:t xml:space="preserve"> (D2D)</w:t>
      </w:r>
      <w:r w:rsidR="00281AE1" w:rsidRPr="004F61AB">
        <w:t>,</w:t>
      </w:r>
      <w:r w:rsidR="003B5957" w:rsidRPr="004F61AB">
        <w:t xml:space="preserve"> </w:t>
      </w:r>
      <w:r w:rsidR="00B46CC7" w:rsidRPr="004F61AB">
        <w:t xml:space="preserve">pour compléter la couverture </w:t>
      </w:r>
      <w:r w:rsidR="005C48EF" w:rsidRPr="004F61AB">
        <w:t xml:space="preserve">par les </w:t>
      </w:r>
      <w:r w:rsidR="00452690" w:rsidRPr="004F61AB">
        <w:t>Télécommunications mobiles internationales</w:t>
      </w:r>
      <w:r w:rsidR="00452690" w:rsidRPr="004F61AB" w:rsidDel="00452690">
        <w:t xml:space="preserve"> </w:t>
      </w:r>
      <w:r w:rsidR="00452690" w:rsidRPr="004F61AB">
        <w:t>(</w:t>
      </w:r>
      <w:r w:rsidR="005C48EF" w:rsidRPr="004F61AB">
        <w:t>IMT</w:t>
      </w:r>
      <w:r w:rsidR="00452690" w:rsidRPr="004F61AB">
        <w:t>)</w:t>
      </w:r>
      <w:r w:rsidR="00BA3343" w:rsidRPr="004F61AB">
        <w:t xml:space="preserve"> </w:t>
      </w:r>
      <w:r w:rsidR="00AB58F6" w:rsidRPr="004F61AB">
        <w:t>de Terre</w:t>
      </w:r>
      <w:r w:rsidRPr="004F61AB">
        <w:t>;</w:t>
      </w:r>
    </w:p>
    <w:p w14:paraId="55BAF7F2" w14:textId="58A29E0C" w:rsidR="003E5026" w:rsidRPr="004F61AB" w:rsidRDefault="003E5026" w:rsidP="00CB3E09">
      <w:r w:rsidRPr="004F61AB">
        <w:rPr>
          <w:i/>
          <w:iCs/>
        </w:rPr>
        <w:t>d)</w:t>
      </w:r>
      <w:r w:rsidRPr="004F61AB">
        <w:tab/>
      </w:r>
      <w:r w:rsidR="000E746F" w:rsidRPr="004F61AB">
        <w:t>que la gamme des applications du SMS s</w:t>
      </w:r>
      <w:r w:rsidR="00CB3E09" w:rsidRPr="004F61AB">
        <w:t>'</w:t>
      </w:r>
      <w:r w:rsidR="000E746F" w:rsidRPr="004F61AB">
        <w:t>est considérablement élargie depuis les dernières attributions faites au SMS</w:t>
      </w:r>
      <w:r w:rsidR="009A246C" w:rsidRPr="004F61AB">
        <w:t xml:space="preserve"> </w:t>
      </w:r>
      <w:r w:rsidR="00206374" w:rsidRPr="004F61AB">
        <w:t>lors de</w:t>
      </w:r>
      <w:r w:rsidR="009A246C" w:rsidRPr="004F61AB">
        <w:t xml:space="preserve"> </w:t>
      </w:r>
      <w:r w:rsidR="000E746F" w:rsidRPr="004F61AB">
        <w:t>la CAMR-92 et</w:t>
      </w:r>
      <w:r w:rsidR="009A246C" w:rsidRPr="004F61AB">
        <w:t xml:space="preserve"> </w:t>
      </w:r>
      <w:r w:rsidR="00206374" w:rsidRPr="004F61AB">
        <w:t>de</w:t>
      </w:r>
      <w:r w:rsidR="009A246C" w:rsidRPr="004F61AB">
        <w:t xml:space="preserve"> </w:t>
      </w:r>
      <w:r w:rsidR="000E746F" w:rsidRPr="004F61AB">
        <w:t>la CMR-95</w:t>
      </w:r>
      <w:r w:rsidRPr="004F61AB">
        <w:t>;</w:t>
      </w:r>
    </w:p>
    <w:p w14:paraId="00C6D90F" w14:textId="314B04AD" w:rsidR="003E5026" w:rsidRPr="004F61AB" w:rsidRDefault="003E5026" w:rsidP="00CB3E09">
      <w:r w:rsidRPr="004F61AB">
        <w:rPr>
          <w:i/>
          <w:iCs/>
        </w:rPr>
        <w:t>e)</w:t>
      </w:r>
      <w:r w:rsidRPr="004F61AB">
        <w:tab/>
      </w:r>
      <w:r w:rsidR="00386783" w:rsidRPr="004F61AB">
        <w:t xml:space="preserve">que les attributions actuelles au SMS sont </w:t>
      </w:r>
      <w:r w:rsidR="00E968F7" w:rsidRPr="004F61AB">
        <w:t xml:space="preserve">en grande partie </w:t>
      </w:r>
      <w:r w:rsidR="0013786F" w:rsidRPr="004F61AB">
        <w:t>insuffisantes pour répondre aux besoins;</w:t>
      </w:r>
    </w:p>
    <w:p w14:paraId="6781B544" w14:textId="7590A82D" w:rsidR="003E5026" w:rsidRPr="004F61AB" w:rsidRDefault="003E5026" w:rsidP="00CB3E09">
      <w:r w:rsidRPr="004F61AB">
        <w:rPr>
          <w:i/>
          <w:iCs/>
        </w:rPr>
        <w:t>f)</w:t>
      </w:r>
      <w:r w:rsidRPr="004F61AB">
        <w:tab/>
      </w:r>
      <w:r w:rsidR="00F551A6" w:rsidRPr="004F61AB">
        <w:t>que les bandes de fréquences 2 500-2 520 MHz et 2 670-2 690 MHz sont attribuées respectivement au SMS (espace vers Terre) et au SMS (Terre vers espace) dans la Région 3 de l</w:t>
      </w:r>
      <w:r w:rsidR="00CB3E09" w:rsidRPr="004F61AB">
        <w:t>'</w:t>
      </w:r>
      <w:r w:rsidR="00F551A6" w:rsidRPr="004F61AB">
        <w:t>UIT-R</w:t>
      </w:r>
      <w:r w:rsidRPr="004F61AB">
        <w:t>,</w:t>
      </w:r>
    </w:p>
    <w:p w14:paraId="7613E0F8" w14:textId="77777777" w:rsidR="003E5026" w:rsidRPr="004F61AB" w:rsidRDefault="003E5026" w:rsidP="00CB3E09">
      <w:pPr>
        <w:pStyle w:val="Call"/>
      </w:pPr>
      <w:r w:rsidRPr="004F61AB">
        <w:t>notant</w:t>
      </w:r>
    </w:p>
    <w:p w14:paraId="73AA8BA4" w14:textId="64303131" w:rsidR="003E5026" w:rsidRPr="004F61AB" w:rsidRDefault="003E5026" w:rsidP="00CB3E09">
      <w:r w:rsidRPr="004F61AB">
        <w:rPr>
          <w:i/>
          <w:iCs/>
        </w:rPr>
        <w:t>a)</w:t>
      </w:r>
      <w:r w:rsidRPr="004F61AB">
        <w:tab/>
      </w:r>
      <w:r w:rsidR="00682B01" w:rsidRPr="004F61AB">
        <w:t>qu</w:t>
      </w:r>
      <w:r w:rsidR="00E968F7" w:rsidRPr="004F61AB">
        <w:t>'il est indiqué dans</w:t>
      </w:r>
      <w:r w:rsidR="009A246C" w:rsidRPr="004F61AB">
        <w:t xml:space="preserve"> </w:t>
      </w:r>
      <w:r w:rsidR="00682B01" w:rsidRPr="004F61AB">
        <w:t xml:space="preserve">le </w:t>
      </w:r>
      <w:r w:rsidR="009A246C" w:rsidRPr="004F61AB">
        <w:t>R</w:t>
      </w:r>
      <w:r w:rsidR="00682B01" w:rsidRPr="004F61AB">
        <w:t xml:space="preserve">apport UIT-R M.2077 </w:t>
      </w:r>
      <w:r w:rsidR="00E968F7" w:rsidRPr="004F61AB">
        <w:t xml:space="preserve">qu'il existe </w:t>
      </w:r>
      <w:r w:rsidR="00682B01" w:rsidRPr="004F61AB">
        <w:t xml:space="preserve">une pénurie de spectre disponible pour la composante satellite des IMT et les systèmes postérieurs aux IMT-2000 de plus de 144 MHz </w:t>
      </w:r>
      <w:r w:rsidR="00761735" w:rsidRPr="004F61AB">
        <w:t xml:space="preserve">dans le sens </w:t>
      </w:r>
      <w:r w:rsidR="00682B01" w:rsidRPr="004F61AB">
        <w:t xml:space="preserve">espace vers Terre et </w:t>
      </w:r>
      <w:r w:rsidR="00466B13" w:rsidRPr="004F61AB">
        <w:t xml:space="preserve">de </w:t>
      </w:r>
      <w:r w:rsidR="00682B01" w:rsidRPr="004F61AB">
        <w:t>plus de 19</w:t>
      </w:r>
      <w:r w:rsidR="00466B13" w:rsidRPr="004F61AB">
        <w:t> </w:t>
      </w:r>
      <w:r w:rsidR="00682B01" w:rsidRPr="004F61AB">
        <w:t xml:space="preserve">MHz </w:t>
      </w:r>
      <w:r w:rsidR="00761735" w:rsidRPr="004F61AB">
        <w:t xml:space="preserve">dans le sens </w:t>
      </w:r>
      <w:r w:rsidR="00682B01" w:rsidRPr="004F61AB">
        <w:t>Terre vers espace</w:t>
      </w:r>
      <w:r w:rsidRPr="004F61AB">
        <w:t>;</w:t>
      </w:r>
    </w:p>
    <w:p w14:paraId="70BC1507" w14:textId="3F3A5A70" w:rsidR="003E5026" w:rsidRPr="004F61AB" w:rsidRDefault="003E5026" w:rsidP="00CB3E09">
      <w:r w:rsidRPr="004F61AB">
        <w:rPr>
          <w:i/>
          <w:iCs/>
        </w:rPr>
        <w:t>b)</w:t>
      </w:r>
      <w:r w:rsidRPr="004F61AB">
        <w:tab/>
      </w:r>
      <w:r w:rsidR="00A73620" w:rsidRPr="004F61AB">
        <w:t xml:space="preserve">que, selon les estimations du </w:t>
      </w:r>
      <w:r w:rsidR="009A246C" w:rsidRPr="004F61AB">
        <w:t>R</w:t>
      </w:r>
      <w:r w:rsidR="00A73620" w:rsidRPr="004F61AB">
        <w:t xml:space="preserve">apport UIT-R M.2218, </w:t>
      </w:r>
      <w:r w:rsidR="00E968F7" w:rsidRPr="004F61AB">
        <w:t>la quantité</w:t>
      </w:r>
      <w:r w:rsidR="00A73620" w:rsidRPr="004F61AB">
        <w:t xml:space="preserve"> de spectre </w:t>
      </w:r>
      <w:r w:rsidR="00E968F7" w:rsidRPr="004F61AB">
        <w:t>nécessaire</w:t>
      </w:r>
      <w:r w:rsidR="009A246C" w:rsidRPr="004F61AB">
        <w:t xml:space="preserve"> </w:t>
      </w:r>
      <w:r w:rsidR="00A73620" w:rsidRPr="004F61AB">
        <w:t xml:space="preserve">dans la gamme de fréquences 4-16 GHz pour les applications large bande du SMS </w:t>
      </w:r>
      <w:r w:rsidR="00E968F7" w:rsidRPr="004F61AB">
        <w:t>serait</w:t>
      </w:r>
      <w:r w:rsidR="009A246C" w:rsidRPr="004F61AB">
        <w:t xml:space="preserve"> </w:t>
      </w:r>
      <w:r w:rsidR="00E968F7" w:rsidRPr="004F61AB">
        <w:t xml:space="preserve">comprise </w:t>
      </w:r>
      <w:r w:rsidR="00A73620" w:rsidRPr="004F61AB">
        <w:t>entre 240</w:t>
      </w:r>
      <w:r w:rsidR="008A1B8A" w:rsidRPr="004F61AB">
        <w:t> </w:t>
      </w:r>
      <w:r w:rsidR="00A73620" w:rsidRPr="004F61AB">
        <w:t>MHz et 355</w:t>
      </w:r>
      <w:r w:rsidR="008A1B8A" w:rsidRPr="004F61AB">
        <w:t> </w:t>
      </w:r>
      <w:r w:rsidR="00A73620" w:rsidRPr="004F61AB">
        <w:t>MHz</w:t>
      </w:r>
      <w:r w:rsidRPr="004F61AB">
        <w:t>;</w:t>
      </w:r>
    </w:p>
    <w:p w14:paraId="7A7F9085" w14:textId="283D54B0" w:rsidR="003E5026" w:rsidRPr="004F61AB" w:rsidRDefault="003E5026" w:rsidP="00CB3E09">
      <w:r w:rsidRPr="004F61AB">
        <w:rPr>
          <w:i/>
          <w:iCs/>
        </w:rPr>
        <w:t>c)</w:t>
      </w:r>
      <w:r w:rsidRPr="004F61AB">
        <w:tab/>
      </w:r>
      <w:r w:rsidR="0016067F" w:rsidRPr="004F61AB">
        <w:t>que la Recommandation UIT-R M.1167 a</w:t>
      </w:r>
      <w:r w:rsidR="009A246C" w:rsidRPr="004F61AB">
        <w:t xml:space="preserve"> </w:t>
      </w:r>
      <w:r w:rsidR="00452690" w:rsidRPr="004F61AB">
        <w:t xml:space="preserve">établi </w:t>
      </w:r>
      <w:r w:rsidR="0016067F" w:rsidRPr="004F61AB">
        <w:t>un cadre pour la composante satellite des</w:t>
      </w:r>
      <w:r w:rsidR="009A246C" w:rsidRPr="004F61AB">
        <w:t xml:space="preserve"> </w:t>
      </w:r>
      <w:r w:rsidR="0016067F" w:rsidRPr="004F61AB">
        <w:t>IMT-2000</w:t>
      </w:r>
      <w:r w:rsidRPr="004F61AB">
        <w:t>;</w:t>
      </w:r>
    </w:p>
    <w:p w14:paraId="0AD83C93" w14:textId="548FDE09" w:rsidR="003E5026" w:rsidRPr="004F61AB" w:rsidRDefault="003E5026" w:rsidP="00CB3E09">
      <w:r w:rsidRPr="004F61AB">
        <w:rPr>
          <w:i/>
          <w:iCs/>
        </w:rPr>
        <w:t>d)</w:t>
      </w:r>
      <w:r w:rsidRPr="004F61AB">
        <w:tab/>
      </w:r>
      <w:r w:rsidR="00123F9C" w:rsidRPr="004F61AB">
        <w:t>que la Recommandation UIT-R M.818-2 définit les conditions d</w:t>
      </w:r>
      <w:r w:rsidR="00CB3E09" w:rsidRPr="004F61AB">
        <w:t>'</w:t>
      </w:r>
      <w:r w:rsidR="00123F9C" w:rsidRPr="004F61AB">
        <w:t>exploitation des satellites dans le cadre des</w:t>
      </w:r>
      <w:r w:rsidR="009A246C" w:rsidRPr="004F61AB">
        <w:t xml:space="preserve"> </w:t>
      </w:r>
      <w:r w:rsidR="00123F9C" w:rsidRPr="004F61AB">
        <w:t>IMT-2000</w:t>
      </w:r>
      <w:r w:rsidRPr="004F61AB">
        <w:t>;</w:t>
      </w:r>
    </w:p>
    <w:p w14:paraId="2498896D" w14:textId="0379AEC1" w:rsidR="003E5026" w:rsidRPr="004F61AB" w:rsidRDefault="003E5026" w:rsidP="00CB3E09">
      <w:r w:rsidRPr="004F61AB">
        <w:rPr>
          <w:i/>
          <w:iCs/>
        </w:rPr>
        <w:t>e)</w:t>
      </w:r>
      <w:r w:rsidRPr="004F61AB">
        <w:tab/>
      </w:r>
      <w:r w:rsidR="00025B72" w:rsidRPr="004F61AB">
        <w:t>que la Recommandation UIT-R M.1182-1 définit différents niveaux d</w:t>
      </w:r>
      <w:r w:rsidR="00CB3E09" w:rsidRPr="004F61AB">
        <w:t>'</w:t>
      </w:r>
      <w:r w:rsidR="00025B72" w:rsidRPr="004F61AB">
        <w:t>architecture</w:t>
      </w:r>
      <w:r w:rsidR="009A246C" w:rsidRPr="004F61AB">
        <w:t xml:space="preserve"> </w:t>
      </w:r>
      <w:r w:rsidR="00452690" w:rsidRPr="004F61AB">
        <w:t xml:space="preserve">en vue de </w:t>
      </w:r>
      <w:r w:rsidR="00025B72" w:rsidRPr="004F61AB">
        <w:t>l</w:t>
      </w:r>
      <w:r w:rsidR="00CB3E09" w:rsidRPr="004F61AB">
        <w:t>'</w:t>
      </w:r>
      <w:r w:rsidR="00025B72" w:rsidRPr="004F61AB">
        <w:t>intégration des systèmes du SMS dans les réseaux cellulaires de Terre</w:t>
      </w:r>
      <w:r w:rsidRPr="004F61AB">
        <w:t>;</w:t>
      </w:r>
    </w:p>
    <w:p w14:paraId="0ADCF304" w14:textId="3CAC556D" w:rsidR="003E5026" w:rsidRPr="004F61AB" w:rsidRDefault="003E5026" w:rsidP="00CB3E09">
      <w:r w:rsidRPr="004F61AB">
        <w:rPr>
          <w:i/>
          <w:iCs/>
        </w:rPr>
        <w:t>f)</w:t>
      </w:r>
      <w:r w:rsidRPr="004F61AB">
        <w:tab/>
      </w:r>
      <w:r w:rsidR="009B4B7A" w:rsidRPr="004F61AB">
        <w:t xml:space="preserve">que la Recommandation UIT-R M.816-1 a établi, à titre </w:t>
      </w:r>
      <w:r w:rsidR="00F20852" w:rsidRPr="004F61AB">
        <w:t xml:space="preserve">de </w:t>
      </w:r>
      <w:r w:rsidR="00D42439" w:rsidRPr="004F61AB">
        <w:t xml:space="preserve">prescription générale en matière </w:t>
      </w:r>
      <w:r w:rsidR="009B4B7A" w:rsidRPr="004F61AB">
        <w:t>d</w:t>
      </w:r>
      <w:r w:rsidR="00CB3E09" w:rsidRPr="004F61AB">
        <w:t>'</w:t>
      </w:r>
      <w:r w:rsidR="009B4B7A" w:rsidRPr="004F61AB">
        <w:t xml:space="preserve">accès, que les IMT-2000 </w:t>
      </w:r>
      <w:r w:rsidR="00073029" w:rsidRPr="004F61AB">
        <w:t xml:space="preserve">devraient </w:t>
      </w:r>
      <w:r w:rsidR="00002913" w:rsidRPr="004F61AB">
        <w:t>permettre une exploitation directe ou indirecte</w:t>
      </w:r>
      <w:r w:rsidR="00002913" w:rsidRPr="004F61AB" w:rsidDel="00002913">
        <w:t xml:space="preserve"> </w:t>
      </w:r>
      <w:r w:rsidR="009B4B7A" w:rsidRPr="004F61AB">
        <w:t>par satellite et que les terminaux mobiles des</w:t>
      </w:r>
      <w:r w:rsidR="009A246C" w:rsidRPr="004F61AB">
        <w:t xml:space="preserve"> </w:t>
      </w:r>
      <w:r w:rsidR="009B4B7A" w:rsidRPr="004F61AB">
        <w:t>IMT-2000</w:t>
      </w:r>
      <w:r w:rsidR="009A246C" w:rsidRPr="004F61AB">
        <w:t xml:space="preserve"> </w:t>
      </w:r>
      <w:r w:rsidR="00002913" w:rsidRPr="004F61AB">
        <w:t xml:space="preserve">pouvaient </w:t>
      </w:r>
      <w:r w:rsidR="009B4B7A" w:rsidRPr="004F61AB">
        <w:t>être utilisés pour</w:t>
      </w:r>
      <w:r w:rsidR="009A246C" w:rsidRPr="004F61AB">
        <w:t xml:space="preserve"> </w:t>
      </w:r>
      <w:r w:rsidR="009B4B7A" w:rsidRPr="004F61AB">
        <w:t xml:space="preserve">accéder aux systèmes </w:t>
      </w:r>
      <w:r w:rsidR="00002913" w:rsidRPr="004F61AB">
        <w:t xml:space="preserve">à </w:t>
      </w:r>
      <w:r w:rsidR="009B4B7A" w:rsidRPr="004F61AB">
        <w:t>satellite</w:t>
      </w:r>
      <w:r w:rsidR="00002913" w:rsidRPr="004F61AB">
        <w:t>s mobiles</w:t>
      </w:r>
      <w:r w:rsidR="009A246C" w:rsidRPr="004F61AB">
        <w:t xml:space="preserve"> </w:t>
      </w:r>
      <w:r w:rsidR="009B4B7A" w:rsidRPr="004F61AB">
        <w:t>à des fins d</w:t>
      </w:r>
      <w:r w:rsidR="00CB3E09" w:rsidRPr="004F61AB">
        <w:t>'</w:t>
      </w:r>
      <w:r w:rsidR="009B4B7A" w:rsidRPr="004F61AB">
        <w:t>utilisation au sol,</w:t>
      </w:r>
      <w:r w:rsidR="009A246C" w:rsidRPr="004F61AB">
        <w:t xml:space="preserve"> </w:t>
      </w:r>
      <w:r w:rsidR="009B4B7A" w:rsidRPr="004F61AB">
        <w:t>à bord de navires ou d</w:t>
      </w:r>
      <w:r w:rsidR="00CB3E09" w:rsidRPr="004F61AB">
        <w:t>'</w:t>
      </w:r>
      <w:r w:rsidR="009B4B7A" w:rsidRPr="004F61AB">
        <w:t>aéronefs</w:t>
      </w:r>
      <w:r w:rsidRPr="004F61AB">
        <w:t>,</w:t>
      </w:r>
    </w:p>
    <w:p w14:paraId="5963A0D1" w14:textId="77777777" w:rsidR="003E5026" w:rsidRPr="004F61AB" w:rsidRDefault="003E5026" w:rsidP="00CB3E09">
      <w:pPr>
        <w:pStyle w:val="Call"/>
      </w:pPr>
      <w:r w:rsidRPr="004F61AB">
        <w:lastRenderedPageBreak/>
        <w:t>reconnaissant</w:t>
      </w:r>
    </w:p>
    <w:p w14:paraId="5E1D4CE3" w14:textId="0844A45A" w:rsidR="003E5026" w:rsidRPr="004F61AB" w:rsidRDefault="003E5026" w:rsidP="00CB3E09">
      <w:r w:rsidRPr="004F61AB">
        <w:rPr>
          <w:i/>
          <w:iCs/>
        </w:rPr>
        <w:t>a)</w:t>
      </w:r>
      <w:r w:rsidRPr="004F61AB">
        <w:tab/>
      </w:r>
      <w:r w:rsidR="00DE656E" w:rsidRPr="004F61AB">
        <w:t>qu</w:t>
      </w:r>
      <w:r w:rsidR="00CB3E09" w:rsidRPr="004F61AB">
        <w:t>'</w:t>
      </w:r>
      <w:r w:rsidR="00DE656E" w:rsidRPr="004F61AB">
        <w:t xml:space="preserve">en raison de la croissance de la demande de systèmes </w:t>
      </w:r>
      <w:r w:rsidR="00F328B0" w:rsidRPr="004F61AB">
        <w:t xml:space="preserve">à </w:t>
      </w:r>
      <w:r w:rsidR="00DE656E" w:rsidRPr="004F61AB">
        <w:t>satellite</w:t>
      </w:r>
      <w:r w:rsidR="00F328B0" w:rsidRPr="004F61AB">
        <w:t>s mobiles</w:t>
      </w:r>
      <w:r w:rsidR="009A246C" w:rsidRPr="004F61AB">
        <w:t>,</w:t>
      </w:r>
      <w:r w:rsidR="00DE656E" w:rsidRPr="004F61AB">
        <w:t xml:space="preserve"> il est difficile </w:t>
      </w:r>
      <w:r w:rsidR="00F328B0" w:rsidRPr="004F61AB">
        <w:t xml:space="preserve">de maintenir </w:t>
      </w:r>
      <w:r w:rsidR="00DE656E" w:rsidRPr="004F61AB">
        <w:t xml:space="preserve">des services du SMS à long terme dans les bandes </w:t>
      </w:r>
      <w:r w:rsidR="00344769" w:rsidRPr="004F61AB">
        <w:t xml:space="preserve">de fréquences </w:t>
      </w:r>
      <w:r w:rsidR="00DE656E" w:rsidRPr="004F61AB">
        <w:t>existantes</w:t>
      </w:r>
      <w:r w:rsidRPr="004F61AB">
        <w:t>;</w:t>
      </w:r>
    </w:p>
    <w:p w14:paraId="2D20F220" w14:textId="23483F1A" w:rsidR="003E5026" w:rsidRPr="004F61AB" w:rsidRDefault="003E5026" w:rsidP="00CB3E09">
      <w:r w:rsidRPr="004F61AB">
        <w:rPr>
          <w:i/>
          <w:iCs/>
        </w:rPr>
        <w:t>b)</w:t>
      </w:r>
      <w:r w:rsidRPr="004F61AB">
        <w:tab/>
      </w:r>
      <w:r w:rsidR="00044B94" w:rsidRPr="004F61AB">
        <w:t xml:space="preserve">que les systèmes </w:t>
      </w:r>
      <w:r w:rsidR="00F328B0" w:rsidRPr="004F61AB">
        <w:t xml:space="preserve">à </w:t>
      </w:r>
      <w:r w:rsidR="00044B94" w:rsidRPr="004F61AB">
        <w:t>satellite</w:t>
      </w:r>
      <w:r w:rsidR="00F328B0" w:rsidRPr="004F61AB">
        <w:t>s</w:t>
      </w:r>
      <w:r w:rsidR="00044B94" w:rsidRPr="004F61AB">
        <w:t xml:space="preserve"> </w:t>
      </w:r>
      <w:r w:rsidR="00F328B0" w:rsidRPr="004F61AB">
        <w:t xml:space="preserve">mobiles </w:t>
      </w:r>
      <w:r w:rsidR="00044B94" w:rsidRPr="004F61AB">
        <w:t xml:space="preserve">mettant en </w:t>
      </w:r>
      <w:r w:rsidR="001F49CA" w:rsidRPr="004F61AB">
        <w:t>œ</w:t>
      </w:r>
      <w:r w:rsidR="00044B94" w:rsidRPr="004F61AB">
        <w:t xml:space="preserve">uvre diverses applications </w:t>
      </w:r>
      <w:r w:rsidR="00F328B0" w:rsidRPr="004F61AB">
        <w:t>pour</w:t>
      </w:r>
      <w:r w:rsidR="009A246C" w:rsidRPr="004F61AB">
        <w:t xml:space="preserve"> </w:t>
      </w:r>
      <w:r w:rsidR="00044B94" w:rsidRPr="004F61AB">
        <w:t>les communautés des zones isolées ou mal desservies ont besoin de</w:t>
      </w:r>
      <w:r w:rsidR="009A246C" w:rsidRPr="004F61AB">
        <w:t xml:space="preserve"> </w:t>
      </w:r>
      <w:r w:rsidR="00F328B0" w:rsidRPr="004F61AB">
        <w:t>bandes de fréquences additionnelles</w:t>
      </w:r>
      <w:r w:rsidR="009A246C" w:rsidRPr="004F61AB">
        <w:t>;</w:t>
      </w:r>
    </w:p>
    <w:p w14:paraId="63F58978" w14:textId="25A97B06" w:rsidR="003E5026" w:rsidRPr="004F61AB" w:rsidRDefault="00E06586" w:rsidP="00CB3E09">
      <w:r w:rsidRPr="004F61AB">
        <w:rPr>
          <w:i/>
          <w:iCs/>
        </w:rPr>
        <w:t>c</w:t>
      </w:r>
      <w:r w:rsidR="003E5026" w:rsidRPr="004F61AB">
        <w:rPr>
          <w:i/>
          <w:iCs/>
        </w:rPr>
        <w:t>)</w:t>
      </w:r>
      <w:r w:rsidR="003E5026" w:rsidRPr="004F61AB">
        <w:tab/>
      </w:r>
      <w:r w:rsidR="000F5065" w:rsidRPr="004F61AB">
        <w:t>que la mise au point [d</w:t>
      </w:r>
      <w:r w:rsidR="00CB3E09" w:rsidRPr="004F61AB">
        <w:t>'</w:t>
      </w:r>
      <w:r w:rsidR="000F5065" w:rsidRPr="004F61AB">
        <w:t>équipements mobiles grand public/</w:t>
      </w:r>
      <w:r w:rsidR="00F328B0" w:rsidRPr="004F61AB">
        <w:t>d</w:t>
      </w:r>
      <w:r w:rsidR="00CB3E09" w:rsidRPr="004F61AB">
        <w:t>'</w:t>
      </w:r>
      <w:r w:rsidR="00F328B0" w:rsidRPr="004F61AB">
        <w:t xml:space="preserve">équipements </w:t>
      </w:r>
      <w:r w:rsidR="000F5065" w:rsidRPr="004F61AB">
        <w:t>d</w:t>
      </w:r>
      <w:r w:rsidR="00CB3E09" w:rsidRPr="004F61AB">
        <w:t>'</w:t>
      </w:r>
      <w:r w:rsidR="000F5065" w:rsidRPr="004F61AB">
        <w:t>utilisateur mobiles] permettant d</w:t>
      </w:r>
      <w:r w:rsidR="00CB3E09" w:rsidRPr="004F61AB">
        <w:t>'</w:t>
      </w:r>
      <w:r w:rsidR="000F5065" w:rsidRPr="004F61AB">
        <w:t>accéder aux</w:t>
      </w:r>
      <w:r w:rsidR="009A246C" w:rsidRPr="004F61AB">
        <w:t xml:space="preserve"> </w:t>
      </w:r>
      <w:r w:rsidR="000F5065" w:rsidRPr="004F61AB">
        <w:t>systèmes</w:t>
      </w:r>
      <w:r w:rsidR="009A246C" w:rsidRPr="004F61AB">
        <w:t xml:space="preserve"> </w:t>
      </w:r>
      <w:r w:rsidR="00F328B0" w:rsidRPr="004F61AB">
        <w:t>à</w:t>
      </w:r>
      <w:r w:rsidR="009A246C" w:rsidRPr="004F61AB">
        <w:t xml:space="preserve"> </w:t>
      </w:r>
      <w:r w:rsidR="000F5065" w:rsidRPr="004F61AB">
        <w:t>satellite</w:t>
      </w:r>
      <w:r w:rsidR="00F328B0" w:rsidRPr="004F61AB">
        <w:t>s</w:t>
      </w:r>
      <w:r w:rsidR="000F5065" w:rsidRPr="004F61AB">
        <w:t xml:space="preserve"> </w:t>
      </w:r>
      <w:r w:rsidR="00F328B0" w:rsidRPr="004F61AB">
        <w:t xml:space="preserve">mobiles </w:t>
      </w:r>
      <w:r w:rsidR="000F5065" w:rsidRPr="004F61AB">
        <w:t xml:space="preserve">entraîne une croissance inattendue de la </w:t>
      </w:r>
      <w:r w:rsidRPr="004F61AB">
        <w:t xml:space="preserve">nouvelle </w:t>
      </w:r>
      <w:r w:rsidR="000F5065" w:rsidRPr="004F61AB">
        <w:t>demande de trafic</w:t>
      </w:r>
      <w:r w:rsidR="003E5026" w:rsidRPr="004F61AB">
        <w:t>;</w:t>
      </w:r>
    </w:p>
    <w:p w14:paraId="267ACAD9" w14:textId="6E2B1E7B" w:rsidR="00E06586" w:rsidRPr="004F61AB" w:rsidRDefault="00E06586" w:rsidP="00CB3E09">
      <w:r w:rsidRPr="004F61AB">
        <w:rPr>
          <w:i/>
          <w:iCs/>
        </w:rPr>
        <w:t>d</w:t>
      </w:r>
      <w:r w:rsidR="003E5026" w:rsidRPr="004F61AB">
        <w:rPr>
          <w:i/>
          <w:iCs/>
        </w:rPr>
        <w:t>)</w:t>
      </w:r>
      <w:r w:rsidR="003E5026" w:rsidRPr="004F61AB">
        <w:tab/>
      </w:r>
      <w:r w:rsidR="005E0302" w:rsidRPr="004F61AB">
        <w:t>qu</w:t>
      </w:r>
      <w:r w:rsidR="00CB3E09" w:rsidRPr="004F61AB">
        <w:t>'</w:t>
      </w:r>
      <w:r w:rsidR="005E0302" w:rsidRPr="004F61AB">
        <w:t>il</w:t>
      </w:r>
      <w:r w:rsidR="009A246C" w:rsidRPr="004F61AB">
        <w:t xml:space="preserve"> </w:t>
      </w:r>
      <w:r w:rsidRPr="004F61AB">
        <w:t xml:space="preserve">faudra </w:t>
      </w:r>
      <w:r w:rsidR="005E0302" w:rsidRPr="004F61AB">
        <w:t>peut-être envisager une harmonisation à l</w:t>
      </w:r>
      <w:r w:rsidR="00CB3E09" w:rsidRPr="004F61AB">
        <w:t>'</w:t>
      </w:r>
      <w:r w:rsidR="005E0302" w:rsidRPr="004F61AB">
        <w:t xml:space="preserve">échelle mondiale de certaines attributions régionales au SMS, compte tenu </w:t>
      </w:r>
      <w:r w:rsidRPr="004F61AB">
        <w:t>du caractère</w:t>
      </w:r>
      <w:r w:rsidR="005E0302" w:rsidRPr="004F61AB">
        <w:t xml:space="preserve"> mondial</w:t>
      </w:r>
      <w:r w:rsidR="009A246C" w:rsidRPr="004F61AB">
        <w:t xml:space="preserve"> </w:t>
      </w:r>
      <w:r w:rsidR="005E0302" w:rsidRPr="004F61AB">
        <w:t>des systèmes du SMS</w:t>
      </w:r>
      <w:r w:rsidRPr="004F61AB">
        <w:t>;</w:t>
      </w:r>
    </w:p>
    <w:p w14:paraId="5DA7A43F" w14:textId="548735E3" w:rsidR="003E5026" w:rsidRPr="004F61AB" w:rsidRDefault="00E06586" w:rsidP="00CB3E09">
      <w:r w:rsidRPr="004F61AB">
        <w:rPr>
          <w:i/>
          <w:iCs/>
        </w:rPr>
        <w:t>e)</w:t>
      </w:r>
      <w:r w:rsidR="001F49CA" w:rsidRPr="004F61AB">
        <w:tab/>
      </w:r>
      <w:r w:rsidRPr="004F61AB">
        <w:t>qu'une nouvelle attribution au SMS serait conforme à l'objectif de l'UIT consistant à promouvoir l'accès aux services de télécommunication, en particulier dans les zones isolées et rurales,</w:t>
      </w:r>
    </w:p>
    <w:p w14:paraId="6D49F0B3" w14:textId="727985AB" w:rsidR="003E5026" w:rsidRPr="004F61AB" w:rsidRDefault="003E5026" w:rsidP="00CB3E09">
      <w:pPr>
        <w:pStyle w:val="Call"/>
      </w:pPr>
      <w:r w:rsidRPr="004F61AB">
        <w:t>décide d'inviter le Secteur des radiocommunications de l'UIT</w:t>
      </w:r>
    </w:p>
    <w:p w14:paraId="7ABE913A" w14:textId="7ED8FDE0" w:rsidR="00B85D07" w:rsidRPr="004F61AB" w:rsidRDefault="00B85D07" w:rsidP="00CB3E09">
      <w:r w:rsidRPr="004F61AB">
        <w:t>à achever, à temps pour la CMR-27, les études sur la possibilité de faire de</w:t>
      </w:r>
      <w:r w:rsidR="00E06586" w:rsidRPr="004F61AB">
        <w:t xml:space="preserve"> nouvelle</w:t>
      </w:r>
      <w:r w:rsidRPr="004F61AB">
        <w:t>s attributions à titre primaire</w:t>
      </w:r>
      <w:r w:rsidR="009A246C" w:rsidRPr="004F61AB">
        <w:t xml:space="preserve"> </w:t>
      </w:r>
      <w:r w:rsidR="00E06586" w:rsidRPr="004F61AB">
        <w:t xml:space="preserve">au SMS </w:t>
      </w:r>
      <w:r w:rsidRPr="004F61AB">
        <w:t>dans les bandes de fréquences suivantes au-dessous de 5</w:t>
      </w:r>
      <w:r w:rsidR="000353EF" w:rsidRPr="004F61AB">
        <w:t> </w:t>
      </w:r>
      <w:r w:rsidRPr="004F61AB">
        <w:t>GHz, compte tenu du partage</w:t>
      </w:r>
      <w:r w:rsidR="00E06586" w:rsidRPr="004F61AB">
        <w:t>, de la compatibilité</w:t>
      </w:r>
      <w:r w:rsidRPr="004F61AB">
        <w:t xml:space="preserve"> et de la protection des attributions existantes dans les bandes </w:t>
      </w:r>
      <w:r w:rsidR="00483718" w:rsidRPr="004F61AB">
        <w:t xml:space="preserve">de fréquences </w:t>
      </w:r>
      <w:r w:rsidR="00E06586" w:rsidRPr="004F61AB">
        <w:t xml:space="preserve">en question: </w:t>
      </w:r>
    </w:p>
    <w:p w14:paraId="48A40255" w14:textId="74EEB829" w:rsidR="003E5026" w:rsidRPr="004F61AB" w:rsidRDefault="003E5026" w:rsidP="00CB3E09">
      <w:pPr>
        <w:pStyle w:val="enumlev1"/>
      </w:pPr>
      <w:r w:rsidRPr="004F61AB">
        <w:t>–</w:t>
      </w:r>
      <w:r w:rsidRPr="004F61AB">
        <w:tab/>
      </w:r>
      <w:r w:rsidR="00F03D03" w:rsidRPr="004F61AB">
        <w:t>1 427-1 517 MHz (espace vers Terre/Terre vers espace) ou</w:t>
      </w:r>
      <w:r w:rsidR="009A246C" w:rsidRPr="004F61AB">
        <w:t xml:space="preserve"> </w:t>
      </w:r>
      <w:r w:rsidR="00F03D03" w:rsidRPr="004F61AB">
        <w:t>parties de cette bande</w:t>
      </w:r>
      <w:r w:rsidR="00483718" w:rsidRPr="004F61AB">
        <w:t xml:space="preserve"> de fréquences</w:t>
      </w:r>
      <w:r w:rsidRPr="004F61AB">
        <w:t>;</w:t>
      </w:r>
    </w:p>
    <w:p w14:paraId="56FA58A9" w14:textId="1491ED07" w:rsidR="003E5026" w:rsidRPr="004F61AB" w:rsidRDefault="003E5026" w:rsidP="00CB3E09">
      <w:pPr>
        <w:pStyle w:val="enumlev1"/>
      </w:pPr>
      <w:r w:rsidRPr="004F61AB">
        <w:t>–</w:t>
      </w:r>
      <w:r w:rsidRPr="004F61AB">
        <w:tab/>
      </w:r>
      <w:r w:rsidR="002131D0" w:rsidRPr="004F61AB">
        <w:t>toute autre bande de fréquences appropriée identifiée pour les IMT au-dessous de 5 GHz</w:t>
      </w:r>
      <w:r w:rsidRPr="004F61AB">
        <w:t>,</w:t>
      </w:r>
    </w:p>
    <w:p w14:paraId="5D2826CE" w14:textId="77777777" w:rsidR="003E5026" w:rsidRPr="004F61AB" w:rsidRDefault="003E5026" w:rsidP="00CB3E09">
      <w:pPr>
        <w:pStyle w:val="Call"/>
      </w:pPr>
      <w:r w:rsidRPr="004F61AB">
        <w:t>invite la Conférence mondiale des radiocommunications de 2027</w:t>
      </w:r>
    </w:p>
    <w:p w14:paraId="68659DC0" w14:textId="35403A80" w:rsidR="003E5026" w:rsidRPr="004F61AB" w:rsidRDefault="00AA1D71" w:rsidP="00CB3E09">
      <w:r w:rsidRPr="004F61AB">
        <w:t xml:space="preserve">à examiner, sur la base des études menées au titre du </w:t>
      </w:r>
      <w:r w:rsidRPr="004F61AB">
        <w:rPr>
          <w:i/>
          <w:iCs/>
        </w:rPr>
        <w:t>décide d</w:t>
      </w:r>
      <w:r w:rsidR="00CB3E09" w:rsidRPr="004F61AB">
        <w:rPr>
          <w:i/>
          <w:iCs/>
        </w:rPr>
        <w:t>'</w:t>
      </w:r>
      <w:r w:rsidRPr="004F61AB">
        <w:rPr>
          <w:i/>
          <w:iCs/>
        </w:rPr>
        <w:t>inviter le Secteur des radiocommunications de l</w:t>
      </w:r>
      <w:r w:rsidR="00CB3E09" w:rsidRPr="004F61AB">
        <w:rPr>
          <w:i/>
          <w:iCs/>
        </w:rPr>
        <w:t>'</w:t>
      </w:r>
      <w:r w:rsidRPr="004F61AB">
        <w:rPr>
          <w:i/>
          <w:iCs/>
        </w:rPr>
        <w:t>UIT</w:t>
      </w:r>
      <w:r w:rsidRPr="004F61AB">
        <w:t xml:space="preserve"> ci-dessus, des attributions appropriées et les conditions réglementaires associées pour le SMS, tout en assurant la protection des services primaires existants</w:t>
      </w:r>
      <w:r w:rsidR="003E5026" w:rsidRPr="004F61AB">
        <w:t>,</w:t>
      </w:r>
    </w:p>
    <w:p w14:paraId="1D61C4B1" w14:textId="77777777" w:rsidR="003E5026" w:rsidRPr="004F61AB" w:rsidRDefault="003E5026" w:rsidP="00CB3E09">
      <w:pPr>
        <w:pStyle w:val="Call"/>
      </w:pPr>
      <w:r w:rsidRPr="004F61AB">
        <w:t>invite les administrations</w:t>
      </w:r>
    </w:p>
    <w:p w14:paraId="45C7836E" w14:textId="2853D588" w:rsidR="003E5026" w:rsidRPr="004F61AB" w:rsidRDefault="00636020" w:rsidP="009A246C">
      <w:r w:rsidRPr="004F61AB">
        <w:t xml:space="preserve">à participer aux études en soumettant des contributions </w:t>
      </w:r>
      <w:r w:rsidR="007803F9" w:rsidRPr="004F61AB">
        <w:t>au Secteur des radiocommunications de l</w:t>
      </w:r>
      <w:r w:rsidR="00CB3E09" w:rsidRPr="004F61AB">
        <w:t>'</w:t>
      </w:r>
      <w:r w:rsidR="007803F9" w:rsidRPr="004F61AB">
        <w:t>UIT</w:t>
      </w:r>
      <w:r w:rsidR="009A246C" w:rsidRPr="004F61AB">
        <w:t>.</w:t>
      </w:r>
    </w:p>
    <w:p w14:paraId="5B0150F5" w14:textId="77777777" w:rsidR="009A246C" w:rsidRPr="004F61AB" w:rsidRDefault="009A246C" w:rsidP="009A246C">
      <w:pPr>
        <w:pStyle w:val="Reasons"/>
        <w:rPr>
          <w:lang w:eastAsia="en-GB"/>
        </w:rPr>
      </w:pPr>
    </w:p>
    <w:p w14:paraId="1209FA97" w14:textId="77777777" w:rsidR="003E5026" w:rsidRPr="004F61AB" w:rsidRDefault="003E5026" w:rsidP="00CB3E09">
      <w:r w:rsidRPr="004F61AB">
        <w:br w:type="page"/>
      </w:r>
    </w:p>
    <w:p w14:paraId="23DF2E5A" w14:textId="77777777" w:rsidR="003E5026" w:rsidRPr="004F61AB" w:rsidRDefault="0044713D" w:rsidP="00CB3E09">
      <w:pPr>
        <w:pStyle w:val="AnnexNo"/>
      </w:pPr>
      <w:r w:rsidRPr="004F61AB">
        <w:lastRenderedPageBreak/>
        <w:t>PIÈCE JOINTE</w:t>
      </w:r>
    </w:p>
    <w:p w14:paraId="4401EEB7" w14:textId="1E731247" w:rsidR="0044713D" w:rsidRPr="004F61AB" w:rsidRDefault="0044713D" w:rsidP="00CB3E09">
      <w:pPr>
        <w:pStyle w:val="Annextitle"/>
      </w:pPr>
      <w:r w:rsidRPr="004F61AB">
        <w:t>Proposition</w:t>
      </w:r>
      <w:r w:rsidR="00C771E7" w:rsidRPr="004F61AB">
        <w:t xml:space="preserve"> </w:t>
      </w:r>
      <w:r w:rsidR="007803F9" w:rsidRPr="004F61AB">
        <w:t>visant à inscrire un</w:t>
      </w:r>
      <w:r w:rsidR="009A246C" w:rsidRPr="004F61AB">
        <w:t xml:space="preserve"> </w:t>
      </w:r>
      <w:r w:rsidR="00C771E7" w:rsidRPr="004F61AB">
        <w:t>nouveau point</w:t>
      </w:r>
      <w:r w:rsidR="009A246C" w:rsidRPr="004F61AB">
        <w:t xml:space="preserve"> </w:t>
      </w:r>
      <w:r w:rsidR="007803F9" w:rsidRPr="004F61AB">
        <w:t xml:space="preserve">à </w:t>
      </w:r>
      <w:r w:rsidR="00C771E7" w:rsidRPr="004F61AB">
        <w:t>l</w:t>
      </w:r>
      <w:r w:rsidR="00CB3E09" w:rsidRPr="004F61AB">
        <w:t>'</w:t>
      </w:r>
      <w:r w:rsidR="00C771E7" w:rsidRPr="004F61AB">
        <w:t xml:space="preserve">ordre du jour </w:t>
      </w:r>
      <w:r w:rsidR="007803F9" w:rsidRPr="004F61AB">
        <w:t>sur</w:t>
      </w:r>
      <w:r w:rsidR="009A246C" w:rsidRPr="004F61AB">
        <w:t xml:space="preserve"> </w:t>
      </w:r>
      <w:r w:rsidR="00CE4715" w:rsidRPr="004F61AB">
        <w:t xml:space="preserve">la possibilité de faire de nouvelles attributions </w:t>
      </w:r>
      <w:r w:rsidR="007B7846" w:rsidRPr="004F61AB">
        <w:t xml:space="preserve">de fréquences </w:t>
      </w:r>
      <w:r w:rsidR="007803F9" w:rsidRPr="004F61AB">
        <w:t xml:space="preserve">à titre primaire </w:t>
      </w:r>
      <w:r w:rsidR="007B7846" w:rsidRPr="004F61AB">
        <w:t xml:space="preserve">au service mobile par satellite dans les bandes de fréquences </w:t>
      </w:r>
      <w:r w:rsidR="005D6E49" w:rsidRPr="004F61AB">
        <w:t>au-</w:t>
      </w:r>
      <w:r w:rsidR="007B7846" w:rsidRPr="004F61AB">
        <w:t xml:space="preserve">dessous de 5 GHz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5100"/>
      </w:tblGrid>
      <w:tr w:rsidR="00E9064D" w:rsidRPr="004F61AB" w14:paraId="6448D193" w14:textId="77777777" w:rsidTr="00DC1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FE8F5" w14:textId="59DF7299" w:rsidR="00E9064D" w:rsidRPr="004F61AB" w:rsidRDefault="00E9064D" w:rsidP="00E9064D">
            <w:pPr>
              <w:tabs>
                <w:tab w:val="clear" w:pos="1871"/>
                <w:tab w:val="clear" w:pos="2268"/>
                <w:tab w:val="left" w:pos="6123"/>
              </w:tabs>
            </w:pPr>
            <w:r w:rsidRPr="004F61AB">
              <w:rPr>
                <w:b/>
                <w:bCs/>
              </w:rPr>
              <w:t>Objet:</w:t>
            </w:r>
            <w:r w:rsidRPr="004F61AB">
              <w:rPr>
                <w:b/>
                <w:bCs/>
              </w:rPr>
              <w:t xml:space="preserve"> </w:t>
            </w:r>
            <w:r w:rsidRPr="004F61AB">
              <w:t>Possibilité de faire de nouvelles attributions de fréquences au service mobile par satellite dans les bandes de fréquences au-dessous de 5 GHz.</w:t>
            </w:r>
          </w:p>
        </w:tc>
      </w:tr>
      <w:tr w:rsidR="00E9064D" w:rsidRPr="004F61AB" w14:paraId="4F1FD426" w14:textId="77777777" w:rsidTr="00921B48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82714" w14:textId="5D29A36E" w:rsidR="00E9064D" w:rsidRPr="004F61AB" w:rsidRDefault="00E9064D" w:rsidP="00E9064D">
            <w:pPr>
              <w:tabs>
                <w:tab w:val="clear" w:pos="1871"/>
                <w:tab w:val="clear" w:pos="2268"/>
                <w:tab w:val="left" w:pos="6123"/>
              </w:tabs>
            </w:pPr>
            <w:r w:rsidRPr="004F61AB">
              <w:rPr>
                <w:b/>
                <w:bCs/>
              </w:rPr>
              <w:t>Origine:</w:t>
            </w:r>
            <w:r w:rsidRPr="004F61AB">
              <w:rPr>
                <w:b/>
                <w:bCs/>
              </w:rPr>
              <w:t xml:space="preserve"> </w:t>
            </w:r>
            <w:r w:rsidRPr="004F61AB">
              <w:t>États arabes</w:t>
            </w:r>
          </w:p>
        </w:tc>
      </w:tr>
      <w:tr w:rsidR="0044713D" w:rsidRPr="004F61AB" w14:paraId="4C7AE65B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A441" w14:textId="57138938" w:rsidR="0044713D" w:rsidRPr="004F61AB" w:rsidRDefault="0044713D" w:rsidP="00E9064D">
            <w:pPr>
              <w:tabs>
                <w:tab w:val="clear" w:pos="1871"/>
                <w:tab w:val="clear" w:pos="2268"/>
                <w:tab w:val="left" w:pos="6123"/>
              </w:tabs>
            </w:pPr>
            <w:r w:rsidRPr="004F61AB">
              <w:rPr>
                <w:b/>
                <w:bCs/>
                <w:i/>
                <w:iCs/>
              </w:rPr>
              <w:t>Proposition</w:t>
            </w:r>
            <w:r w:rsidR="008021FB" w:rsidRPr="004F61AB">
              <w:rPr>
                <w:b/>
                <w:bCs/>
              </w:rPr>
              <w:t>:</w:t>
            </w:r>
          </w:p>
          <w:p w14:paraId="001BFB0E" w14:textId="02588C98" w:rsidR="0044713D" w:rsidRPr="004F61AB" w:rsidRDefault="009E63BF" w:rsidP="00E9064D">
            <w:r w:rsidRPr="004F61AB">
              <w:t xml:space="preserve">Examiner la possibilité de faire des attributions </w:t>
            </w:r>
            <w:r w:rsidR="00FC6896" w:rsidRPr="004F61AB">
              <w:t>additionnelles</w:t>
            </w:r>
            <w:r w:rsidR="009A246C" w:rsidRPr="004F61AB">
              <w:t xml:space="preserve"> </w:t>
            </w:r>
            <w:r w:rsidR="007803F9" w:rsidRPr="004F61AB">
              <w:t xml:space="preserve">à titre primaire </w:t>
            </w:r>
            <w:r w:rsidR="00FC6896" w:rsidRPr="004F61AB">
              <w:t>au SMS dans les bandes de fréquences au-dessous de 5 GHz</w:t>
            </w:r>
            <w:r w:rsidR="00BA3343" w:rsidRPr="004F61AB">
              <w:t>.</w:t>
            </w:r>
          </w:p>
        </w:tc>
      </w:tr>
      <w:tr w:rsidR="0044713D" w:rsidRPr="004F61AB" w14:paraId="5D97E333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41996" w14:textId="24497CDB" w:rsidR="0044713D" w:rsidRPr="004F61AB" w:rsidRDefault="0044713D" w:rsidP="00E9064D">
            <w:pPr>
              <w:rPr>
                <w:b/>
                <w:bCs/>
                <w:i/>
                <w:iCs/>
              </w:rPr>
            </w:pPr>
            <w:r w:rsidRPr="004F61AB">
              <w:rPr>
                <w:b/>
                <w:bCs/>
                <w:i/>
                <w:iCs/>
              </w:rPr>
              <w:t>Contexte/motif</w:t>
            </w:r>
            <w:r w:rsidR="008021FB" w:rsidRPr="004F61AB">
              <w:rPr>
                <w:b/>
                <w:bCs/>
              </w:rPr>
              <w:t>:</w:t>
            </w:r>
          </w:p>
          <w:p w14:paraId="0BE4B683" w14:textId="3B6EE738" w:rsidR="0044713D" w:rsidRPr="004F61AB" w:rsidRDefault="00185BC2" w:rsidP="00E9064D">
            <w:r w:rsidRPr="004F61AB">
              <w:t>Récemment, certains fabricants de téléphones mobiles et de puces, ainsi que des opérateurs de réseaux mobiles</w:t>
            </w:r>
            <w:r w:rsidR="007803F9" w:rsidRPr="004F61AB">
              <w:t xml:space="preserve"> (MNO),</w:t>
            </w:r>
            <w:r w:rsidR="009A246C" w:rsidRPr="004F61AB">
              <w:t xml:space="preserve"> </w:t>
            </w:r>
            <w:r w:rsidRPr="004F61AB">
              <w:t xml:space="preserve">ont conclu des partenariats avec des opérateurs de systèmes à satellites existants pour fournir des services de </w:t>
            </w:r>
            <w:r w:rsidR="007803F9" w:rsidRPr="004F61AB">
              <w:t>télé</w:t>
            </w:r>
            <w:r w:rsidRPr="004F61AB">
              <w:t xml:space="preserve">communication par satellite directement </w:t>
            </w:r>
            <w:r w:rsidR="00946ECE" w:rsidRPr="004F61AB">
              <w:t xml:space="preserve">vers le </w:t>
            </w:r>
            <w:r w:rsidRPr="004F61AB">
              <w:t xml:space="preserve">dispositif </w:t>
            </w:r>
            <w:r w:rsidR="007803F9" w:rsidRPr="004F61AB">
              <w:rPr>
                <w:bCs/>
                <w:iCs/>
              </w:rPr>
              <w:t xml:space="preserve">(D2D) </w:t>
            </w:r>
            <w:r w:rsidRPr="004F61AB">
              <w:t xml:space="preserve">lorsque les utilisateurs finals ne </w:t>
            </w:r>
            <w:r w:rsidR="007803F9" w:rsidRPr="004F61AB">
              <w:t>bénéficient pas d'une couverture</w:t>
            </w:r>
            <w:r w:rsidRPr="004F61AB">
              <w:t xml:space="preserve"> par les IMT</w:t>
            </w:r>
            <w:r w:rsidR="009A246C" w:rsidRPr="004F61AB">
              <w:t xml:space="preserve"> </w:t>
            </w:r>
            <w:r w:rsidR="007803F9" w:rsidRPr="004F61AB">
              <w:t>de Terre</w:t>
            </w:r>
            <w:r w:rsidR="009A246C" w:rsidRPr="004F61AB">
              <w:t xml:space="preserve"> </w:t>
            </w:r>
            <w:r w:rsidRPr="004F61AB">
              <w:t>ou le WiFi</w:t>
            </w:r>
            <w:r w:rsidR="009A246C" w:rsidRPr="004F61AB">
              <w:t>.</w:t>
            </w:r>
          </w:p>
          <w:p w14:paraId="0BC2CCE1" w14:textId="18C56445" w:rsidR="00E45EF5" w:rsidRPr="004F61AB" w:rsidRDefault="00E45EF5" w:rsidP="00E9064D">
            <w:r w:rsidRPr="004F61AB">
              <w:t xml:space="preserve">Dans la présente contribution, les </w:t>
            </w:r>
            <w:r w:rsidR="009A246C" w:rsidRPr="004F61AB">
              <w:t>États</w:t>
            </w:r>
            <w:r w:rsidRPr="004F61AB">
              <w:t xml:space="preserve"> Membres sont invités à examiner un nouveau point de l</w:t>
            </w:r>
            <w:r w:rsidR="00CB3E09" w:rsidRPr="004F61AB">
              <w:t>'</w:t>
            </w:r>
            <w:r w:rsidRPr="004F61AB">
              <w:t xml:space="preserve">ordre du jour de la CMR-27 </w:t>
            </w:r>
            <w:r w:rsidR="007803F9" w:rsidRPr="004F61AB">
              <w:t xml:space="preserve">visant à </w:t>
            </w:r>
            <w:r w:rsidRPr="004F61AB">
              <w:t xml:space="preserve">étudier la possibilité de faire </w:t>
            </w:r>
            <w:r w:rsidR="007803F9" w:rsidRPr="004F61AB">
              <w:t xml:space="preserve">une ou plusieurs </w:t>
            </w:r>
            <w:r w:rsidRPr="004F61AB">
              <w:t>attributions additionnelles</w:t>
            </w:r>
            <w:r w:rsidR="009A246C" w:rsidRPr="004F61AB">
              <w:t xml:space="preserve"> </w:t>
            </w:r>
            <w:r w:rsidR="007803F9" w:rsidRPr="004F61AB">
              <w:t xml:space="preserve">à titre primaire </w:t>
            </w:r>
            <w:r w:rsidRPr="004F61AB">
              <w:t>au SMS dans les bandes de fréquences au-dessous de 5 GHz</w:t>
            </w:r>
            <w:r w:rsidR="007803F9" w:rsidRPr="004F61AB">
              <w:t>,</w:t>
            </w:r>
            <w:r w:rsidR="009A246C" w:rsidRPr="004F61AB">
              <w:t xml:space="preserve"> </w:t>
            </w:r>
            <w:r w:rsidRPr="004F61AB">
              <w:t xml:space="preserve">afin de </w:t>
            </w:r>
            <w:r w:rsidR="00616BC2" w:rsidRPr="004F61AB">
              <w:t xml:space="preserve">fournir </w:t>
            </w:r>
            <w:r w:rsidRPr="004F61AB">
              <w:t>des services</w:t>
            </w:r>
            <w:r w:rsidR="009A246C" w:rsidRPr="004F61AB">
              <w:t xml:space="preserve"> </w:t>
            </w:r>
            <w:r w:rsidR="007803F9" w:rsidRPr="004F61AB">
              <w:rPr>
                <w:bCs/>
                <w:iCs/>
              </w:rPr>
              <w:t>D2D</w:t>
            </w:r>
            <w:r w:rsidR="009A246C" w:rsidRPr="004F61AB">
              <w:rPr>
                <w:bCs/>
                <w:iCs/>
              </w:rPr>
              <w:t xml:space="preserve"> </w:t>
            </w:r>
            <w:r w:rsidRPr="004F61AB">
              <w:t xml:space="preserve">plus </w:t>
            </w:r>
            <w:r w:rsidR="007803F9" w:rsidRPr="004F61AB">
              <w:t>perfectionnés</w:t>
            </w:r>
            <w:r w:rsidR="00BA3343" w:rsidRPr="004F61AB">
              <w:t>.</w:t>
            </w:r>
          </w:p>
          <w:p w14:paraId="582C40BA" w14:textId="5D86711F" w:rsidR="00995872" w:rsidRPr="004F61AB" w:rsidRDefault="00453858" w:rsidP="00E9064D">
            <w:r w:rsidRPr="004F61AB">
              <w:t>Les besoins de spectre et la coexistence avec les services existants peuvent être étudiés au cours du prochain cycle de la CMR</w:t>
            </w:r>
            <w:r w:rsidR="007803F9" w:rsidRPr="004F61AB">
              <w:t>,</w:t>
            </w:r>
            <w:r w:rsidR="009A246C" w:rsidRPr="004F61AB">
              <w:t xml:space="preserve"> </w:t>
            </w:r>
            <w:r w:rsidRPr="004F61AB">
              <w:t>afin d</w:t>
            </w:r>
            <w:r w:rsidR="00CB3E09" w:rsidRPr="004F61AB">
              <w:t>'</w:t>
            </w:r>
            <w:r w:rsidRPr="004F61AB">
              <w:t>assurer</w:t>
            </w:r>
            <w:r w:rsidR="007803F9" w:rsidRPr="004F61AB">
              <w:t xml:space="preserve"> l'efficacité d'</w:t>
            </w:r>
            <w:r w:rsidRPr="004F61AB">
              <w:t>utilisation</w:t>
            </w:r>
            <w:r w:rsidR="009A246C" w:rsidRPr="004F61AB">
              <w:t xml:space="preserve"> </w:t>
            </w:r>
            <w:r w:rsidRPr="004F61AB">
              <w:t xml:space="preserve">du spectre et la protection des services existants. </w:t>
            </w:r>
            <w:r w:rsidR="007803F9" w:rsidRPr="004F61AB">
              <w:t>Bien que certains projettent</w:t>
            </w:r>
            <w:r w:rsidR="004C6D27" w:rsidRPr="004F61AB">
              <w:t xml:space="preserve"> d</w:t>
            </w:r>
            <w:r w:rsidR="00CB3E09" w:rsidRPr="004F61AB">
              <w:t>'</w:t>
            </w:r>
            <w:r w:rsidR="004C6D27" w:rsidRPr="004F61AB">
              <w:t>utiliser</w:t>
            </w:r>
            <w:r w:rsidR="009A246C" w:rsidRPr="004F61AB">
              <w:t xml:space="preserve"> </w:t>
            </w:r>
            <w:r w:rsidR="007803F9" w:rsidRPr="004F61AB">
              <w:t>les bandes de fréquences</w:t>
            </w:r>
            <w:r w:rsidR="009A246C" w:rsidRPr="004F61AB">
              <w:t xml:space="preserve"> </w:t>
            </w:r>
            <w:r w:rsidR="004C6D27" w:rsidRPr="004F61AB">
              <w:t>attribué</w:t>
            </w:r>
            <w:r w:rsidR="007803F9" w:rsidRPr="004F61AB">
              <w:t>es</w:t>
            </w:r>
            <w:r w:rsidR="004C6D27" w:rsidRPr="004F61AB">
              <w:t xml:space="preserve"> au SMS pour ce service conformément au Tableau d</w:t>
            </w:r>
            <w:r w:rsidR="00CB3E09" w:rsidRPr="004F61AB">
              <w:t>'</w:t>
            </w:r>
            <w:r w:rsidR="004C6D27" w:rsidRPr="004F61AB">
              <w:t>attribution des bandes de fréquences (Article</w:t>
            </w:r>
            <w:r w:rsidR="005A0209" w:rsidRPr="004F61AB">
              <w:t> </w:t>
            </w:r>
            <w:r w:rsidR="004C6D27" w:rsidRPr="004F61AB">
              <w:rPr>
                <w:b/>
                <w:bCs/>
              </w:rPr>
              <w:t>5</w:t>
            </w:r>
            <w:r w:rsidR="004C6D27" w:rsidRPr="004F61AB">
              <w:t xml:space="preserve"> du RR),</w:t>
            </w:r>
            <w:r w:rsidR="009A246C" w:rsidRPr="004F61AB">
              <w:t xml:space="preserve"> </w:t>
            </w:r>
            <w:r w:rsidR="004C6D27" w:rsidRPr="004F61AB">
              <w:t>d</w:t>
            </w:r>
            <w:r w:rsidR="00CB3E09" w:rsidRPr="004F61AB">
              <w:t>'</w:t>
            </w:r>
            <w:r w:rsidR="004C6D27" w:rsidRPr="004F61AB">
              <w:t>autres ont l</w:t>
            </w:r>
            <w:r w:rsidR="00CB3E09" w:rsidRPr="004F61AB">
              <w:t>'</w:t>
            </w:r>
            <w:r w:rsidR="004C6D27" w:rsidRPr="004F61AB">
              <w:t>intention d</w:t>
            </w:r>
            <w:r w:rsidR="00CB3E09" w:rsidRPr="004F61AB">
              <w:t>'</w:t>
            </w:r>
            <w:r w:rsidR="004C6D27" w:rsidRPr="004F61AB">
              <w:t xml:space="preserve">utiliser les bandes </w:t>
            </w:r>
            <w:r w:rsidR="00A53166" w:rsidRPr="004F61AB">
              <w:t xml:space="preserve">de fréquences attribuées au </w:t>
            </w:r>
            <w:r w:rsidR="004C6D27" w:rsidRPr="004F61AB">
              <w:t xml:space="preserve">service mobile (SM) en accord avec les opérateurs </w:t>
            </w:r>
            <w:r w:rsidR="007803F9" w:rsidRPr="004F61AB">
              <w:t>MNO</w:t>
            </w:r>
            <w:r w:rsidR="004C6D27" w:rsidRPr="004F61AB">
              <w:t xml:space="preserve">, ce qui constitue une utilisation non conforme du spectre </w:t>
            </w:r>
            <w:r w:rsidR="006C2D3C" w:rsidRPr="004F61AB">
              <w:t xml:space="preserve">des fréquences </w:t>
            </w:r>
            <w:r w:rsidR="004C6D27" w:rsidRPr="004F61AB">
              <w:t>radioélectrique</w:t>
            </w:r>
            <w:r w:rsidR="006C2D3C" w:rsidRPr="004F61AB">
              <w:t>s</w:t>
            </w:r>
            <w:r w:rsidR="004C6D27" w:rsidRPr="004F61AB">
              <w:t>.</w:t>
            </w:r>
            <w:r w:rsidR="00A53166" w:rsidRPr="004F61AB">
              <w:t xml:space="preserve"> </w:t>
            </w:r>
            <w:r w:rsidR="00584C26" w:rsidRPr="004F61AB">
              <w:t>Une</w:t>
            </w:r>
            <w:r w:rsidR="00B1688C" w:rsidRPr="004F61AB">
              <w:t xml:space="preserve"> utilisation non conforme du spectre</w:t>
            </w:r>
            <w:r w:rsidR="00584C26" w:rsidRPr="004F61AB">
              <w:t>, si elle ne fait pas l'objet d'études appropriées,</w:t>
            </w:r>
            <w:r w:rsidR="009A246C" w:rsidRPr="004F61AB">
              <w:t xml:space="preserve"> </w:t>
            </w:r>
            <w:r w:rsidR="00584C26" w:rsidRPr="004F61AB">
              <w:t xml:space="preserve">risque de </w:t>
            </w:r>
            <w:r w:rsidR="00B1688C" w:rsidRPr="004F61AB">
              <w:t>causer des brouillages à d</w:t>
            </w:r>
            <w:r w:rsidR="00CB3E09" w:rsidRPr="004F61AB">
              <w:t>'</w:t>
            </w:r>
            <w:r w:rsidR="00B1688C" w:rsidRPr="004F61AB">
              <w:t xml:space="preserve">autres services dans le pays qui envisage </w:t>
            </w:r>
            <w:r w:rsidR="00584C26" w:rsidRPr="004F61AB">
              <w:t>d'autoriser</w:t>
            </w:r>
            <w:r w:rsidR="009A246C" w:rsidRPr="004F61AB">
              <w:t xml:space="preserve"> </w:t>
            </w:r>
            <w:r w:rsidR="0085086B" w:rsidRPr="004F61AB">
              <w:t>l</w:t>
            </w:r>
            <w:r w:rsidR="00CB3E09" w:rsidRPr="004F61AB">
              <w:t>'</w:t>
            </w:r>
            <w:r w:rsidR="00B1688C" w:rsidRPr="004F61AB">
              <w:t xml:space="preserve">utilisation </w:t>
            </w:r>
            <w:r w:rsidR="0085086B" w:rsidRPr="004F61AB">
              <w:t xml:space="preserve">en question </w:t>
            </w:r>
            <w:r w:rsidR="00B1688C" w:rsidRPr="004F61AB">
              <w:t>et</w:t>
            </w:r>
            <w:r w:rsidR="00584C26" w:rsidRPr="004F61AB">
              <w:t xml:space="preserve"> aux services des pays voisins, </w:t>
            </w:r>
            <w:r w:rsidR="004A469B" w:rsidRPr="004F61AB">
              <w:t>dans le cas de scénarios transfrontières</w:t>
            </w:r>
            <w:r w:rsidR="00584C26" w:rsidRPr="004F61AB">
              <w:t>.</w:t>
            </w:r>
          </w:p>
          <w:p w14:paraId="46B66044" w14:textId="1CF4AEE4" w:rsidR="00453858" w:rsidRPr="004F61AB" w:rsidRDefault="00995872" w:rsidP="00E9064D">
            <w:r w:rsidRPr="004F61AB">
              <w:t>L</w:t>
            </w:r>
            <w:r w:rsidR="00CB3E09" w:rsidRPr="004F61AB">
              <w:t>'</w:t>
            </w:r>
            <w:r w:rsidRPr="004F61AB">
              <w:t>attribution qu</w:t>
            </w:r>
            <w:r w:rsidR="00CB3E09" w:rsidRPr="004F61AB">
              <w:t>'</w:t>
            </w:r>
            <w:r w:rsidRPr="004F61AB">
              <w:t>il est proposé de faire au SMS serait également conforme à l</w:t>
            </w:r>
            <w:r w:rsidR="00CB3E09" w:rsidRPr="004F61AB">
              <w:t>'</w:t>
            </w:r>
            <w:r w:rsidRPr="004F61AB">
              <w:t>objectif de l</w:t>
            </w:r>
            <w:r w:rsidR="00CB3E09" w:rsidRPr="004F61AB">
              <w:t>'</w:t>
            </w:r>
            <w:r w:rsidRPr="004F61AB">
              <w:t>Union internationale des télécommunications (UIT), qui est de promouvoir l</w:t>
            </w:r>
            <w:r w:rsidR="00CB3E09" w:rsidRPr="004F61AB">
              <w:t>'</w:t>
            </w:r>
            <w:r w:rsidRPr="004F61AB">
              <w:t>accès aux services de télécommunication, en particulier dans les zones rurales et isolées.</w:t>
            </w:r>
          </w:p>
        </w:tc>
      </w:tr>
      <w:tr w:rsidR="0044713D" w:rsidRPr="004F61AB" w14:paraId="6ABBB471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3F4D8" w14:textId="77777777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Services de radiocommunication concernés</w:t>
            </w:r>
            <w:r w:rsidRPr="004F61AB">
              <w:rPr>
                <w:b/>
                <w:bCs/>
              </w:rPr>
              <w:t>:</w:t>
            </w:r>
          </w:p>
          <w:p w14:paraId="7804C9B9" w14:textId="5BBDDCAF" w:rsidR="0044713D" w:rsidRPr="004F61AB" w:rsidRDefault="00995872" w:rsidP="00E9064D">
            <w:pPr>
              <w:spacing w:before="100"/>
            </w:pPr>
            <w:r w:rsidRPr="004F61AB">
              <w:t>Service mobile par satellite</w:t>
            </w:r>
            <w:r w:rsidR="00F1424C" w:rsidRPr="004F61AB">
              <w:t xml:space="preserve"> et tout autre service de radiocommunications bénéficiant d</w:t>
            </w:r>
            <w:r w:rsidR="00CB3E09" w:rsidRPr="004F61AB">
              <w:t>'</w:t>
            </w:r>
            <w:r w:rsidR="00584C26" w:rsidRPr="004F61AB">
              <w:t xml:space="preserve">une </w:t>
            </w:r>
            <w:r w:rsidR="00F1424C" w:rsidRPr="004F61AB">
              <w:t xml:space="preserve">attribution </w:t>
            </w:r>
            <w:r w:rsidR="007B0AF8" w:rsidRPr="004F61AB">
              <w:t>au-dessous de la bande de fréquences des 5 GHz.</w:t>
            </w:r>
          </w:p>
        </w:tc>
      </w:tr>
      <w:tr w:rsidR="0044713D" w:rsidRPr="004F61AB" w14:paraId="1B0C2478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6452B" w14:textId="0294F136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Indication des difficultés éventuelles</w:t>
            </w:r>
            <w:r w:rsidR="008021FB" w:rsidRPr="004F61AB">
              <w:rPr>
                <w:b/>
                <w:bCs/>
              </w:rPr>
              <w:t>:</w:t>
            </w:r>
          </w:p>
          <w:p w14:paraId="11984E9A" w14:textId="7CFE86ED" w:rsidR="0044713D" w:rsidRPr="004F61AB" w:rsidRDefault="00897C2A" w:rsidP="00E9064D">
            <w:r w:rsidRPr="004F61AB">
              <w:t>À déterminer</w:t>
            </w:r>
          </w:p>
        </w:tc>
      </w:tr>
      <w:tr w:rsidR="0044713D" w:rsidRPr="004F61AB" w14:paraId="5A6FA1C5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FBDC0" w14:textId="24F235D3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Études précédentes ou en cours sur la question</w:t>
            </w:r>
            <w:r w:rsidR="008021FB" w:rsidRPr="004F61AB">
              <w:rPr>
                <w:b/>
                <w:bCs/>
              </w:rPr>
              <w:t>:</w:t>
            </w:r>
          </w:p>
          <w:p w14:paraId="117F4465" w14:textId="52C4B2A2" w:rsidR="0044713D" w:rsidRPr="004F61AB" w:rsidRDefault="00984669" w:rsidP="00E9064D">
            <w:r w:rsidRPr="004F61AB">
              <w:t>Point 1.25 de l</w:t>
            </w:r>
            <w:r w:rsidR="00CB3E09" w:rsidRPr="004F61AB">
              <w:t>'</w:t>
            </w:r>
            <w:r w:rsidRPr="004F61AB">
              <w:t>ordre du jour de la CMR-12</w:t>
            </w:r>
          </w:p>
        </w:tc>
      </w:tr>
      <w:tr w:rsidR="0044713D" w:rsidRPr="004F61AB" w14:paraId="6A24C657" w14:textId="77777777" w:rsidTr="00E9064D"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DDC8F" w14:textId="5E1E1968" w:rsidR="0044713D" w:rsidRPr="004F61AB" w:rsidRDefault="0044713D" w:rsidP="00E9064D">
            <w:pPr>
              <w:keepNext/>
              <w:keepLines/>
              <w:pageBreakBefore/>
            </w:pPr>
            <w:r w:rsidRPr="004F61AB">
              <w:rPr>
                <w:b/>
                <w:bCs/>
                <w:i/>
                <w:iCs/>
              </w:rPr>
              <w:lastRenderedPageBreak/>
              <w:t>Études devant être réalisées par</w:t>
            </w:r>
            <w:r w:rsidR="008021FB" w:rsidRPr="004F61AB">
              <w:rPr>
                <w:b/>
                <w:bCs/>
              </w:rPr>
              <w:t>:</w:t>
            </w:r>
          </w:p>
          <w:p w14:paraId="4E231332" w14:textId="5805E219" w:rsidR="0044713D" w:rsidRPr="004F61AB" w:rsidRDefault="00984669" w:rsidP="00E9064D">
            <w:pPr>
              <w:keepNext/>
              <w:keepLines/>
              <w:pageBreakBefore/>
            </w:pPr>
            <w:r w:rsidRPr="004F61AB">
              <w:t>CE 4, CE </w:t>
            </w:r>
            <w:r w:rsidR="002D6A6A" w:rsidRPr="004F61AB">
              <w:t>5, CE 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43650" w14:textId="4E31A03D" w:rsidR="0044713D" w:rsidRPr="004F61AB" w:rsidRDefault="0044713D" w:rsidP="00E9064D">
            <w:pPr>
              <w:keepNext/>
              <w:keepLines/>
              <w:pageBreakBefore/>
              <w:rPr>
                <w:b/>
                <w:bCs/>
                <w:i/>
                <w:iCs/>
              </w:rPr>
            </w:pPr>
            <w:r w:rsidRPr="004F61AB">
              <w:rPr>
                <w:b/>
                <w:bCs/>
                <w:i/>
                <w:iCs/>
              </w:rPr>
              <w:t>avec la participation de</w:t>
            </w:r>
            <w:r w:rsidR="008021FB" w:rsidRPr="004F61AB">
              <w:rPr>
                <w:b/>
                <w:bCs/>
              </w:rPr>
              <w:t>:</w:t>
            </w:r>
          </w:p>
          <w:p w14:paraId="60C46A09" w14:textId="13C8FA94" w:rsidR="0044713D" w:rsidRPr="004F61AB" w:rsidRDefault="002D6A6A" w:rsidP="00E9064D">
            <w:pPr>
              <w:keepNext/>
              <w:keepLines/>
              <w:pageBreakBefore/>
              <w:spacing w:before="80"/>
              <w:rPr>
                <w:bCs/>
                <w:iCs/>
                <w:color w:val="000000"/>
              </w:rPr>
            </w:pPr>
            <w:r w:rsidRPr="004F61AB">
              <w:rPr>
                <w:bCs/>
                <w:iCs/>
                <w:color w:val="000000"/>
              </w:rPr>
              <w:t>Autres GT, administrations et Membres de Secteur concernés</w:t>
            </w:r>
          </w:p>
        </w:tc>
      </w:tr>
      <w:tr w:rsidR="0044713D" w:rsidRPr="004F61AB" w14:paraId="2306B3C9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9E71A" w14:textId="77777777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Commissions d'études de l'UIT-R concernées</w:t>
            </w:r>
            <w:r w:rsidRPr="004F61AB">
              <w:rPr>
                <w:b/>
                <w:bCs/>
                <w:rPrChange w:id="6" w:author="French" w:date="2023-11-11T16:31:00Z">
                  <w:rPr>
                    <w:b/>
                    <w:bCs/>
                    <w:i/>
                    <w:iCs/>
                  </w:rPr>
                </w:rPrChange>
              </w:rPr>
              <w:t>:</w:t>
            </w:r>
          </w:p>
          <w:p w14:paraId="05838EB7" w14:textId="7CB10F99" w:rsidR="0044713D" w:rsidRPr="004F61AB" w:rsidRDefault="00BE2CCF" w:rsidP="00E9064D">
            <w:pPr>
              <w:rPr>
                <w:bCs/>
                <w:iCs/>
              </w:rPr>
            </w:pPr>
            <w:r w:rsidRPr="004F61AB">
              <w:rPr>
                <w:bCs/>
                <w:iCs/>
              </w:rPr>
              <w:t>Aucune</w:t>
            </w:r>
          </w:p>
        </w:tc>
      </w:tr>
      <w:tr w:rsidR="0044713D" w:rsidRPr="004F61AB" w14:paraId="58C01B81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BED6D" w14:textId="77777777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Répercussions au niveau des ressources de l'UIT, y compris incidences financières</w:t>
            </w:r>
            <w:r w:rsidRPr="004F61AB">
              <w:rPr>
                <w:b/>
                <w:bCs/>
                <w:i/>
                <w:iCs/>
              </w:rPr>
              <w:br/>
              <w:t>(voir le numéro 126 de la Convention)</w:t>
            </w:r>
            <w:r w:rsidRPr="004F61AB">
              <w:rPr>
                <w:b/>
                <w:bCs/>
                <w:rPrChange w:id="7" w:author="French" w:date="2023-11-11T16:31:00Z">
                  <w:rPr>
                    <w:b/>
                    <w:bCs/>
                    <w:i/>
                    <w:iCs/>
                  </w:rPr>
                </w:rPrChange>
              </w:rPr>
              <w:t>:</w:t>
            </w:r>
          </w:p>
          <w:p w14:paraId="57404C68" w14:textId="7E2446B3" w:rsidR="0044713D" w:rsidRPr="004F61AB" w:rsidRDefault="00BE2CCF" w:rsidP="00E9064D">
            <w:pPr>
              <w:rPr>
                <w:bCs/>
                <w:iCs/>
              </w:rPr>
            </w:pPr>
            <w:r w:rsidRPr="004F61AB">
              <w:rPr>
                <w:bCs/>
                <w:iCs/>
              </w:rPr>
              <w:t>Aucune</w:t>
            </w:r>
          </w:p>
        </w:tc>
      </w:tr>
      <w:tr w:rsidR="0044713D" w:rsidRPr="004F61AB" w14:paraId="025D1EBD" w14:textId="77777777" w:rsidTr="00E9064D"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C0904" w14:textId="77777777" w:rsidR="0044713D" w:rsidRPr="004F61AB" w:rsidRDefault="0044713D" w:rsidP="00E9064D">
            <w:pPr>
              <w:rPr>
                <w:b/>
                <w:iCs/>
              </w:rPr>
            </w:pPr>
            <w:r w:rsidRPr="004F61AB">
              <w:rPr>
                <w:b/>
                <w:bCs/>
                <w:i/>
                <w:iCs/>
              </w:rPr>
              <w:t>Proposition régionale commune</w:t>
            </w:r>
            <w:r w:rsidRPr="004F61AB">
              <w:rPr>
                <w:b/>
                <w:bCs/>
              </w:rPr>
              <w:t xml:space="preserve">: </w:t>
            </w:r>
            <w:r w:rsidRPr="004F61AB">
              <w:t>Oui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2C088" w14:textId="5EDF200A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Proposition soumise par plusieurs pays</w:t>
            </w:r>
            <w:r w:rsidRPr="004F61AB">
              <w:rPr>
                <w:b/>
                <w:bCs/>
              </w:rPr>
              <w:t xml:space="preserve">: </w:t>
            </w:r>
            <w:r w:rsidR="00BE2CCF" w:rsidRPr="004F61AB">
              <w:t>À déterminer</w:t>
            </w:r>
          </w:p>
          <w:p w14:paraId="5E4118B1" w14:textId="18C0F0FC" w:rsidR="0044713D" w:rsidRPr="004F61AB" w:rsidRDefault="0044713D" w:rsidP="00E9064D">
            <w:r w:rsidRPr="004F61AB">
              <w:rPr>
                <w:b/>
                <w:bCs/>
                <w:i/>
                <w:iCs/>
              </w:rPr>
              <w:t>Nombre de pays</w:t>
            </w:r>
            <w:r w:rsidRPr="004F61AB">
              <w:rPr>
                <w:b/>
                <w:bCs/>
              </w:rPr>
              <w:t>:</w:t>
            </w:r>
            <w:r w:rsidR="00BE2CCF" w:rsidRPr="004F61AB">
              <w:rPr>
                <w:b/>
                <w:bCs/>
              </w:rPr>
              <w:t xml:space="preserve"> </w:t>
            </w:r>
            <w:r w:rsidR="00BE2CCF" w:rsidRPr="004F61AB">
              <w:rPr>
                <w:i/>
                <w:iCs/>
              </w:rPr>
              <w:t>À déterminer</w:t>
            </w:r>
          </w:p>
        </w:tc>
      </w:tr>
      <w:tr w:rsidR="0044713D" w:rsidRPr="004F61AB" w14:paraId="54C27D26" w14:textId="77777777" w:rsidTr="00E9064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0E35E" w14:textId="77777777" w:rsidR="0044713D" w:rsidRPr="004F61AB" w:rsidRDefault="0044713D" w:rsidP="00E9064D">
            <w:pPr>
              <w:rPr>
                <w:b/>
                <w:bCs/>
                <w:i/>
                <w:iCs/>
              </w:rPr>
            </w:pPr>
            <w:r w:rsidRPr="004F61AB">
              <w:rPr>
                <w:b/>
                <w:bCs/>
                <w:i/>
                <w:iCs/>
              </w:rPr>
              <w:t>Observations</w:t>
            </w:r>
          </w:p>
          <w:p w14:paraId="0ACF7B86" w14:textId="77777777" w:rsidR="0044713D" w:rsidRPr="004F61AB" w:rsidRDefault="0044713D" w:rsidP="00E9064D"/>
        </w:tc>
      </w:tr>
    </w:tbl>
    <w:p w14:paraId="30AB3260" w14:textId="77777777" w:rsidR="00E9064D" w:rsidRPr="004F61AB" w:rsidRDefault="00E9064D" w:rsidP="00E9064D"/>
    <w:p w14:paraId="444800DB" w14:textId="77777777" w:rsidR="0044713D" w:rsidRPr="004F61AB" w:rsidRDefault="0044713D" w:rsidP="00E9064D">
      <w:pPr>
        <w:jc w:val="center"/>
      </w:pPr>
      <w:r w:rsidRPr="004F61AB">
        <w:t>______________</w:t>
      </w:r>
    </w:p>
    <w:sectPr w:rsidR="0044713D" w:rsidRPr="004F61A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AEA3" w14:textId="77777777" w:rsidR="005D0A7E" w:rsidRDefault="005D0A7E">
      <w:r>
        <w:separator/>
      </w:r>
    </w:p>
  </w:endnote>
  <w:endnote w:type="continuationSeparator" w:id="0">
    <w:p w14:paraId="05785D48" w14:textId="77777777" w:rsidR="005D0A7E" w:rsidRDefault="005D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3782" w14:textId="1DC8182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E09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4468" w14:textId="4B7E8D26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F61AB">
      <w:rPr>
        <w:lang w:val="en-US"/>
      </w:rPr>
      <w:t>P:\FRA\ITU-R\CONF-R\CMR23\100\100ADD27ADD03F.docx</w:t>
    </w:r>
    <w:r>
      <w:fldChar w:fldCharType="end"/>
    </w:r>
    <w:r w:rsidR="0044713D" w:rsidRPr="009A246C">
      <w:rPr>
        <w:lang w:val="en-GB"/>
      </w:rPr>
      <w:t xml:space="preserve"> (530219)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F2BC" w14:textId="03F3B74B" w:rsidR="00936D25" w:rsidRPr="0044713D" w:rsidRDefault="0044713D" w:rsidP="004471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A3343">
      <w:rPr>
        <w:lang w:val="en-US"/>
      </w:rPr>
      <w:t>P:\FRA\ITU-R\CONF-R\CMR23\100\100ADD27ADD03F.docx</w:t>
    </w:r>
    <w:r>
      <w:fldChar w:fldCharType="end"/>
    </w:r>
    <w:r w:rsidRPr="009A246C">
      <w:rPr>
        <w:lang w:val="en-GB"/>
      </w:rPr>
      <w:t xml:space="preserve"> (530219)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A207" w14:textId="77777777" w:rsidR="005D0A7E" w:rsidRDefault="005D0A7E">
      <w:r>
        <w:rPr>
          <w:b/>
        </w:rPr>
        <w:t>_______________</w:t>
      </w:r>
    </w:p>
  </w:footnote>
  <w:footnote w:type="continuationSeparator" w:id="0">
    <w:p w14:paraId="624D1394" w14:textId="77777777" w:rsidR="005D0A7E" w:rsidRDefault="005D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DF9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C4BFBDF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100(Add.27)(Add.3)-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09829542">
    <w:abstractNumId w:val="0"/>
  </w:num>
  <w:num w:numId="2" w16cid:durableId="20108659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2913"/>
    <w:rsid w:val="00007EC7"/>
    <w:rsid w:val="00010B43"/>
    <w:rsid w:val="00016648"/>
    <w:rsid w:val="00025B72"/>
    <w:rsid w:val="0003522F"/>
    <w:rsid w:val="000353EF"/>
    <w:rsid w:val="00044B94"/>
    <w:rsid w:val="00063A1F"/>
    <w:rsid w:val="00073029"/>
    <w:rsid w:val="00080E2C"/>
    <w:rsid w:val="00081366"/>
    <w:rsid w:val="00084EBB"/>
    <w:rsid w:val="00085211"/>
    <w:rsid w:val="000863B3"/>
    <w:rsid w:val="00087529"/>
    <w:rsid w:val="000A4755"/>
    <w:rsid w:val="000A55AE"/>
    <w:rsid w:val="000B2E0C"/>
    <w:rsid w:val="000B3D0C"/>
    <w:rsid w:val="000E746F"/>
    <w:rsid w:val="000F5065"/>
    <w:rsid w:val="001167B9"/>
    <w:rsid w:val="00123F9C"/>
    <w:rsid w:val="001267A0"/>
    <w:rsid w:val="0013786F"/>
    <w:rsid w:val="0015203F"/>
    <w:rsid w:val="0016067F"/>
    <w:rsid w:val="00160C64"/>
    <w:rsid w:val="00181316"/>
    <w:rsid w:val="0018169B"/>
    <w:rsid w:val="00185BC2"/>
    <w:rsid w:val="0019352B"/>
    <w:rsid w:val="00195315"/>
    <w:rsid w:val="001960D0"/>
    <w:rsid w:val="001A11F6"/>
    <w:rsid w:val="001F17E8"/>
    <w:rsid w:val="001F49CA"/>
    <w:rsid w:val="00204306"/>
    <w:rsid w:val="00206374"/>
    <w:rsid w:val="002125EE"/>
    <w:rsid w:val="002131D0"/>
    <w:rsid w:val="00225CF2"/>
    <w:rsid w:val="00232FD2"/>
    <w:rsid w:val="00255409"/>
    <w:rsid w:val="0026554E"/>
    <w:rsid w:val="00271424"/>
    <w:rsid w:val="00281AE1"/>
    <w:rsid w:val="002A4622"/>
    <w:rsid w:val="002A6F8F"/>
    <w:rsid w:val="002B17E5"/>
    <w:rsid w:val="002C0EBF"/>
    <w:rsid w:val="002C28A4"/>
    <w:rsid w:val="002D6A6A"/>
    <w:rsid w:val="002D7E0A"/>
    <w:rsid w:val="00315AFE"/>
    <w:rsid w:val="00336581"/>
    <w:rsid w:val="003411F6"/>
    <w:rsid w:val="00344769"/>
    <w:rsid w:val="003606A6"/>
    <w:rsid w:val="0036650C"/>
    <w:rsid w:val="00386783"/>
    <w:rsid w:val="00393ACD"/>
    <w:rsid w:val="003A583E"/>
    <w:rsid w:val="003B5957"/>
    <w:rsid w:val="003E112B"/>
    <w:rsid w:val="003E1D1C"/>
    <w:rsid w:val="003E5026"/>
    <w:rsid w:val="003E7B05"/>
    <w:rsid w:val="003F3719"/>
    <w:rsid w:val="003F61AA"/>
    <w:rsid w:val="003F6F2D"/>
    <w:rsid w:val="0042442B"/>
    <w:rsid w:val="00431DA7"/>
    <w:rsid w:val="0044713D"/>
    <w:rsid w:val="00452690"/>
    <w:rsid w:val="00453858"/>
    <w:rsid w:val="00466211"/>
    <w:rsid w:val="00466B13"/>
    <w:rsid w:val="004671E8"/>
    <w:rsid w:val="00483196"/>
    <w:rsid w:val="004834A9"/>
    <w:rsid w:val="00483718"/>
    <w:rsid w:val="00490031"/>
    <w:rsid w:val="004A3B8D"/>
    <w:rsid w:val="004A469B"/>
    <w:rsid w:val="004B6C5A"/>
    <w:rsid w:val="004C6D27"/>
    <w:rsid w:val="004D01FC"/>
    <w:rsid w:val="004E28C3"/>
    <w:rsid w:val="004F1F8E"/>
    <w:rsid w:val="004F61AB"/>
    <w:rsid w:val="00512A32"/>
    <w:rsid w:val="005343DA"/>
    <w:rsid w:val="00536C09"/>
    <w:rsid w:val="00544317"/>
    <w:rsid w:val="00560874"/>
    <w:rsid w:val="00560B26"/>
    <w:rsid w:val="00584C26"/>
    <w:rsid w:val="00586CF2"/>
    <w:rsid w:val="005A0209"/>
    <w:rsid w:val="005A7C75"/>
    <w:rsid w:val="005C3768"/>
    <w:rsid w:val="005C48EF"/>
    <w:rsid w:val="005C6C3F"/>
    <w:rsid w:val="005D0A7E"/>
    <w:rsid w:val="005D6E49"/>
    <w:rsid w:val="005E0302"/>
    <w:rsid w:val="00604882"/>
    <w:rsid w:val="006135F1"/>
    <w:rsid w:val="00613635"/>
    <w:rsid w:val="00616BC2"/>
    <w:rsid w:val="0062093D"/>
    <w:rsid w:val="00636020"/>
    <w:rsid w:val="00637ECF"/>
    <w:rsid w:val="00647B59"/>
    <w:rsid w:val="0067002E"/>
    <w:rsid w:val="00682B01"/>
    <w:rsid w:val="00685DBF"/>
    <w:rsid w:val="00690C7B"/>
    <w:rsid w:val="006A4B45"/>
    <w:rsid w:val="006C2D3C"/>
    <w:rsid w:val="006D4724"/>
    <w:rsid w:val="006D6B66"/>
    <w:rsid w:val="006D73BF"/>
    <w:rsid w:val="006F5FA2"/>
    <w:rsid w:val="0070076C"/>
    <w:rsid w:val="00701BAE"/>
    <w:rsid w:val="00705731"/>
    <w:rsid w:val="00721F04"/>
    <w:rsid w:val="00730E95"/>
    <w:rsid w:val="007426B9"/>
    <w:rsid w:val="00757F50"/>
    <w:rsid w:val="00761735"/>
    <w:rsid w:val="00764342"/>
    <w:rsid w:val="00774362"/>
    <w:rsid w:val="007803F9"/>
    <w:rsid w:val="00786598"/>
    <w:rsid w:val="00790C74"/>
    <w:rsid w:val="007A04E8"/>
    <w:rsid w:val="007B0AF8"/>
    <w:rsid w:val="007B2C34"/>
    <w:rsid w:val="007B7846"/>
    <w:rsid w:val="007F282B"/>
    <w:rsid w:val="008021FB"/>
    <w:rsid w:val="00830086"/>
    <w:rsid w:val="0085086B"/>
    <w:rsid w:val="00851625"/>
    <w:rsid w:val="00863C0A"/>
    <w:rsid w:val="00897C2A"/>
    <w:rsid w:val="008A1B8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46ECE"/>
    <w:rsid w:val="00964700"/>
    <w:rsid w:val="00966C16"/>
    <w:rsid w:val="00967392"/>
    <w:rsid w:val="00984669"/>
    <w:rsid w:val="0098732F"/>
    <w:rsid w:val="00995872"/>
    <w:rsid w:val="009A045F"/>
    <w:rsid w:val="009A246C"/>
    <w:rsid w:val="009A6A2B"/>
    <w:rsid w:val="009B4B7A"/>
    <w:rsid w:val="009B5225"/>
    <w:rsid w:val="009C7E7C"/>
    <w:rsid w:val="009E63BF"/>
    <w:rsid w:val="00A00473"/>
    <w:rsid w:val="00A03C9B"/>
    <w:rsid w:val="00A37105"/>
    <w:rsid w:val="00A425FB"/>
    <w:rsid w:val="00A5264B"/>
    <w:rsid w:val="00A53166"/>
    <w:rsid w:val="00A606C3"/>
    <w:rsid w:val="00A73620"/>
    <w:rsid w:val="00A83B09"/>
    <w:rsid w:val="00A84541"/>
    <w:rsid w:val="00AA1D71"/>
    <w:rsid w:val="00AB58F6"/>
    <w:rsid w:val="00AE36A0"/>
    <w:rsid w:val="00B00294"/>
    <w:rsid w:val="00B051B0"/>
    <w:rsid w:val="00B1688C"/>
    <w:rsid w:val="00B245FA"/>
    <w:rsid w:val="00B3749C"/>
    <w:rsid w:val="00B46CC7"/>
    <w:rsid w:val="00B64FD0"/>
    <w:rsid w:val="00B73D52"/>
    <w:rsid w:val="00B85D07"/>
    <w:rsid w:val="00BA3343"/>
    <w:rsid w:val="00BA5BD0"/>
    <w:rsid w:val="00BB1D82"/>
    <w:rsid w:val="00BC217E"/>
    <w:rsid w:val="00BD51C5"/>
    <w:rsid w:val="00BE2CCF"/>
    <w:rsid w:val="00BF26E7"/>
    <w:rsid w:val="00C1305F"/>
    <w:rsid w:val="00C43398"/>
    <w:rsid w:val="00C53FCA"/>
    <w:rsid w:val="00C71DEB"/>
    <w:rsid w:val="00C76BAF"/>
    <w:rsid w:val="00C771E7"/>
    <w:rsid w:val="00C814B9"/>
    <w:rsid w:val="00CA6BB2"/>
    <w:rsid w:val="00CA7855"/>
    <w:rsid w:val="00CB3E09"/>
    <w:rsid w:val="00CB685A"/>
    <w:rsid w:val="00CD3A2E"/>
    <w:rsid w:val="00CD516F"/>
    <w:rsid w:val="00CE4715"/>
    <w:rsid w:val="00CE6DAF"/>
    <w:rsid w:val="00D119A7"/>
    <w:rsid w:val="00D25FBA"/>
    <w:rsid w:val="00D32B28"/>
    <w:rsid w:val="00D3426F"/>
    <w:rsid w:val="00D42439"/>
    <w:rsid w:val="00D42954"/>
    <w:rsid w:val="00D66EAC"/>
    <w:rsid w:val="00D730DF"/>
    <w:rsid w:val="00D772F0"/>
    <w:rsid w:val="00D77BDC"/>
    <w:rsid w:val="00DA61B6"/>
    <w:rsid w:val="00DC402B"/>
    <w:rsid w:val="00DE0932"/>
    <w:rsid w:val="00DE656E"/>
    <w:rsid w:val="00DF15E8"/>
    <w:rsid w:val="00E03616"/>
    <w:rsid w:val="00E03A27"/>
    <w:rsid w:val="00E049F1"/>
    <w:rsid w:val="00E06586"/>
    <w:rsid w:val="00E270A9"/>
    <w:rsid w:val="00E37A25"/>
    <w:rsid w:val="00E45EF5"/>
    <w:rsid w:val="00E537FF"/>
    <w:rsid w:val="00E60CB2"/>
    <w:rsid w:val="00E6539B"/>
    <w:rsid w:val="00E70A31"/>
    <w:rsid w:val="00E723A7"/>
    <w:rsid w:val="00E7422F"/>
    <w:rsid w:val="00E9064D"/>
    <w:rsid w:val="00E94462"/>
    <w:rsid w:val="00E968F7"/>
    <w:rsid w:val="00EA29C3"/>
    <w:rsid w:val="00EA3F38"/>
    <w:rsid w:val="00EA5AB6"/>
    <w:rsid w:val="00EB2D22"/>
    <w:rsid w:val="00EC1754"/>
    <w:rsid w:val="00EC7615"/>
    <w:rsid w:val="00ED16AA"/>
    <w:rsid w:val="00ED6B8D"/>
    <w:rsid w:val="00EE3D7B"/>
    <w:rsid w:val="00EF662E"/>
    <w:rsid w:val="00F03D03"/>
    <w:rsid w:val="00F07F42"/>
    <w:rsid w:val="00F10064"/>
    <w:rsid w:val="00F1424C"/>
    <w:rsid w:val="00F148F1"/>
    <w:rsid w:val="00F20852"/>
    <w:rsid w:val="00F328B0"/>
    <w:rsid w:val="00F551A6"/>
    <w:rsid w:val="00F711A7"/>
    <w:rsid w:val="00F82DE9"/>
    <w:rsid w:val="00FA3BBF"/>
    <w:rsid w:val="00FC41F8"/>
    <w:rsid w:val="00FC6896"/>
    <w:rsid w:val="00FD0E94"/>
    <w:rsid w:val="00FD7AA3"/>
    <w:rsid w:val="00FE59E9"/>
    <w:rsid w:val="00FF1C40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8CE0A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dpstylecall">
    <w:name w:val="dpstylecall"/>
    <w:basedOn w:val="Normal"/>
    <w:rsid w:val="003E50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paragraph" w:styleId="Revision">
    <w:name w:val="Revision"/>
    <w:hidden/>
    <w:uiPriority w:val="99"/>
    <w:semiHidden/>
    <w:rsid w:val="006135F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96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R23-WRC23-C-0100!A27-A3!MSW-F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1690B2DF-41CF-4CB6-B7E6-BFAE2204E6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EDE1E1-6FB0-4725-91B6-0AFC816A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1CC91-5FBE-414A-8FC8-3B55D22CCB6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1418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R23-WRC23-C-0100!A27-A3!MSW-F</vt:lpstr>
    </vt:vector>
  </TitlesOfParts>
  <Manager>Secrétariat général - Pool</Manager>
  <Company>Union internationale des télécommunications (UIT)</Company>
  <LinksUpToDate>false</LinksUpToDate>
  <CharactersWithSpaces>9467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6</cp:revision>
  <cp:lastPrinted>2003-06-05T19:34:00Z</cp:lastPrinted>
  <dcterms:created xsi:type="dcterms:W3CDTF">2023-11-11T14:23:00Z</dcterms:created>
  <dcterms:modified xsi:type="dcterms:W3CDTF">2023-11-11T15:33:00Z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