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35C89" w14:paraId="332DF4A8" w14:textId="77777777" w:rsidTr="00C1305F">
        <w:trPr>
          <w:cantSplit/>
        </w:trPr>
        <w:tc>
          <w:tcPr>
            <w:tcW w:w="1418" w:type="dxa"/>
            <w:vAlign w:val="center"/>
          </w:tcPr>
          <w:p w14:paraId="55582CDE" w14:textId="77777777" w:rsidR="00C1305F" w:rsidRPr="00935C89" w:rsidRDefault="00C1305F" w:rsidP="002842BC">
            <w:pPr>
              <w:spacing w:before="0"/>
              <w:rPr>
                <w:rFonts w:ascii="Verdana" w:hAnsi="Verdana"/>
                <w:b/>
                <w:bCs/>
                <w:sz w:val="20"/>
              </w:rPr>
            </w:pPr>
            <w:r w:rsidRPr="00935C89">
              <w:drawing>
                <wp:inline distT="0" distB="0" distL="0" distR="0" wp14:anchorId="5BDA777C" wp14:editId="6726BF03">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2BE1492" w14:textId="7B7BC346" w:rsidR="00C1305F" w:rsidRPr="00935C89" w:rsidRDefault="00C1305F" w:rsidP="002842BC">
            <w:pPr>
              <w:spacing w:before="400" w:after="48"/>
              <w:rPr>
                <w:rFonts w:ascii="Verdana" w:hAnsi="Verdana"/>
                <w:b/>
                <w:bCs/>
                <w:sz w:val="20"/>
              </w:rPr>
            </w:pPr>
            <w:r w:rsidRPr="00935C89">
              <w:rPr>
                <w:rFonts w:ascii="Verdana" w:hAnsi="Verdana"/>
                <w:b/>
                <w:bCs/>
                <w:sz w:val="20"/>
              </w:rPr>
              <w:t>Conférence mondiale des radiocommunications (CMR-23)</w:t>
            </w:r>
            <w:r w:rsidRPr="00935C89">
              <w:rPr>
                <w:rFonts w:ascii="Verdana" w:hAnsi="Verdana"/>
                <w:b/>
                <w:bCs/>
                <w:sz w:val="20"/>
              </w:rPr>
              <w:br/>
            </w:r>
            <w:r w:rsidRPr="00935C89">
              <w:rPr>
                <w:rFonts w:ascii="Verdana" w:hAnsi="Verdana"/>
                <w:b/>
                <w:bCs/>
                <w:sz w:val="18"/>
                <w:szCs w:val="18"/>
              </w:rPr>
              <w:t xml:space="preserve">Dubaï, 20 novembre </w:t>
            </w:r>
            <w:r w:rsidR="00D7341C" w:rsidRPr="00935C89">
              <w:rPr>
                <w:rFonts w:ascii="Verdana" w:hAnsi="Verdana"/>
                <w:b/>
                <w:bCs/>
                <w:sz w:val="18"/>
                <w:szCs w:val="18"/>
              </w:rPr>
              <w:t>–</w:t>
            </w:r>
            <w:r w:rsidRPr="00935C89">
              <w:rPr>
                <w:rFonts w:ascii="Verdana" w:hAnsi="Verdana"/>
                <w:b/>
                <w:bCs/>
                <w:sz w:val="18"/>
                <w:szCs w:val="18"/>
              </w:rPr>
              <w:t xml:space="preserve"> 15 décembre 2023</w:t>
            </w:r>
          </w:p>
        </w:tc>
        <w:tc>
          <w:tcPr>
            <w:tcW w:w="1809" w:type="dxa"/>
            <w:vAlign w:val="center"/>
          </w:tcPr>
          <w:p w14:paraId="4127E94D" w14:textId="77777777" w:rsidR="00C1305F" w:rsidRPr="00935C89" w:rsidRDefault="00C1305F" w:rsidP="002842BC">
            <w:pPr>
              <w:spacing w:before="0"/>
            </w:pPr>
            <w:bookmarkStart w:id="0" w:name="ditulogo"/>
            <w:bookmarkEnd w:id="0"/>
            <w:r w:rsidRPr="00935C89">
              <w:drawing>
                <wp:inline distT="0" distB="0" distL="0" distR="0" wp14:anchorId="547AD6AA" wp14:editId="078A2C4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35C89" w14:paraId="5935A11E" w14:textId="77777777" w:rsidTr="0050008E">
        <w:trPr>
          <w:cantSplit/>
        </w:trPr>
        <w:tc>
          <w:tcPr>
            <w:tcW w:w="6911" w:type="dxa"/>
            <w:gridSpan w:val="2"/>
            <w:tcBorders>
              <w:bottom w:val="single" w:sz="12" w:space="0" w:color="auto"/>
            </w:tcBorders>
          </w:tcPr>
          <w:p w14:paraId="050FA807" w14:textId="77777777" w:rsidR="00BB1D82" w:rsidRPr="00935C89" w:rsidRDefault="00BB1D82" w:rsidP="002842BC">
            <w:pPr>
              <w:spacing w:before="0" w:after="48"/>
              <w:rPr>
                <w:b/>
                <w:smallCaps/>
                <w:szCs w:val="24"/>
              </w:rPr>
            </w:pPr>
            <w:bookmarkStart w:id="1" w:name="dhead"/>
          </w:p>
        </w:tc>
        <w:tc>
          <w:tcPr>
            <w:tcW w:w="3120" w:type="dxa"/>
            <w:gridSpan w:val="2"/>
            <w:tcBorders>
              <w:bottom w:val="single" w:sz="12" w:space="0" w:color="auto"/>
            </w:tcBorders>
          </w:tcPr>
          <w:p w14:paraId="44ADC399" w14:textId="77777777" w:rsidR="00BB1D82" w:rsidRPr="00935C89" w:rsidRDefault="00BB1D82" w:rsidP="002842BC">
            <w:pPr>
              <w:spacing w:before="0"/>
              <w:rPr>
                <w:rFonts w:ascii="Verdana" w:hAnsi="Verdana"/>
                <w:szCs w:val="24"/>
              </w:rPr>
            </w:pPr>
          </w:p>
        </w:tc>
      </w:tr>
      <w:tr w:rsidR="00BB1D82" w:rsidRPr="00935C89" w14:paraId="11BCFB16" w14:textId="77777777" w:rsidTr="00BB1D82">
        <w:trPr>
          <w:cantSplit/>
        </w:trPr>
        <w:tc>
          <w:tcPr>
            <w:tcW w:w="6911" w:type="dxa"/>
            <w:gridSpan w:val="2"/>
            <w:tcBorders>
              <w:top w:val="single" w:sz="12" w:space="0" w:color="auto"/>
            </w:tcBorders>
          </w:tcPr>
          <w:p w14:paraId="7972E23F" w14:textId="77777777" w:rsidR="00BB1D82" w:rsidRPr="00935C89" w:rsidRDefault="00BB1D82" w:rsidP="002842BC">
            <w:pPr>
              <w:spacing w:before="0" w:after="48"/>
              <w:rPr>
                <w:rFonts w:ascii="Verdana" w:hAnsi="Verdana"/>
                <w:b/>
                <w:smallCaps/>
                <w:sz w:val="20"/>
              </w:rPr>
            </w:pPr>
          </w:p>
        </w:tc>
        <w:tc>
          <w:tcPr>
            <w:tcW w:w="3120" w:type="dxa"/>
            <w:gridSpan w:val="2"/>
            <w:tcBorders>
              <w:top w:val="single" w:sz="12" w:space="0" w:color="auto"/>
            </w:tcBorders>
          </w:tcPr>
          <w:p w14:paraId="475E8FBC" w14:textId="77777777" w:rsidR="00BB1D82" w:rsidRPr="00935C89" w:rsidRDefault="00BB1D82" w:rsidP="002842BC">
            <w:pPr>
              <w:spacing w:before="0"/>
              <w:rPr>
                <w:rFonts w:ascii="Verdana" w:hAnsi="Verdana"/>
                <w:sz w:val="20"/>
              </w:rPr>
            </w:pPr>
          </w:p>
        </w:tc>
      </w:tr>
      <w:tr w:rsidR="00BB1D82" w:rsidRPr="00935C89" w14:paraId="231A968F" w14:textId="77777777" w:rsidTr="00BB1D82">
        <w:trPr>
          <w:cantSplit/>
        </w:trPr>
        <w:tc>
          <w:tcPr>
            <w:tcW w:w="6911" w:type="dxa"/>
            <w:gridSpan w:val="2"/>
          </w:tcPr>
          <w:p w14:paraId="19F94207" w14:textId="77777777" w:rsidR="00BB1D82" w:rsidRPr="00935C89" w:rsidRDefault="006D4724" w:rsidP="002842BC">
            <w:pPr>
              <w:spacing w:before="0"/>
              <w:rPr>
                <w:rFonts w:ascii="Verdana" w:hAnsi="Verdana"/>
                <w:b/>
                <w:sz w:val="20"/>
              </w:rPr>
            </w:pPr>
            <w:r w:rsidRPr="00935C89">
              <w:rPr>
                <w:rFonts w:ascii="Verdana" w:hAnsi="Verdana"/>
                <w:b/>
                <w:sz w:val="20"/>
              </w:rPr>
              <w:t>SÉANCE PLÉNIÈRE</w:t>
            </w:r>
          </w:p>
        </w:tc>
        <w:tc>
          <w:tcPr>
            <w:tcW w:w="3120" w:type="dxa"/>
            <w:gridSpan w:val="2"/>
          </w:tcPr>
          <w:p w14:paraId="0A66C184" w14:textId="77777777" w:rsidR="00BB1D82" w:rsidRPr="00935C89" w:rsidRDefault="006D4724" w:rsidP="002842BC">
            <w:pPr>
              <w:spacing w:before="0"/>
              <w:rPr>
                <w:rFonts w:ascii="Verdana" w:hAnsi="Verdana"/>
                <w:sz w:val="20"/>
              </w:rPr>
            </w:pPr>
            <w:r w:rsidRPr="00935C89">
              <w:rPr>
                <w:rFonts w:ascii="Verdana" w:hAnsi="Verdana"/>
                <w:b/>
                <w:sz w:val="20"/>
              </w:rPr>
              <w:t>Addendum 1 au</w:t>
            </w:r>
            <w:r w:rsidRPr="00935C89">
              <w:rPr>
                <w:rFonts w:ascii="Verdana" w:hAnsi="Verdana"/>
                <w:b/>
                <w:sz w:val="20"/>
              </w:rPr>
              <w:br/>
              <w:t>Document 100(Add.27)</w:t>
            </w:r>
            <w:r w:rsidR="00BB1D82" w:rsidRPr="00935C89">
              <w:rPr>
                <w:rFonts w:ascii="Verdana" w:hAnsi="Verdana"/>
                <w:b/>
                <w:sz w:val="20"/>
              </w:rPr>
              <w:t>-</w:t>
            </w:r>
            <w:r w:rsidRPr="00935C89">
              <w:rPr>
                <w:rFonts w:ascii="Verdana" w:hAnsi="Verdana"/>
                <w:b/>
                <w:sz w:val="20"/>
              </w:rPr>
              <w:t>F</w:t>
            </w:r>
          </w:p>
        </w:tc>
      </w:tr>
      <w:bookmarkEnd w:id="1"/>
      <w:tr w:rsidR="00690C7B" w:rsidRPr="00935C89" w14:paraId="44FE50AE" w14:textId="77777777" w:rsidTr="00BB1D82">
        <w:trPr>
          <w:cantSplit/>
        </w:trPr>
        <w:tc>
          <w:tcPr>
            <w:tcW w:w="6911" w:type="dxa"/>
            <w:gridSpan w:val="2"/>
          </w:tcPr>
          <w:p w14:paraId="4E0EA8DE" w14:textId="77777777" w:rsidR="00690C7B" w:rsidRPr="00935C89" w:rsidRDefault="00690C7B" w:rsidP="002842BC">
            <w:pPr>
              <w:spacing w:before="0"/>
              <w:rPr>
                <w:rFonts w:ascii="Verdana" w:hAnsi="Verdana"/>
                <w:b/>
                <w:sz w:val="20"/>
              </w:rPr>
            </w:pPr>
          </w:p>
        </w:tc>
        <w:tc>
          <w:tcPr>
            <w:tcW w:w="3120" w:type="dxa"/>
            <w:gridSpan w:val="2"/>
          </w:tcPr>
          <w:p w14:paraId="237119FA" w14:textId="77777777" w:rsidR="00690C7B" w:rsidRPr="00935C89" w:rsidRDefault="00690C7B" w:rsidP="002842BC">
            <w:pPr>
              <w:spacing w:before="0"/>
              <w:rPr>
                <w:rFonts w:ascii="Verdana" w:hAnsi="Verdana"/>
                <w:b/>
                <w:sz w:val="20"/>
              </w:rPr>
            </w:pPr>
            <w:r w:rsidRPr="00935C89">
              <w:rPr>
                <w:rFonts w:ascii="Verdana" w:hAnsi="Verdana"/>
                <w:b/>
                <w:sz w:val="20"/>
              </w:rPr>
              <w:t>27 octobre 2023</w:t>
            </w:r>
          </w:p>
        </w:tc>
      </w:tr>
      <w:tr w:rsidR="00690C7B" w:rsidRPr="00935C89" w14:paraId="09648734" w14:textId="77777777" w:rsidTr="00BB1D82">
        <w:trPr>
          <w:cantSplit/>
        </w:trPr>
        <w:tc>
          <w:tcPr>
            <w:tcW w:w="6911" w:type="dxa"/>
            <w:gridSpan w:val="2"/>
          </w:tcPr>
          <w:p w14:paraId="6B69FA46" w14:textId="77777777" w:rsidR="00690C7B" w:rsidRPr="00935C89" w:rsidRDefault="00690C7B" w:rsidP="002842BC">
            <w:pPr>
              <w:spacing w:before="0" w:after="48"/>
              <w:rPr>
                <w:rFonts w:ascii="Verdana" w:hAnsi="Verdana"/>
                <w:b/>
                <w:smallCaps/>
                <w:sz w:val="20"/>
              </w:rPr>
            </w:pPr>
          </w:p>
        </w:tc>
        <w:tc>
          <w:tcPr>
            <w:tcW w:w="3120" w:type="dxa"/>
            <w:gridSpan w:val="2"/>
          </w:tcPr>
          <w:p w14:paraId="5BB3522E" w14:textId="77777777" w:rsidR="00690C7B" w:rsidRPr="00935C89" w:rsidRDefault="00690C7B" w:rsidP="002842BC">
            <w:pPr>
              <w:spacing w:before="0"/>
              <w:rPr>
                <w:rFonts w:ascii="Verdana" w:hAnsi="Verdana"/>
                <w:b/>
                <w:sz w:val="20"/>
              </w:rPr>
            </w:pPr>
            <w:r w:rsidRPr="00935C89">
              <w:rPr>
                <w:rFonts w:ascii="Verdana" w:hAnsi="Verdana"/>
                <w:b/>
                <w:sz w:val="20"/>
              </w:rPr>
              <w:t>Original: anglais</w:t>
            </w:r>
          </w:p>
        </w:tc>
      </w:tr>
      <w:tr w:rsidR="00690C7B" w:rsidRPr="00935C89" w14:paraId="4FD36A8C" w14:textId="77777777" w:rsidTr="00C11970">
        <w:trPr>
          <w:cantSplit/>
        </w:trPr>
        <w:tc>
          <w:tcPr>
            <w:tcW w:w="10031" w:type="dxa"/>
            <w:gridSpan w:val="4"/>
          </w:tcPr>
          <w:p w14:paraId="70A39D38" w14:textId="77777777" w:rsidR="00690C7B" w:rsidRPr="00935C89" w:rsidRDefault="00690C7B" w:rsidP="002842BC">
            <w:pPr>
              <w:spacing w:before="0"/>
              <w:rPr>
                <w:rFonts w:ascii="Verdana" w:hAnsi="Verdana"/>
                <w:b/>
                <w:sz w:val="20"/>
              </w:rPr>
            </w:pPr>
          </w:p>
        </w:tc>
      </w:tr>
      <w:tr w:rsidR="00690C7B" w:rsidRPr="00935C89" w14:paraId="572C400A" w14:textId="77777777" w:rsidTr="0050008E">
        <w:trPr>
          <w:cantSplit/>
        </w:trPr>
        <w:tc>
          <w:tcPr>
            <w:tcW w:w="10031" w:type="dxa"/>
            <w:gridSpan w:val="4"/>
          </w:tcPr>
          <w:p w14:paraId="7CAB6AC7" w14:textId="77777777" w:rsidR="00690C7B" w:rsidRPr="00935C89" w:rsidRDefault="00690C7B" w:rsidP="002842BC">
            <w:pPr>
              <w:pStyle w:val="Source"/>
            </w:pPr>
            <w:bookmarkStart w:id="2" w:name="dsource" w:colFirst="0" w:colLast="0"/>
            <w:r w:rsidRPr="00935C89">
              <w:t>Propositions communes des États arabes</w:t>
            </w:r>
          </w:p>
        </w:tc>
      </w:tr>
      <w:tr w:rsidR="00690C7B" w:rsidRPr="00935C89" w14:paraId="6EB47B2D" w14:textId="77777777" w:rsidTr="0050008E">
        <w:trPr>
          <w:cantSplit/>
        </w:trPr>
        <w:tc>
          <w:tcPr>
            <w:tcW w:w="10031" w:type="dxa"/>
            <w:gridSpan w:val="4"/>
          </w:tcPr>
          <w:p w14:paraId="57A1A143" w14:textId="07D2A884" w:rsidR="00690C7B" w:rsidRPr="00935C89" w:rsidRDefault="00D7341C" w:rsidP="002842BC">
            <w:pPr>
              <w:pStyle w:val="Title1"/>
            </w:pPr>
            <w:bookmarkStart w:id="3" w:name="dtitle1" w:colFirst="0" w:colLast="0"/>
            <w:bookmarkEnd w:id="2"/>
            <w:r w:rsidRPr="00935C89">
              <w:t>Propositions pour les travaux de la Conférence</w:t>
            </w:r>
          </w:p>
        </w:tc>
      </w:tr>
      <w:tr w:rsidR="00690C7B" w:rsidRPr="00935C89" w14:paraId="4DF75820" w14:textId="77777777" w:rsidTr="0050008E">
        <w:trPr>
          <w:cantSplit/>
        </w:trPr>
        <w:tc>
          <w:tcPr>
            <w:tcW w:w="10031" w:type="dxa"/>
            <w:gridSpan w:val="4"/>
          </w:tcPr>
          <w:p w14:paraId="1CE66682" w14:textId="77777777" w:rsidR="00690C7B" w:rsidRPr="00935C89" w:rsidRDefault="00690C7B" w:rsidP="002842BC">
            <w:pPr>
              <w:pStyle w:val="Title2"/>
            </w:pPr>
            <w:bookmarkStart w:id="4" w:name="dtitle2" w:colFirst="0" w:colLast="0"/>
            <w:bookmarkEnd w:id="3"/>
          </w:p>
        </w:tc>
      </w:tr>
      <w:tr w:rsidR="00690C7B" w:rsidRPr="00935C89" w14:paraId="0BBB7E30" w14:textId="77777777" w:rsidTr="0050008E">
        <w:trPr>
          <w:cantSplit/>
        </w:trPr>
        <w:tc>
          <w:tcPr>
            <w:tcW w:w="10031" w:type="dxa"/>
            <w:gridSpan w:val="4"/>
          </w:tcPr>
          <w:p w14:paraId="24FCA7BB" w14:textId="77777777" w:rsidR="00690C7B" w:rsidRPr="00935C89" w:rsidRDefault="00690C7B" w:rsidP="002842BC">
            <w:pPr>
              <w:pStyle w:val="Agendaitem"/>
              <w:rPr>
                <w:lang w:val="fr-FR"/>
              </w:rPr>
            </w:pPr>
            <w:bookmarkStart w:id="5" w:name="dtitle3" w:colFirst="0" w:colLast="0"/>
            <w:bookmarkEnd w:id="4"/>
            <w:r w:rsidRPr="00935C89">
              <w:rPr>
                <w:lang w:val="fr-FR"/>
              </w:rPr>
              <w:t>Point 10 de l'ordre du jour</w:t>
            </w:r>
          </w:p>
        </w:tc>
      </w:tr>
    </w:tbl>
    <w:bookmarkEnd w:id="5"/>
    <w:p w14:paraId="32E4B554" w14:textId="5E671F31" w:rsidR="008B06AC" w:rsidRPr="00935C89" w:rsidRDefault="008B06AC" w:rsidP="002842BC">
      <w:r w:rsidRPr="00935C89">
        <w:t>10</w:t>
      </w:r>
      <w:r w:rsidRPr="00935C89">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935C89">
        <w:rPr>
          <w:b/>
        </w:rPr>
        <w:t>804 (Rév.CMR-19)</w:t>
      </w:r>
      <w:r w:rsidRPr="00935C89">
        <w:t>,</w:t>
      </w:r>
    </w:p>
    <w:p w14:paraId="352485E0" w14:textId="14C2159E" w:rsidR="00764BE6" w:rsidRPr="00935C89" w:rsidRDefault="00764BE6" w:rsidP="00764BE6">
      <w:pPr>
        <w:pStyle w:val="Headingb"/>
        <w:spacing w:before="480"/>
      </w:pPr>
      <w:r w:rsidRPr="00935C89">
        <w:t>Proposition</w:t>
      </w:r>
    </w:p>
    <w:p w14:paraId="145EFF68" w14:textId="77777777" w:rsidR="0015203F" w:rsidRPr="00935C89" w:rsidRDefault="0015203F" w:rsidP="002842BC">
      <w:pPr>
        <w:tabs>
          <w:tab w:val="clear" w:pos="1134"/>
          <w:tab w:val="clear" w:pos="1871"/>
          <w:tab w:val="clear" w:pos="2268"/>
        </w:tabs>
        <w:overflowPunct/>
        <w:autoSpaceDE/>
        <w:autoSpaceDN/>
        <w:adjustRightInd/>
        <w:spacing w:before="0"/>
        <w:textAlignment w:val="auto"/>
      </w:pPr>
      <w:r w:rsidRPr="00935C89">
        <w:br w:type="page"/>
      </w:r>
    </w:p>
    <w:p w14:paraId="1B78EE5C" w14:textId="77777777" w:rsidR="00F027A3" w:rsidRPr="00935C89" w:rsidRDefault="008B06AC" w:rsidP="002842BC">
      <w:pPr>
        <w:pStyle w:val="Proposal"/>
      </w:pPr>
      <w:r w:rsidRPr="00935C89">
        <w:lastRenderedPageBreak/>
        <w:t>ADD</w:t>
      </w:r>
      <w:r w:rsidRPr="00935C89">
        <w:tab/>
        <w:t>ARB/100A27A1/1</w:t>
      </w:r>
    </w:p>
    <w:p w14:paraId="095CEE08" w14:textId="39D5547B" w:rsidR="00F027A3" w:rsidRPr="00935C89" w:rsidRDefault="008B06AC" w:rsidP="002842BC">
      <w:pPr>
        <w:pStyle w:val="ResNo"/>
      </w:pPr>
      <w:r w:rsidRPr="00935C89">
        <w:t>Projet de nouvelle R</w:t>
      </w:r>
      <w:r w:rsidR="0078184D" w:rsidRPr="00935C89">
        <w:t>É</w:t>
      </w:r>
      <w:r w:rsidRPr="00935C89">
        <w:t>solution [</w:t>
      </w:r>
      <w:r w:rsidR="00D7341C" w:rsidRPr="00935C89">
        <w:t>ARB-</w:t>
      </w:r>
      <w:r w:rsidR="00D7341C" w:rsidRPr="00935C89">
        <w:rPr>
          <w:rFonts w:eastAsia="Batang"/>
        </w:rPr>
        <w:t>AI 10 IMT-2030</w:t>
      </w:r>
      <w:r w:rsidRPr="00935C89">
        <w:t>]</w:t>
      </w:r>
      <w:r w:rsidR="00D7341C" w:rsidRPr="00935C89">
        <w:t xml:space="preserve"> (CMR</w:t>
      </w:r>
      <w:r w:rsidR="00D7341C" w:rsidRPr="00935C89">
        <w:noBreakHyphen/>
        <w:t>23)</w:t>
      </w:r>
    </w:p>
    <w:p w14:paraId="137732C7" w14:textId="21016AD8" w:rsidR="00D7341C" w:rsidRPr="00935C89" w:rsidRDefault="00BB1F21" w:rsidP="002842BC">
      <w:pPr>
        <w:pStyle w:val="Restitle"/>
      </w:pPr>
      <w:r w:rsidRPr="00935C89">
        <w:t>Études sur les q</w:t>
      </w:r>
      <w:r w:rsidR="00D7341C" w:rsidRPr="00935C89">
        <w:t xml:space="preserve">uestions liées aux fréquences pour les applications des Télécommunications mobiles internationales </w:t>
      </w:r>
      <w:r w:rsidRPr="00935C89">
        <w:t>(IMT)</w:t>
      </w:r>
    </w:p>
    <w:p w14:paraId="5EE3CAD1" w14:textId="67BF0F0F" w:rsidR="00D7341C" w:rsidRPr="00935C89" w:rsidRDefault="00D7341C" w:rsidP="002842BC">
      <w:pPr>
        <w:pStyle w:val="Normalaftertitle"/>
      </w:pPr>
      <w:r w:rsidRPr="00935C89">
        <w:t>La Conférence mondiale des radiocommunications (Dubaï, 2023),</w:t>
      </w:r>
    </w:p>
    <w:p w14:paraId="63E89B8D" w14:textId="74C3FF2D" w:rsidR="00D7341C" w:rsidRPr="00935C89" w:rsidRDefault="00D7341C" w:rsidP="002842BC">
      <w:pPr>
        <w:pStyle w:val="Call"/>
      </w:pPr>
      <w:r w:rsidRPr="00935C89">
        <w:t>considérant</w:t>
      </w:r>
    </w:p>
    <w:p w14:paraId="6DA45214" w14:textId="2EB3B6B7" w:rsidR="00D7341C" w:rsidRPr="00935C89" w:rsidRDefault="00D7341C" w:rsidP="00764BE6">
      <w:r w:rsidRPr="00935C89">
        <w:rPr>
          <w:i/>
          <w:iCs/>
        </w:rPr>
        <w:t>a)</w:t>
      </w:r>
      <w:r w:rsidRPr="00935C89">
        <w:tab/>
        <w:t>que les Télécommunications mobiles internationales (IMT) sont destinées à fournir des services de télécommunication dans le monde entier, quel</w:t>
      </w:r>
      <w:r w:rsidR="0078184D" w:rsidRPr="00935C89">
        <w:t>s</w:t>
      </w:r>
      <w:r w:rsidRPr="00935C89">
        <w:t xml:space="preserve"> que soi</w:t>
      </w:r>
      <w:r w:rsidR="0078184D" w:rsidRPr="00935C89">
        <w:t>en</w:t>
      </w:r>
      <w:r w:rsidRPr="00935C89">
        <w:t>t le lieu et le type de réseau ou de terminal;</w:t>
      </w:r>
    </w:p>
    <w:p w14:paraId="5FDEC5D0" w14:textId="315EEACE" w:rsidR="00D7341C" w:rsidRPr="00935C89" w:rsidRDefault="00D7341C" w:rsidP="00764BE6">
      <w:r w:rsidRPr="00935C89">
        <w:rPr>
          <w:rFonts w:eastAsia="Malgun Gothic"/>
          <w:i/>
          <w:iCs/>
        </w:rPr>
        <w:t>b)</w:t>
      </w:r>
      <w:r w:rsidRPr="00935C89">
        <w:tab/>
        <w:t xml:space="preserve">qu'il est prévu </w:t>
      </w:r>
      <w:r w:rsidR="007C7EC9" w:rsidRPr="00935C89">
        <w:t>que</w:t>
      </w:r>
      <w:r w:rsidRPr="00935C89">
        <w:t xml:space="preserve"> les systèmes IMT</w:t>
      </w:r>
      <w:r w:rsidR="007C7EC9" w:rsidRPr="00935C89">
        <w:t>-2030</w:t>
      </w:r>
      <w:r w:rsidRPr="00935C89">
        <w:t xml:space="preserve"> se développent et prennent en charge divers scénarios d'utilisation qui iront au-delà des systèmes IMT actuels;</w:t>
      </w:r>
    </w:p>
    <w:p w14:paraId="0057937C" w14:textId="0E6194C6" w:rsidR="00D7341C" w:rsidRPr="00935C89" w:rsidRDefault="002565B4" w:rsidP="00764BE6">
      <w:pPr>
        <w:rPr>
          <w:rFonts w:eastAsia="Malgun Gothic"/>
        </w:rPr>
      </w:pPr>
      <w:r w:rsidRPr="00935C89">
        <w:rPr>
          <w:rFonts w:eastAsia="Malgun Gothic"/>
          <w:i/>
          <w:iCs/>
        </w:rPr>
        <w:t>c</w:t>
      </w:r>
      <w:r w:rsidR="00D7341C" w:rsidRPr="00935C89">
        <w:rPr>
          <w:rFonts w:eastAsia="Malgun Gothic"/>
          <w:i/>
          <w:iCs/>
        </w:rPr>
        <w:t>)</w:t>
      </w:r>
      <w:r w:rsidR="00D7341C" w:rsidRPr="00935C89">
        <w:rPr>
          <w:rFonts w:eastAsia="Malgun Gothic"/>
        </w:rPr>
        <w:tab/>
        <w:t>que</w:t>
      </w:r>
      <w:r w:rsidR="00D7341C" w:rsidRPr="00935C89">
        <w:t xml:space="preserve"> la demande de trafic de données pour les communications mobiles au-delà de</w:t>
      </w:r>
      <w:r w:rsidR="002842BC" w:rsidRPr="00935C89">
        <w:t> </w:t>
      </w:r>
      <w:r w:rsidRPr="00935C89">
        <w:t>2030</w:t>
      </w:r>
      <w:r w:rsidR="00D7341C" w:rsidRPr="00935C89">
        <w:t xml:space="preserve"> continue d'augmenter,</w:t>
      </w:r>
      <w:r w:rsidR="00D7341C" w:rsidRPr="00935C89">
        <w:rPr>
          <w:rFonts w:eastAsia="Malgun Gothic"/>
        </w:rPr>
        <w:t xml:space="preserve"> afin d'assurer de nombreuses connexions et de tenir compte de l'expérience utilisateur, notamment dans les zones à forte densité d'utilisateurs;</w:t>
      </w:r>
    </w:p>
    <w:p w14:paraId="0FA87A18" w14:textId="5B89A2B7" w:rsidR="00D7341C" w:rsidRPr="00935C89" w:rsidRDefault="002565B4" w:rsidP="00764BE6">
      <w:pPr>
        <w:rPr>
          <w:rFonts w:eastAsia="Malgun Gothic"/>
        </w:rPr>
      </w:pPr>
      <w:r w:rsidRPr="00935C89">
        <w:rPr>
          <w:rFonts w:eastAsia="Malgun Gothic"/>
          <w:i/>
          <w:iCs/>
        </w:rPr>
        <w:t>d</w:t>
      </w:r>
      <w:r w:rsidR="00D7341C" w:rsidRPr="00935C89">
        <w:rPr>
          <w:rFonts w:eastAsia="Malgun Gothic"/>
          <w:i/>
          <w:iCs/>
        </w:rPr>
        <w:t>)</w:t>
      </w:r>
      <w:r w:rsidR="00D7341C" w:rsidRPr="00935C89">
        <w:rPr>
          <w:rFonts w:eastAsia="Malgun Gothic"/>
        </w:rPr>
        <w:tab/>
      </w:r>
      <w:r w:rsidR="00D7341C" w:rsidRPr="00935C89">
        <w:t xml:space="preserve">que l'UIT-R a élaboré le programme de travail, le calendrier et les procédures nécessaires en vue du développement futur des </w:t>
      </w:r>
      <w:r w:rsidR="00D7341C" w:rsidRPr="00935C89">
        <w:rPr>
          <w:rFonts w:eastAsia="Malgun Gothic"/>
        </w:rPr>
        <w:t xml:space="preserve">IMT, afin d'élaborer des normes à l'horizon </w:t>
      </w:r>
      <w:r w:rsidRPr="00935C89">
        <w:rPr>
          <w:rFonts w:eastAsia="Malgun Gothic"/>
        </w:rPr>
        <w:t>2030</w:t>
      </w:r>
      <w:r w:rsidR="00D7341C" w:rsidRPr="00935C89">
        <w:rPr>
          <w:rFonts w:eastAsia="Malgun Gothic"/>
        </w:rPr>
        <w:t>;</w:t>
      </w:r>
    </w:p>
    <w:p w14:paraId="0F231005" w14:textId="74E3C1F3" w:rsidR="00D7341C" w:rsidRPr="00935C89" w:rsidRDefault="002565B4" w:rsidP="00764BE6">
      <w:r w:rsidRPr="00935C89">
        <w:rPr>
          <w:i/>
          <w:iCs/>
        </w:rPr>
        <w:t>e</w:t>
      </w:r>
      <w:r w:rsidR="00D7341C" w:rsidRPr="00935C89">
        <w:rPr>
          <w:i/>
          <w:iCs/>
        </w:rPr>
        <w:t>)</w:t>
      </w:r>
      <w:r w:rsidR="00D7341C" w:rsidRPr="00935C89">
        <w:tab/>
        <w:t xml:space="preserve">que les applications </w:t>
      </w:r>
      <w:r w:rsidR="003B3EEB" w:rsidRPr="00935C89">
        <w:t xml:space="preserve">mobiles </w:t>
      </w:r>
      <w:r w:rsidR="009F4608" w:rsidRPr="00935C89">
        <w:t xml:space="preserve">des IMT </w:t>
      </w:r>
      <w:r w:rsidR="00733BC0" w:rsidRPr="00935C89">
        <w:t xml:space="preserve">exigeantes en termes de capacité </w:t>
      </w:r>
      <w:r w:rsidR="00D7341C" w:rsidRPr="00935C89">
        <w:t xml:space="preserve">auront besoin de blocs de fréquences contigus </w:t>
      </w:r>
      <w:r w:rsidR="003B3EEB" w:rsidRPr="00935C89">
        <w:t xml:space="preserve">supplémentaires et </w:t>
      </w:r>
      <w:r w:rsidR="00D7341C" w:rsidRPr="00935C89">
        <w:t>plus grands que ceux qui sont disponibles dans les bandes de fréquences actuellement identifiées pour pouvoir être utilisées par les administrations souhaitant mettre en œuvre des IMT;</w:t>
      </w:r>
    </w:p>
    <w:p w14:paraId="4F2A4936" w14:textId="0813F513" w:rsidR="00D7341C" w:rsidRPr="00935C89" w:rsidRDefault="002565B4" w:rsidP="00764BE6">
      <w:r w:rsidRPr="00935C89">
        <w:rPr>
          <w:i/>
          <w:iCs/>
        </w:rPr>
        <w:t>f</w:t>
      </w:r>
      <w:r w:rsidR="00D7341C" w:rsidRPr="00935C89">
        <w:rPr>
          <w:i/>
          <w:iCs/>
        </w:rPr>
        <w:t>)</w:t>
      </w:r>
      <w:r w:rsidR="00D7341C" w:rsidRPr="00935C89">
        <w:tab/>
        <w:t xml:space="preserve">que </w:t>
      </w:r>
      <w:r w:rsidR="00605A56" w:rsidRPr="00935C89">
        <w:t xml:space="preserve">les fréquences </w:t>
      </w:r>
      <w:r w:rsidR="00733BC0" w:rsidRPr="00935C89">
        <w:t xml:space="preserve">à l'intérieur de </w:t>
      </w:r>
      <w:r w:rsidR="00605A56" w:rsidRPr="00935C89">
        <w:t xml:space="preserve">la gamme </w:t>
      </w:r>
      <w:r w:rsidR="003D4367" w:rsidRPr="00935C89">
        <w:t xml:space="preserve">de fréquences </w:t>
      </w:r>
      <w:r w:rsidR="00605A56" w:rsidRPr="00935C89">
        <w:t>7,125-15,35</w:t>
      </w:r>
      <w:r w:rsidR="002842BC" w:rsidRPr="00935C89">
        <w:t xml:space="preserve"> </w:t>
      </w:r>
      <w:r w:rsidR="00D7341C" w:rsidRPr="00935C89">
        <w:t xml:space="preserve">GHz </w:t>
      </w:r>
      <w:r w:rsidR="00605A56" w:rsidRPr="00935C89">
        <w:t>sont essentielles pour la prise en charge de</w:t>
      </w:r>
      <w:r w:rsidR="00B20546" w:rsidRPr="00935C89">
        <w:t>s</w:t>
      </w:r>
      <w:r w:rsidR="00605A56" w:rsidRPr="00935C89">
        <w:t xml:space="preserve"> cas d'utilisation des IMT-2030 </w:t>
      </w:r>
      <w:r w:rsidR="00733BC0" w:rsidRPr="00935C89">
        <w:t>qui</w:t>
      </w:r>
      <w:r w:rsidR="00B20546" w:rsidRPr="00935C89">
        <w:t xml:space="preserve"> nécessitent</w:t>
      </w:r>
      <w:r w:rsidR="00733BC0" w:rsidRPr="00935C89">
        <w:t xml:space="preserve"> </w:t>
      </w:r>
      <w:r w:rsidR="00B20546" w:rsidRPr="00935C89">
        <w:t>une couverture étendue</w:t>
      </w:r>
      <w:r w:rsidR="00733BC0" w:rsidRPr="00935C89">
        <w:t xml:space="preserve"> et </w:t>
      </w:r>
      <w:r w:rsidR="00B20546" w:rsidRPr="00935C89">
        <w:t xml:space="preserve">une </w:t>
      </w:r>
      <w:r w:rsidR="00733BC0" w:rsidRPr="00935C89">
        <w:t>capacité</w:t>
      </w:r>
      <w:r w:rsidR="00B20546" w:rsidRPr="00935C89">
        <w:t xml:space="preserve"> plus grande</w:t>
      </w:r>
      <w:r w:rsidR="00D7341C" w:rsidRPr="00935C89">
        <w:t>;</w:t>
      </w:r>
    </w:p>
    <w:p w14:paraId="24477BB4" w14:textId="1ADC6D85" w:rsidR="00D7341C" w:rsidRPr="00935C89" w:rsidRDefault="002565B4" w:rsidP="00764BE6">
      <w:r w:rsidRPr="00935C89">
        <w:rPr>
          <w:i/>
          <w:iCs/>
        </w:rPr>
        <w:t>g</w:t>
      </w:r>
      <w:r w:rsidR="00D7341C" w:rsidRPr="00935C89">
        <w:rPr>
          <w:i/>
          <w:iCs/>
        </w:rPr>
        <w:t>)</w:t>
      </w:r>
      <w:r w:rsidR="00D7341C" w:rsidRPr="00935C89">
        <w:tab/>
        <w:t xml:space="preserve">que les caractéristiques </w:t>
      </w:r>
      <w:r w:rsidR="00605A56" w:rsidRPr="00935C89">
        <w:t xml:space="preserve">de la gamme </w:t>
      </w:r>
      <w:r w:rsidR="00D7341C" w:rsidRPr="00935C89">
        <w:t xml:space="preserve">de fréquences </w:t>
      </w:r>
      <w:r w:rsidR="00605A56" w:rsidRPr="00935C89">
        <w:t>7,125-15,35</w:t>
      </w:r>
      <w:r w:rsidR="002842BC" w:rsidRPr="00935C89">
        <w:t xml:space="preserve"> </w:t>
      </w:r>
      <w:r w:rsidR="00605A56" w:rsidRPr="00935C89">
        <w:t>GHz</w:t>
      </w:r>
      <w:r w:rsidR="00D7341C" w:rsidRPr="00935C89">
        <w:t>, par exemple la longueur d'onde plus courte, pourraient également permettre l'utilisation de techniques perfectionnées d'entrées multiples/sorties multiples (MIMO) et de formation des faisceaux;</w:t>
      </w:r>
    </w:p>
    <w:p w14:paraId="65F0E415" w14:textId="3EFFC9F6" w:rsidR="00D7341C" w:rsidRPr="00935C89" w:rsidRDefault="002565B4" w:rsidP="00764BE6">
      <w:r w:rsidRPr="00935C89">
        <w:rPr>
          <w:i/>
          <w:iCs/>
        </w:rPr>
        <w:t>h</w:t>
      </w:r>
      <w:r w:rsidR="00D7341C" w:rsidRPr="00935C89">
        <w:rPr>
          <w:i/>
          <w:iCs/>
        </w:rPr>
        <w:t>)</w:t>
      </w:r>
      <w:r w:rsidR="00D7341C" w:rsidRPr="00935C89">
        <w:tab/>
        <w:t>qu'il est vivement souhaitable d'utiliser des bandes harmonisées à l'échelle mondiale pour les IMT, afin de parvenir à l'itinérance mondiale et de tirer parti des économies d'échelle;</w:t>
      </w:r>
    </w:p>
    <w:p w14:paraId="656AE214" w14:textId="1F6EB29F" w:rsidR="00D7341C" w:rsidRPr="00935C89" w:rsidRDefault="002565B4" w:rsidP="00764BE6">
      <w:r w:rsidRPr="00935C89">
        <w:rPr>
          <w:rFonts w:eastAsia="MS Mincho"/>
          <w:i/>
          <w:iCs/>
        </w:rPr>
        <w:t>i</w:t>
      </w:r>
      <w:r w:rsidR="00D7341C" w:rsidRPr="00935C89">
        <w:rPr>
          <w:rFonts w:eastAsia="MS Mincho"/>
          <w:i/>
          <w:iCs/>
        </w:rPr>
        <w:t>)</w:t>
      </w:r>
      <w:r w:rsidR="00D7341C" w:rsidRPr="00935C89">
        <w:rPr>
          <w:rFonts w:eastAsia="MS Mincho"/>
        </w:rPr>
        <w:tab/>
      </w:r>
      <w:r w:rsidR="00D7341C" w:rsidRPr="00935C89">
        <w:t>qu'il est nécessaire de protéger les services existants et de permettre la poursuite de leur développement lorsqu'on examine des bandes de fréquences en vue de faire de nouvelles attributions possibles à un service;</w:t>
      </w:r>
    </w:p>
    <w:p w14:paraId="72FED6C5" w14:textId="6B098138" w:rsidR="00D7341C" w:rsidRPr="00935C89" w:rsidRDefault="002565B4" w:rsidP="00764BE6">
      <w:pPr>
        <w:rPr>
          <w:rFonts w:eastAsia="Malgun Gothic"/>
        </w:rPr>
      </w:pPr>
      <w:r w:rsidRPr="00935C89">
        <w:rPr>
          <w:rFonts w:eastAsia="Malgun Gothic"/>
          <w:i/>
          <w:iCs/>
        </w:rPr>
        <w:t>j</w:t>
      </w:r>
      <w:r w:rsidR="00D7341C" w:rsidRPr="00935C89">
        <w:rPr>
          <w:rFonts w:eastAsia="Malgun Gothic"/>
          <w:i/>
          <w:iCs/>
        </w:rPr>
        <w:t>)</w:t>
      </w:r>
      <w:r w:rsidR="00D7341C" w:rsidRPr="00935C89">
        <w:rPr>
          <w:rFonts w:eastAsia="Malgun Gothic"/>
        </w:rPr>
        <w:tab/>
        <w:t xml:space="preserve">qu'il est nécessaire et très important de choisir judicieusement les bandes de fréquences contiguës pour assurer la couverture, la capacité et la qualité de fonctionnement nécessaires à la </w:t>
      </w:r>
      <w:r w:rsidR="00D7341C" w:rsidRPr="00935C89">
        <w:t xml:space="preserve">mise en </w:t>
      </w:r>
      <w:r w:rsidRPr="00935C89">
        <w:t>œuvre</w:t>
      </w:r>
      <w:r w:rsidR="00D7341C" w:rsidRPr="00935C89">
        <w:t xml:space="preserve"> économique des systèmes futurs, en tenant compte des</w:t>
      </w:r>
      <w:r w:rsidR="00D7341C" w:rsidRPr="00935C89">
        <w:rPr>
          <w:rFonts w:eastAsia="Malgun Gothic"/>
        </w:rPr>
        <w:t xml:space="preserve"> </w:t>
      </w:r>
      <w:r w:rsidR="00D7341C" w:rsidRPr="00935C89">
        <w:t>caractéristiques de propagation des ondes radioélectriques et des facteurs liés à la complexité et au coût de la mise en</w:t>
      </w:r>
      <w:r w:rsidR="00764BE6" w:rsidRPr="00935C89">
        <w:t> </w:t>
      </w:r>
      <w:r w:rsidR="00D7341C" w:rsidRPr="00935C89">
        <w:t>œuvre</w:t>
      </w:r>
      <w:r w:rsidRPr="00935C89">
        <w:rPr>
          <w:rFonts w:eastAsia="Malgun Gothic"/>
        </w:rPr>
        <w:t>;</w:t>
      </w:r>
    </w:p>
    <w:p w14:paraId="06DB1F01" w14:textId="4D89FC6F" w:rsidR="002565B4" w:rsidRPr="00935C89" w:rsidRDefault="002565B4" w:rsidP="00764BE6">
      <w:pPr>
        <w:keepLines/>
        <w:rPr>
          <w:rFonts w:eastAsia="Malgun Gothic"/>
        </w:rPr>
      </w:pPr>
      <w:r w:rsidRPr="00935C89">
        <w:rPr>
          <w:rFonts w:eastAsia="Malgun Gothic"/>
          <w:i/>
          <w:iCs/>
        </w:rPr>
        <w:lastRenderedPageBreak/>
        <w:t>k)</w:t>
      </w:r>
      <w:r w:rsidRPr="00935C89">
        <w:rPr>
          <w:rFonts w:eastAsia="Malgun Gothic"/>
        </w:rPr>
        <w:tab/>
      </w:r>
      <w:r w:rsidRPr="00935C89">
        <w:t>que les systèmes IMT et d'autres systèmes mobiles à large bande contribuent au développement socio-économique mondial, dans la mesure où ils permettent d'offrir des applications multimédias très diverses, telles que les contenus multimédias à plus haute résolution,</w:t>
      </w:r>
      <w:r w:rsidRPr="00935C89">
        <w:rPr>
          <w:rFonts w:eastAsia="Malgun Gothic"/>
        </w:rPr>
        <w:t xml:space="preserve"> l'informatique en nuage sur mobile, les réunions virtuelles, </w:t>
      </w:r>
      <w:r w:rsidR="00333E78" w:rsidRPr="00935C89">
        <w:rPr>
          <w:rFonts w:eastAsia="Malgun Gothic"/>
        </w:rPr>
        <w:t xml:space="preserve">l'apprentissage hybride, </w:t>
      </w:r>
      <w:r w:rsidRPr="00935C89">
        <w:rPr>
          <w:rFonts w:eastAsia="Malgun Gothic"/>
        </w:rPr>
        <w:t xml:space="preserve">la voiture intelligente, la réalité augmentée, la diffusion multimédia en continu en temps réel, </w:t>
      </w:r>
      <w:r w:rsidRPr="00935C89">
        <w:t>la cybersanté sur mobile et d'autres applications,</w:t>
      </w:r>
    </w:p>
    <w:p w14:paraId="3582347C" w14:textId="77777777" w:rsidR="00D7341C" w:rsidRPr="00935C89" w:rsidRDefault="00D7341C" w:rsidP="002842BC">
      <w:pPr>
        <w:pStyle w:val="Call"/>
        <w:rPr>
          <w:rFonts w:eastAsia="MS Mincho"/>
        </w:rPr>
      </w:pPr>
      <w:r w:rsidRPr="00935C89">
        <w:rPr>
          <w:rFonts w:eastAsia="MS Mincho"/>
        </w:rPr>
        <w:t>notant</w:t>
      </w:r>
    </w:p>
    <w:p w14:paraId="5F2448B2" w14:textId="4D7DB726" w:rsidR="00D7341C" w:rsidRPr="00935C89" w:rsidRDefault="00D7341C" w:rsidP="00764BE6">
      <w:r w:rsidRPr="00935C89">
        <w:rPr>
          <w:rFonts w:eastAsia="Malgun Gothic"/>
          <w:i/>
          <w:iCs/>
        </w:rPr>
        <w:t>a)</w:t>
      </w:r>
      <w:r w:rsidRPr="00935C89">
        <w:rPr>
          <w:rFonts w:eastAsia="Malgun Gothic"/>
        </w:rPr>
        <w:tab/>
        <w:t>que la Question UIT-R 229-</w:t>
      </w:r>
      <w:r w:rsidR="002565B4" w:rsidRPr="00935C89">
        <w:rPr>
          <w:rFonts w:eastAsia="Malgun Gothic"/>
        </w:rPr>
        <w:t>5</w:t>
      </w:r>
      <w:r w:rsidRPr="00935C89">
        <w:rPr>
          <w:rFonts w:eastAsia="Malgun Gothic"/>
        </w:rPr>
        <w:t xml:space="preserve">/5 </w:t>
      </w:r>
      <w:r w:rsidRPr="00935C89">
        <w:t xml:space="preserve">traite de la poursuite du développement </w:t>
      </w:r>
      <w:r w:rsidR="0054190F" w:rsidRPr="00935C89">
        <w:t xml:space="preserve">de la composante de Terre des systèmes </w:t>
      </w:r>
      <w:r w:rsidRPr="00935C89">
        <w:t>des IMT;</w:t>
      </w:r>
    </w:p>
    <w:p w14:paraId="0E05B1BA" w14:textId="7DFA1483" w:rsidR="00D7341C" w:rsidRPr="00935C89" w:rsidRDefault="00D7341C" w:rsidP="00764BE6">
      <w:r w:rsidRPr="00935C89">
        <w:rPr>
          <w:rFonts w:eastAsia="Malgun Gothic"/>
          <w:i/>
          <w:iCs/>
        </w:rPr>
        <w:t>b)</w:t>
      </w:r>
      <w:r w:rsidRPr="00935C89">
        <w:tab/>
        <w:t xml:space="preserve">que les IMT englobent à la fois les </w:t>
      </w:r>
      <w:r w:rsidR="002565B4" w:rsidRPr="00935C89">
        <w:t>«</w:t>
      </w:r>
      <w:r w:rsidRPr="00935C89">
        <w:t>IMT</w:t>
      </w:r>
      <w:r w:rsidRPr="00935C89">
        <w:noBreakHyphen/>
        <w:t>2000</w:t>
      </w:r>
      <w:r w:rsidR="002565B4" w:rsidRPr="00935C89">
        <w:t>»</w:t>
      </w:r>
      <w:r w:rsidRPr="00935C89">
        <w:t xml:space="preserve">, les </w:t>
      </w:r>
      <w:r w:rsidR="002565B4" w:rsidRPr="00935C89">
        <w:t>«</w:t>
      </w:r>
      <w:r w:rsidRPr="00935C89">
        <w:t>IMT évoluées</w:t>
      </w:r>
      <w:r w:rsidR="002565B4" w:rsidRPr="00935C89">
        <w:t>»</w:t>
      </w:r>
      <w:r w:rsidRPr="00935C89">
        <w:t xml:space="preserve"> et les «IMT</w:t>
      </w:r>
      <w:r w:rsidR="002842BC" w:rsidRPr="00935C89">
        <w:noBreakHyphen/>
      </w:r>
      <w:r w:rsidRPr="00935C89">
        <w:t>2020», comme indiqué dans la Résolution</w:t>
      </w:r>
      <w:r w:rsidR="002842BC" w:rsidRPr="00935C89">
        <w:t xml:space="preserve"> </w:t>
      </w:r>
      <w:r w:rsidRPr="00935C89">
        <w:t>UIT</w:t>
      </w:r>
      <w:r w:rsidRPr="00935C89">
        <w:noBreakHyphen/>
        <w:t>R</w:t>
      </w:r>
      <w:r w:rsidR="002842BC" w:rsidRPr="00935C89">
        <w:t xml:space="preserve"> </w:t>
      </w:r>
      <w:r w:rsidRPr="00935C89">
        <w:t>56-2;</w:t>
      </w:r>
    </w:p>
    <w:p w14:paraId="0B7FF6FA" w14:textId="30214137" w:rsidR="00D7341C" w:rsidRPr="00935C89" w:rsidRDefault="00D7341C" w:rsidP="00764BE6">
      <w:r w:rsidRPr="00935C89">
        <w:rPr>
          <w:rFonts w:eastAsia="Malgun Gothic"/>
          <w:i/>
          <w:iCs/>
        </w:rPr>
        <w:t>c)</w:t>
      </w:r>
      <w:r w:rsidRPr="00935C89">
        <w:tab/>
        <w:t>que la Résolution UIT-R</w:t>
      </w:r>
      <w:r w:rsidR="000A5952" w:rsidRPr="00935C89">
        <w:t xml:space="preserve"> </w:t>
      </w:r>
      <w:r w:rsidR="002565B4" w:rsidRPr="00935C89">
        <w:t>65</w:t>
      </w:r>
      <w:r w:rsidRPr="00935C89">
        <w:t xml:space="preserve"> traite des principes applicables à l'élaboration des «IMT</w:t>
      </w:r>
      <w:r w:rsidR="002842BC" w:rsidRPr="00935C89">
        <w:noBreakHyphen/>
      </w:r>
      <w:r w:rsidRPr="00935C89">
        <w:t>2020» et que la Question UIT-R 77-</w:t>
      </w:r>
      <w:r w:rsidR="002565B4" w:rsidRPr="00935C89">
        <w:t>8</w:t>
      </w:r>
      <w:r w:rsidRPr="00935C89">
        <w:t xml:space="preserve">/5 traite des besoins des pays en développement en ce qui concerne le développement et la mise en </w:t>
      </w:r>
      <w:r w:rsidR="00F13E2D" w:rsidRPr="00935C89">
        <w:t>œuvre</w:t>
      </w:r>
      <w:r w:rsidRPr="00935C89">
        <w:t xml:space="preserve"> des IMT;</w:t>
      </w:r>
    </w:p>
    <w:p w14:paraId="47329675" w14:textId="0C8F0680" w:rsidR="00D7341C" w:rsidRPr="00935C89" w:rsidRDefault="00D7341C" w:rsidP="00764BE6">
      <w:r w:rsidRPr="00935C89">
        <w:rPr>
          <w:rFonts w:eastAsia="Malgun Gothic"/>
          <w:i/>
          <w:iCs/>
        </w:rPr>
        <w:t>d)</w:t>
      </w:r>
      <w:r w:rsidRPr="00935C89">
        <w:tab/>
        <w:t xml:space="preserve">que la Recommandation </w:t>
      </w:r>
      <w:r w:rsidR="00764BE6" w:rsidRPr="00935C89">
        <w:t>UIT-R M.</w:t>
      </w:r>
      <w:r w:rsidR="004D00D8" w:rsidRPr="00935C89">
        <w:rPr>
          <w:rFonts w:eastAsia="Malgun Gothic"/>
        </w:rPr>
        <w:t xml:space="preserve">[IMT.FRAMWORK FOR 2030 AND BEYOND] </w:t>
      </w:r>
      <w:r w:rsidRPr="00935C89">
        <w:t>définit le cadre et les objectifs généraux de l'évolution future des</w:t>
      </w:r>
      <w:r w:rsidR="003508D1" w:rsidRPr="00935C89">
        <w:t xml:space="preserve"> </w:t>
      </w:r>
      <w:r w:rsidR="004D00D8" w:rsidRPr="00935C89">
        <w:t>IMT-2030</w:t>
      </w:r>
      <w:r w:rsidRPr="00935C89">
        <w:t>;</w:t>
      </w:r>
    </w:p>
    <w:p w14:paraId="7AC2E4D6" w14:textId="21E07939" w:rsidR="00D7341C" w:rsidRPr="00935C89" w:rsidRDefault="00D7341C" w:rsidP="00764BE6">
      <w:r w:rsidRPr="00935C89">
        <w:rPr>
          <w:i/>
          <w:iCs/>
        </w:rPr>
        <w:t>e)</w:t>
      </w:r>
      <w:r w:rsidRPr="00935C89">
        <w:rPr>
          <w:rFonts w:eastAsia="Malgun Gothic"/>
        </w:rPr>
        <w:tab/>
        <w:t xml:space="preserve">que </w:t>
      </w:r>
      <w:r w:rsidRPr="00935C89">
        <w:t>le Rapport UIT-R</w:t>
      </w:r>
      <w:r w:rsidR="002842BC" w:rsidRPr="00935C89">
        <w:t xml:space="preserve"> </w:t>
      </w:r>
      <w:r w:rsidRPr="00935C89">
        <w:t>M.2320 traite de l'évolution technologique future des systèmes</w:t>
      </w:r>
      <w:r w:rsidR="00764BE6" w:rsidRPr="00935C89">
        <w:t> </w:t>
      </w:r>
      <w:r w:rsidRPr="00935C89">
        <w:t>IMT de Terre</w:t>
      </w:r>
      <w:r w:rsidRPr="00935C89">
        <w:rPr>
          <w:rFonts w:eastAsia="Malgun Gothic"/>
        </w:rPr>
        <w:t>;</w:t>
      </w:r>
    </w:p>
    <w:p w14:paraId="21D1D9E2" w14:textId="77777777" w:rsidR="00D7341C" w:rsidRPr="00935C89" w:rsidRDefault="00D7341C" w:rsidP="00764BE6">
      <w:r w:rsidRPr="00935C89">
        <w:rPr>
          <w:rFonts w:eastAsia="Malgun Gothic"/>
          <w:i/>
          <w:iCs/>
        </w:rPr>
        <w:t>f)</w:t>
      </w:r>
      <w:r w:rsidRPr="00935C89">
        <w:rPr>
          <w:rFonts w:eastAsia="Malgun Gothic"/>
        </w:rPr>
        <w:tab/>
      </w:r>
      <w:r w:rsidRPr="00935C89">
        <w:t>que le Rapport UIT-R M.2376 traite de la possibilité sur le plan technique de déployer des IMT dans les bandes supérieures à 6 GHz;</w:t>
      </w:r>
    </w:p>
    <w:p w14:paraId="49B0E93A" w14:textId="0D614385" w:rsidR="00D7341C" w:rsidRPr="00935C89" w:rsidRDefault="002565B4" w:rsidP="00764BE6">
      <w:r w:rsidRPr="00935C89">
        <w:rPr>
          <w:i/>
          <w:iCs/>
        </w:rPr>
        <w:t>g</w:t>
      </w:r>
      <w:r w:rsidR="00D7341C" w:rsidRPr="00935C89">
        <w:rPr>
          <w:i/>
          <w:iCs/>
        </w:rPr>
        <w:t>)</w:t>
      </w:r>
      <w:r w:rsidR="00D7341C" w:rsidRPr="00935C89">
        <w:tab/>
      </w:r>
      <w:r w:rsidR="004D00D8" w:rsidRPr="00935C89">
        <w:t>que l'UIT-R a commencé</w:t>
      </w:r>
      <w:r w:rsidR="00CE31F7" w:rsidRPr="00935C89">
        <w:t>, en 2021,</w:t>
      </w:r>
      <w:r w:rsidR="004D00D8" w:rsidRPr="00935C89">
        <w:t xml:space="preserve"> ses travaux prospectifs </w:t>
      </w:r>
      <w:r w:rsidR="00CE31F7" w:rsidRPr="00935C89">
        <w:t xml:space="preserve">visant à étudier </w:t>
      </w:r>
      <w:r w:rsidR="004D00D8" w:rsidRPr="00935C89">
        <w:t xml:space="preserve">l'évolution technologique future et a rédigé le projet de nouveau </w:t>
      </w:r>
      <w:r w:rsidR="003C351F" w:rsidRPr="00935C89">
        <w:t>R</w:t>
      </w:r>
      <w:r w:rsidR="004D00D8" w:rsidRPr="00935C89">
        <w:t>apport UIT-R M.[IMT.FUTURE TECHNOLOGY TRENDS OF TERRESTRIAL IMT SYSTEMS TOWARDS 2030 AND BEYOND]</w:t>
      </w:r>
      <w:r w:rsidR="00D7341C" w:rsidRPr="00935C89">
        <w:t>,</w:t>
      </w:r>
    </w:p>
    <w:p w14:paraId="22F02C77" w14:textId="77777777" w:rsidR="00D7341C" w:rsidRPr="00935C89" w:rsidRDefault="00D7341C" w:rsidP="002842BC">
      <w:pPr>
        <w:pStyle w:val="Call"/>
      </w:pPr>
      <w:r w:rsidRPr="00935C89">
        <w:t>reconnaissant</w:t>
      </w:r>
    </w:p>
    <w:p w14:paraId="72E69543" w14:textId="77777777" w:rsidR="00D7341C" w:rsidRPr="00935C89" w:rsidRDefault="00D7341C" w:rsidP="00764BE6">
      <w:r w:rsidRPr="00935C89">
        <w:rPr>
          <w:i/>
          <w:iCs/>
        </w:rPr>
        <w:t>a)</w:t>
      </w:r>
      <w:r w:rsidRPr="00935C89">
        <w:tab/>
        <w:t>qu'il s'écoule un laps de temps relativement long entre l'attribution de bandes de fréquences par les conférences mondiales des radiocommunications et le déploiement de systèmes dans ces bandes et qu'il est donc important de mettre rapidement à disposition des blocs de fréquences contigus bien définis, pour permettre le développement des applications à large bande telles que les IMT;</w:t>
      </w:r>
    </w:p>
    <w:p w14:paraId="12F928D9" w14:textId="5F437998" w:rsidR="00D7341C" w:rsidRPr="00935C89" w:rsidRDefault="00D7341C" w:rsidP="00764BE6">
      <w:pPr>
        <w:rPr>
          <w:rFonts w:eastAsia="MS Mincho"/>
        </w:rPr>
      </w:pPr>
      <w:r w:rsidRPr="00935C89">
        <w:rPr>
          <w:rFonts w:eastAsia="MS Mincho"/>
          <w:i/>
          <w:iCs/>
        </w:rPr>
        <w:t>b)</w:t>
      </w:r>
      <w:r w:rsidRPr="00935C89">
        <w:rPr>
          <w:rFonts w:eastAsia="MS Mincho"/>
        </w:rPr>
        <w:tab/>
      </w:r>
      <w:r w:rsidR="007075FC" w:rsidRPr="00935C89">
        <w:t>que pour assurer le développement futur des IMT, il est important de faire en sorte que des bandes de fréquences additionnelles soient identifiées en temps voulu</w:t>
      </w:r>
      <w:r w:rsidRPr="00935C89">
        <w:rPr>
          <w:rFonts w:eastAsia="MS Mincho"/>
        </w:rPr>
        <w:t>;</w:t>
      </w:r>
    </w:p>
    <w:p w14:paraId="7BA0C9E5" w14:textId="096B34A1" w:rsidR="00D7341C" w:rsidRPr="00935C89" w:rsidRDefault="00D7341C" w:rsidP="00764BE6">
      <w:r w:rsidRPr="00935C89">
        <w:rPr>
          <w:i/>
          <w:iCs/>
        </w:rPr>
        <w:t>c)</w:t>
      </w:r>
      <w:r w:rsidRPr="00935C89">
        <w:tab/>
        <w:t>que toute identification de bandes de fréquences pour les IMT devrait tenir compte de l'utilisation des bandes par d'autres services</w:t>
      </w:r>
      <w:r w:rsidR="002565B4" w:rsidRPr="00935C89">
        <w:t>;</w:t>
      </w:r>
    </w:p>
    <w:p w14:paraId="43B3E494" w14:textId="5A067691" w:rsidR="002565B4" w:rsidRPr="00935C89" w:rsidRDefault="002565B4" w:rsidP="00764BE6">
      <w:pPr>
        <w:rPr>
          <w:rFonts w:eastAsia="Malgun Gothic"/>
        </w:rPr>
      </w:pPr>
      <w:r w:rsidRPr="00935C89">
        <w:rPr>
          <w:rFonts w:eastAsia="Malgun Gothic"/>
          <w:i/>
          <w:iCs/>
        </w:rPr>
        <w:t>d)</w:t>
      </w:r>
      <w:r w:rsidRPr="00935C89">
        <w:rPr>
          <w:rFonts w:eastAsia="Malgun Gothic"/>
        </w:rPr>
        <w:tab/>
        <w:t>que les caractéristiques de propagation des systèmes mobiles dans les bandes de fréquences supérieures font actuellement l'objet d'études à l'UIT-R;</w:t>
      </w:r>
    </w:p>
    <w:p w14:paraId="196B4603" w14:textId="3084C02B" w:rsidR="002565B4" w:rsidRPr="00935C89" w:rsidRDefault="002565B4" w:rsidP="00764BE6">
      <w:pPr>
        <w:rPr>
          <w:rFonts w:eastAsia="MS Mincho"/>
        </w:rPr>
      </w:pPr>
      <w:r w:rsidRPr="00935C89">
        <w:rPr>
          <w:rFonts w:eastAsia="Malgun Gothic"/>
          <w:i/>
          <w:iCs/>
        </w:rPr>
        <w:t>e)</w:t>
      </w:r>
      <w:r w:rsidRPr="00935C89">
        <w:rPr>
          <w:rFonts w:eastAsia="Malgun Gothic"/>
        </w:rPr>
        <w:tab/>
      </w:r>
      <w:r w:rsidR="00CE31F7" w:rsidRPr="00935C89">
        <w:rPr>
          <w:rFonts w:eastAsia="Malgun Gothic"/>
        </w:rPr>
        <w:t>qu'une harmonisation entre les régions présente des avantages importants</w:t>
      </w:r>
      <w:r w:rsidRPr="00935C89">
        <w:rPr>
          <w:rFonts w:eastAsia="Malgun Gothic"/>
        </w:rPr>
        <w:t>,</w:t>
      </w:r>
    </w:p>
    <w:p w14:paraId="626E57D1" w14:textId="77777777" w:rsidR="00D7341C" w:rsidRPr="00935C89" w:rsidRDefault="00D7341C" w:rsidP="002842BC">
      <w:pPr>
        <w:pStyle w:val="Call"/>
        <w:rPr>
          <w:rFonts w:eastAsiaTheme="minorEastAsia"/>
        </w:rPr>
      </w:pPr>
      <w:r w:rsidRPr="00935C89">
        <w:rPr>
          <w:rFonts w:eastAsiaTheme="minorEastAsia"/>
        </w:rPr>
        <w:t>décide d'inviter l'UIT-R</w:t>
      </w:r>
    </w:p>
    <w:p w14:paraId="64EC3CD5" w14:textId="2399C17D" w:rsidR="00D7341C" w:rsidRPr="00935C89" w:rsidRDefault="00D7341C" w:rsidP="00764BE6">
      <w:pPr>
        <w:rPr>
          <w:rFonts w:eastAsiaTheme="minorEastAsia"/>
        </w:rPr>
      </w:pPr>
      <w:r w:rsidRPr="00935C89">
        <w:rPr>
          <w:rFonts w:eastAsiaTheme="minorEastAsia"/>
        </w:rPr>
        <w:t>1</w:t>
      </w:r>
      <w:r w:rsidRPr="00935C89">
        <w:rPr>
          <w:rFonts w:eastAsiaTheme="minorEastAsia"/>
        </w:rPr>
        <w:tab/>
      </w:r>
      <w:r w:rsidRPr="00935C89">
        <w:t xml:space="preserve">à </w:t>
      </w:r>
      <w:r w:rsidR="003C351F" w:rsidRPr="00935C89">
        <w:t xml:space="preserve">effectuer et achever </w:t>
      </w:r>
      <w:r w:rsidR="00F565AF" w:rsidRPr="00935C89">
        <w:t xml:space="preserve">des études relatives à la possibilité d'utiliser les systèmes IMT </w:t>
      </w:r>
      <w:r w:rsidR="00650A3F" w:rsidRPr="00935C89">
        <w:t xml:space="preserve">dans des bandes de fréquences de la gamme de fréquences </w:t>
      </w:r>
      <w:r w:rsidR="003508D1" w:rsidRPr="00935C89">
        <w:t xml:space="preserve">essentielle </w:t>
      </w:r>
      <w:r w:rsidR="00650A3F" w:rsidRPr="00935C89">
        <w:t>7,125-15,35</w:t>
      </w:r>
      <w:r w:rsidR="002842BC" w:rsidRPr="00935C89">
        <w:t xml:space="preserve"> </w:t>
      </w:r>
      <w:r w:rsidR="00650A3F" w:rsidRPr="00935C89">
        <w:t>GHz</w:t>
      </w:r>
      <w:r w:rsidR="007075FC" w:rsidRPr="00935C89">
        <w:t>;</w:t>
      </w:r>
    </w:p>
    <w:p w14:paraId="55E6B662" w14:textId="5D708F72" w:rsidR="00D7341C" w:rsidRPr="00935C89" w:rsidRDefault="00D7341C" w:rsidP="00764BE6">
      <w:r w:rsidRPr="00935C89">
        <w:lastRenderedPageBreak/>
        <w:t>2</w:t>
      </w:r>
      <w:r w:rsidRPr="00935C89">
        <w:tab/>
        <w:t>à procéder à des études de partage entre le service mobile et les autres services auxquels les bandes sont attribuées</w:t>
      </w:r>
      <w:r w:rsidR="00695501" w:rsidRPr="00935C89">
        <w:t xml:space="preserve"> à titre primaire</w:t>
      </w:r>
      <w:r w:rsidRPr="00935C89">
        <w:t>, en tenant compte des conditions existantes énoncées dans le Règlement des radiocommunications, ainsi que de l'utilisation des bandes par les autres services;</w:t>
      </w:r>
    </w:p>
    <w:p w14:paraId="0EEFAE56" w14:textId="2E8F29D5" w:rsidR="00D7341C" w:rsidRPr="00935C89" w:rsidRDefault="00D7341C" w:rsidP="00764BE6">
      <w:pPr>
        <w:rPr>
          <w:rStyle w:val="BRNormal"/>
        </w:rPr>
      </w:pPr>
      <w:r w:rsidRPr="00935C89">
        <w:t>3</w:t>
      </w:r>
      <w:r w:rsidRPr="00935C89">
        <w:tab/>
        <w:t>à procéder à des études de compatibilité entre le service mobile et les autres services dans les bandes adjacentes</w:t>
      </w:r>
      <w:r w:rsidR="00D73959" w:rsidRPr="00935C89">
        <w:t xml:space="preserve"> attribuées à titre primaire</w:t>
      </w:r>
      <w:r w:rsidRPr="00935C89">
        <w:t>, en tenant compte des conditions existantes énoncées dans le Règlement des radiocommunications, ainsi que de l'utilisation des bandes par les autres services</w:t>
      </w:r>
      <w:r w:rsidR="007075FC" w:rsidRPr="00935C89">
        <w:t>,</w:t>
      </w:r>
    </w:p>
    <w:p w14:paraId="1726AA98" w14:textId="47B89CAA" w:rsidR="00D7341C" w:rsidRPr="00935C89" w:rsidRDefault="00D7341C" w:rsidP="00764BE6">
      <w:pPr>
        <w:pStyle w:val="Call"/>
        <w:keepNext w:val="0"/>
        <w:keepLines w:val="0"/>
      </w:pPr>
      <w:r w:rsidRPr="00935C89">
        <w:t>décide en outre d'inviter la CMR-</w:t>
      </w:r>
      <w:r w:rsidR="007075FC" w:rsidRPr="00935C89">
        <w:t>27</w:t>
      </w:r>
    </w:p>
    <w:p w14:paraId="06DC2E92" w14:textId="17DE0139" w:rsidR="00F027A3" w:rsidRPr="00935C89" w:rsidRDefault="00D7341C" w:rsidP="00764BE6">
      <w:pPr>
        <w:rPr>
          <w:rFonts w:eastAsiaTheme="minorEastAsia"/>
        </w:rPr>
      </w:pPr>
      <w:r w:rsidRPr="00935C89">
        <w:rPr>
          <w:rFonts w:eastAsiaTheme="minorEastAsia"/>
        </w:rPr>
        <w:t xml:space="preserve">à examiner, en se fondant sur les résultats des études pertinentes, </w:t>
      </w:r>
      <w:r w:rsidR="00D73959" w:rsidRPr="00935C89">
        <w:rPr>
          <w:rFonts w:eastAsiaTheme="minorEastAsia"/>
        </w:rPr>
        <w:t xml:space="preserve">l'identification de bandes de fréquences </w:t>
      </w:r>
      <w:r w:rsidR="007C12B1" w:rsidRPr="00935C89">
        <w:rPr>
          <w:rFonts w:eastAsiaTheme="minorEastAsia"/>
          <w:i/>
          <w:iCs/>
        </w:rPr>
        <w:t xml:space="preserve">à l'intérieur de </w:t>
      </w:r>
      <w:r w:rsidR="00D73959" w:rsidRPr="00935C89">
        <w:rPr>
          <w:rFonts w:eastAsiaTheme="minorEastAsia"/>
          <w:i/>
          <w:iCs/>
        </w:rPr>
        <w:t>la gamme de fréquences 7,125-15,35</w:t>
      </w:r>
      <w:r w:rsidR="002842BC" w:rsidRPr="00935C89">
        <w:rPr>
          <w:rFonts w:eastAsiaTheme="minorEastAsia"/>
          <w:i/>
          <w:iCs/>
        </w:rPr>
        <w:t xml:space="preserve"> </w:t>
      </w:r>
      <w:r w:rsidR="00D73959" w:rsidRPr="00935C89">
        <w:rPr>
          <w:rFonts w:eastAsiaTheme="minorEastAsia"/>
          <w:i/>
          <w:iCs/>
        </w:rPr>
        <w:t>GHz</w:t>
      </w:r>
      <w:r w:rsidR="00D73959" w:rsidRPr="00935C89">
        <w:rPr>
          <w:rFonts w:eastAsiaTheme="minorEastAsia"/>
        </w:rPr>
        <w:t xml:space="preserve"> pour les IMT et </w:t>
      </w:r>
      <w:r w:rsidRPr="00935C89">
        <w:rPr>
          <w:rFonts w:eastAsiaTheme="minorEastAsia"/>
        </w:rPr>
        <w:t>des attributions de fréquences additionnelles au service mobile à titre primaire</w:t>
      </w:r>
      <w:r w:rsidR="00D73959" w:rsidRPr="00935C89">
        <w:rPr>
          <w:rFonts w:eastAsiaTheme="minorEastAsia"/>
        </w:rPr>
        <w:t>, selon qu'il convient.</w:t>
      </w:r>
    </w:p>
    <w:p w14:paraId="226DFF90" w14:textId="77777777" w:rsidR="00935C89" w:rsidRPr="00935C89" w:rsidRDefault="00935C89" w:rsidP="00935C89">
      <w:pPr>
        <w:pStyle w:val="Reasons"/>
      </w:pPr>
    </w:p>
    <w:p w14:paraId="2D1909A5" w14:textId="59440B2F" w:rsidR="007075FC" w:rsidRPr="00935C89" w:rsidRDefault="007075FC" w:rsidP="002842BC">
      <w:r w:rsidRPr="00935C89">
        <w:br w:type="page"/>
      </w:r>
    </w:p>
    <w:p w14:paraId="744B6FC2" w14:textId="1CBD70A0" w:rsidR="007075FC" w:rsidRPr="00935C89" w:rsidRDefault="007075FC" w:rsidP="002842BC">
      <w:pPr>
        <w:pStyle w:val="AnnexNo"/>
      </w:pPr>
      <w:r w:rsidRPr="00935C89">
        <w:lastRenderedPageBreak/>
        <w:t>PIÈCE JOINTE</w:t>
      </w:r>
    </w:p>
    <w:p w14:paraId="01FC29B5" w14:textId="0F8F4D7C" w:rsidR="007075FC" w:rsidRPr="00935C89" w:rsidRDefault="00686D2F" w:rsidP="002842BC">
      <w:pPr>
        <w:pStyle w:val="Annextitle"/>
      </w:pPr>
      <w:r w:rsidRPr="00935C89">
        <w:t xml:space="preserve">Proposition </w:t>
      </w:r>
      <w:r w:rsidR="00830656" w:rsidRPr="00935C89">
        <w:t>d'inscription d'</w:t>
      </w:r>
      <w:r w:rsidRPr="00935C89">
        <w:t>un point à l'ordre du jour</w:t>
      </w:r>
      <w:r w:rsidR="00935C89" w:rsidRPr="00935C89">
        <w:br/>
      </w:r>
      <w:r w:rsidRPr="00935C89">
        <w:t xml:space="preserve">relatif </w:t>
      </w:r>
      <w:r w:rsidR="00830656" w:rsidRPr="00935C89">
        <w:t xml:space="preserve">à la </w:t>
      </w:r>
      <w:r w:rsidRPr="00935C89">
        <w:t>Résolution</w:t>
      </w:r>
      <w:r w:rsidR="007075FC" w:rsidRPr="00935C89">
        <w:t xml:space="preserve"> [</w:t>
      </w:r>
      <w:r w:rsidR="007075FC" w:rsidRPr="00935C89">
        <w:rPr>
          <w:rFonts w:eastAsia="Batang"/>
        </w:rPr>
        <w:t>ARB-AI 10 IMT-2030]</w:t>
      </w:r>
    </w:p>
    <w:tbl>
      <w:tblPr>
        <w:tblStyle w:val="TableGrid"/>
        <w:tblpPr w:leftFromText="180" w:rightFromText="180" w:vertAnchor="text" w:tblpY="1"/>
        <w:tblOverlap w:val="never"/>
        <w:tblW w:w="0" w:type="auto"/>
        <w:tblLook w:val="04A0" w:firstRow="1" w:lastRow="0" w:firstColumn="1" w:lastColumn="0" w:noHBand="0" w:noVBand="1"/>
      </w:tblPr>
      <w:tblGrid>
        <w:gridCol w:w="4395"/>
        <w:gridCol w:w="5244"/>
      </w:tblGrid>
      <w:tr w:rsidR="00764BE6" w:rsidRPr="00935C89" w14:paraId="4F910A1A" w14:textId="77777777" w:rsidTr="006E64C1">
        <w:tc>
          <w:tcPr>
            <w:tcW w:w="9639" w:type="dxa"/>
            <w:gridSpan w:val="2"/>
            <w:tcBorders>
              <w:top w:val="nil"/>
              <w:left w:val="nil"/>
              <w:bottom w:val="nil"/>
              <w:right w:val="nil"/>
            </w:tcBorders>
          </w:tcPr>
          <w:p w14:paraId="30CD505F" w14:textId="0EC737A9" w:rsidR="00764BE6" w:rsidRPr="00935C89" w:rsidRDefault="00764BE6" w:rsidP="00935C89">
            <w:pPr>
              <w:rPr>
                <w:b/>
                <w:bCs/>
                <w:i/>
                <w:iCs/>
              </w:rPr>
            </w:pPr>
            <w:r w:rsidRPr="00935C89">
              <w:rPr>
                <w:b/>
                <w:bCs/>
              </w:rPr>
              <w:t>Objet:</w:t>
            </w:r>
            <w:r w:rsidRPr="00935C89">
              <w:t xml:space="preserve"> Proposition visant à inscrire un point à l'ordre du jour de la CMR-27 afin d'envisager l'identification de bandes de fréquences à l'intérieur des gammes de fréquences 7,125 GHz</w:t>
            </w:r>
            <w:r w:rsidR="00935C89" w:rsidRPr="00935C89">
              <w:noBreakHyphen/>
            </w:r>
            <w:r w:rsidRPr="00935C89">
              <w:t xml:space="preserve">15,35 GHz pour les Télécommunications mobiles internationales (IMT), y compris des attributions additionnelles possibles au service mobile à titre primaire, conformément à la Résolution </w:t>
            </w:r>
            <w:r w:rsidRPr="00935C89">
              <w:rPr>
                <w:rFonts w:eastAsia="Batang"/>
                <w:b/>
                <w:bCs/>
              </w:rPr>
              <w:t>[</w:t>
            </w:r>
            <w:r w:rsidRPr="00935C89">
              <w:rPr>
                <w:b/>
                <w:bCs/>
              </w:rPr>
              <w:t>ARB</w:t>
            </w:r>
            <w:r w:rsidRPr="00935C89">
              <w:rPr>
                <w:b/>
                <w:bCs/>
              </w:rPr>
              <w:noBreakHyphen/>
            </w:r>
            <w:r w:rsidRPr="00935C89">
              <w:rPr>
                <w:rFonts w:eastAsia="Batang"/>
                <w:b/>
                <w:bCs/>
              </w:rPr>
              <w:t>AI 10 IMT</w:t>
            </w:r>
            <w:r w:rsidRPr="00935C89">
              <w:rPr>
                <w:rFonts w:eastAsia="Batang"/>
                <w:b/>
                <w:bCs/>
              </w:rPr>
              <w:noBreakHyphen/>
              <w:t>2030] (CMR-23)</w:t>
            </w:r>
            <w:r w:rsidRPr="00935C89">
              <w:rPr>
                <w:rFonts w:eastAsia="Batang"/>
              </w:rPr>
              <w:t>;</w:t>
            </w:r>
          </w:p>
        </w:tc>
      </w:tr>
      <w:tr w:rsidR="00764BE6" w:rsidRPr="00935C89" w14:paraId="42C52EEA" w14:textId="77777777" w:rsidTr="00BE0038">
        <w:tc>
          <w:tcPr>
            <w:tcW w:w="9639" w:type="dxa"/>
            <w:gridSpan w:val="2"/>
            <w:tcBorders>
              <w:top w:val="nil"/>
              <w:left w:val="nil"/>
              <w:bottom w:val="single" w:sz="4" w:space="0" w:color="auto"/>
              <w:right w:val="nil"/>
            </w:tcBorders>
          </w:tcPr>
          <w:p w14:paraId="71902AC1" w14:textId="2E6A062D" w:rsidR="00764BE6" w:rsidRPr="00935C89" w:rsidRDefault="00764BE6" w:rsidP="00935C89">
            <w:r w:rsidRPr="00935C89">
              <w:rPr>
                <w:b/>
                <w:bCs/>
              </w:rPr>
              <w:t>Origine:</w:t>
            </w:r>
            <w:r w:rsidRPr="00935C89">
              <w:rPr>
                <w:i/>
                <w:iCs/>
              </w:rPr>
              <w:t xml:space="preserve"> </w:t>
            </w:r>
            <w:r w:rsidRPr="00935C89">
              <w:t>À déterminer.</w:t>
            </w:r>
          </w:p>
        </w:tc>
      </w:tr>
      <w:tr w:rsidR="007075FC" w:rsidRPr="00935C89" w14:paraId="31A256B2" w14:textId="77777777" w:rsidTr="00E63F06">
        <w:tc>
          <w:tcPr>
            <w:tcW w:w="9639" w:type="dxa"/>
            <w:gridSpan w:val="2"/>
            <w:tcBorders>
              <w:top w:val="single" w:sz="4" w:space="0" w:color="auto"/>
              <w:left w:val="nil"/>
              <w:bottom w:val="single" w:sz="4" w:space="0" w:color="auto"/>
              <w:right w:val="nil"/>
            </w:tcBorders>
          </w:tcPr>
          <w:p w14:paraId="21A5AA24" w14:textId="77777777" w:rsidR="007075FC" w:rsidRPr="00935C89" w:rsidRDefault="007075FC" w:rsidP="002842BC">
            <w:pPr>
              <w:tabs>
                <w:tab w:val="clear" w:pos="1871"/>
                <w:tab w:val="clear" w:pos="2268"/>
                <w:tab w:val="left" w:pos="6123"/>
              </w:tabs>
            </w:pPr>
            <w:r w:rsidRPr="00935C89">
              <w:rPr>
                <w:b/>
                <w:bCs/>
                <w:i/>
                <w:iCs/>
              </w:rPr>
              <w:t>Proposition</w:t>
            </w:r>
            <w:r w:rsidRPr="00935C89">
              <w:rPr>
                <w:b/>
                <w:bCs/>
              </w:rPr>
              <w:t>:</w:t>
            </w:r>
          </w:p>
          <w:p w14:paraId="6B7CE677" w14:textId="75EC9492" w:rsidR="007075FC" w:rsidRPr="00935C89" w:rsidRDefault="00830656" w:rsidP="00935C89">
            <w:r w:rsidRPr="00935C89">
              <w:t>Mener des études visant à identifier des bandes de fréquences à l'intérieur de la gamme de fréquences 7,125-15,35</w:t>
            </w:r>
            <w:r w:rsidR="002842BC" w:rsidRPr="00935C89">
              <w:t xml:space="preserve"> </w:t>
            </w:r>
            <w:r w:rsidRPr="00935C89">
              <w:t>GHz afin qu'elles soient utilisées par les IMT, en vue d'une harmonisation à l'échelle mondiale.</w:t>
            </w:r>
          </w:p>
        </w:tc>
      </w:tr>
      <w:tr w:rsidR="007075FC" w:rsidRPr="00935C89" w14:paraId="1EC296BD" w14:textId="77777777" w:rsidTr="00E63F06">
        <w:tc>
          <w:tcPr>
            <w:tcW w:w="9639" w:type="dxa"/>
            <w:gridSpan w:val="2"/>
            <w:tcBorders>
              <w:top w:val="single" w:sz="4" w:space="0" w:color="auto"/>
              <w:left w:val="nil"/>
              <w:bottom w:val="single" w:sz="4" w:space="0" w:color="auto"/>
              <w:right w:val="nil"/>
            </w:tcBorders>
          </w:tcPr>
          <w:p w14:paraId="3BE4C10F" w14:textId="77777777" w:rsidR="007075FC" w:rsidRPr="00935C89" w:rsidRDefault="007075FC" w:rsidP="002842BC">
            <w:pPr>
              <w:rPr>
                <w:b/>
                <w:bCs/>
                <w:i/>
                <w:iCs/>
              </w:rPr>
            </w:pPr>
            <w:r w:rsidRPr="00935C89">
              <w:rPr>
                <w:b/>
                <w:bCs/>
                <w:i/>
                <w:iCs/>
              </w:rPr>
              <w:t>Contexte/motif</w:t>
            </w:r>
            <w:r w:rsidRPr="00935C89">
              <w:rPr>
                <w:b/>
                <w:bCs/>
              </w:rPr>
              <w:t>:</w:t>
            </w:r>
          </w:p>
          <w:p w14:paraId="48E1F00A" w14:textId="49C70173" w:rsidR="007075FC" w:rsidRPr="00935C89" w:rsidRDefault="00016E0E" w:rsidP="00935C89">
            <w:r w:rsidRPr="00935C89">
              <w:t>Les nouvelles technologies et applications hertziennes sont à l</w:t>
            </w:r>
            <w:r w:rsidR="002842BC" w:rsidRPr="00935C89">
              <w:t>'</w:t>
            </w:r>
            <w:r w:rsidRPr="00935C89">
              <w:t>origine d</w:t>
            </w:r>
            <w:r w:rsidR="00A93E5D" w:rsidRPr="00935C89">
              <w:t xml:space="preserve">e la </w:t>
            </w:r>
            <w:r w:rsidRPr="00935C89">
              <w:t xml:space="preserve">demande </w:t>
            </w:r>
            <w:r w:rsidR="00A93E5D" w:rsidRPr="00935C89">
              <w:t xml:space="preserve">accrue </w:t>
            </w:r>
            <w:r w:rsidRPr="00935C89">
              <w:t>d</w:t>
            </w:r>
            <w:r w:rsidR="002842BC" w:rsidRPr="00935C89">
              <w:t>'</w:t>
            </w:r>
            <w:r w:rsidRPr="00935C89">
              <w:t>accès au spectre pour les IMT. L</w:t>
            </w:r>
            <w:r w:rsidR="00F17BEE" w:rsidRPr="00935C89">
              <w:t>es</w:t>
            </w:r>
            <w:r w:rsidRPr="00935C89">
              <w:t xml:space="preserve"> technologie</w:t>
            </w:r>
            <w:r w:rsidR="00F17BEE" w:rsidRPr="00935C89">
              <w:t>s</w:t>
            </w:r>
            <w:r w:rsidRPr="00935C89">
              <w:t xml:space="preserve"> IMT-2030 </w:t>
            </w:r>
            <w:r w:rsidR="00F17BEE" w:rsidRPr="00935C89">
              <w:t xml:space="preserve">alimenteront encore davantage </w:t>
            </w:r>
            <w:r w:rsidRPr="00935C89">
              <w:t xml:space="preserve">cette demande, en particulier </w:t>
            </w:r>
            <w:r w:rsidR="00F17BEE" w:rsidRPr="00935C89">
              <w:t xml:space="preserve">en ce qui concerne </w:t>
            </w:r>
            <w:r w:rsidRPr="00935C89">
              <w:t>les grandes largeurs de bande contiguës</w:t>
            </w:r>
            <w:r w:rsidR="00F17BEE" w:rsidRPr="00935C89">
              <w:t>,</w:t>
            </w:r>
            <w:r w:rsidRPr="00935C89">
              <w:t xml:space="preserve"> qui sont nécessaires pour mettre en œuvre de nouveaux scénarios d</w:t>
            </w:r>
            <w:r w:rsidR="002842BC" w:rsidRPr="00935C89">
              <w:t>'</w:t>
            </w:r>
            <w:r w:rsidRPr="00935C89">
              <w:t>utilisation et faire face à la croissance du trafic dans les réseaux mobiles.</w:t>
            </w:r>
            <w:r w:rsidR="00956FC5" w:rsidRPr="00935C89">
              <w:t xml:space="preserve"> Pour répondre aux besoins des réseaux IMT-2030 envisagés, le</w:t>
            </w:r>
            <w:r w:rsidR="00F17BEE" w:rsidRPr="00935C89">
              <w:t>s</w:t>
            </w:r>
            <w:r w:rsidR="00956FC5" w:rsidRPr="00935C89">
              <w:t xml:space="preserve"> </w:t>
            </w:r>
            <w:r w:rsidR="00F17BEE" w:rsidRPr="00935C89">
              <w:t xml:space="preserve">fréquences comprises dans les </w:t>
            </w:r>
            <w:r w:rsidR="00956FC5" w:rsidRPr="00935C89">
              <w:t xml:space="preserve">bandes </w:t>
            </w:r>
            <w:r w:rsidR="00F17BEE" w:rsidRPr="00935C89">
              <w:t xml:space="preserve">de </w:t>
            </w:r>
            <w:r w:rsidR="00956FC5" w:rsidRPr="00935C89">
              <w:t>la gamme de fréquences 7,125-15,35</w:t>
            </w:r>
            <w:r w:rsidR="00A247D7" w:rsidRPr="00935C89">
              <w:t> </w:t>
            </w:r>
            <w:r w:rsidR="00956FC5" w:rsidRPr="00935C89">
              <w:t>GHz pourrai</w:t>
            </w:r>
            <w:r w:rsidR="00F17BEE" w:rsidRPr="00935C89">
              <w:t>en</w:t>
            </w:r>
            <w:r w:rsidR="00956FC5" w:rsidRPr="00935C89">
              <w:t xml:space="preserve">t </w:t>
            </w:r>
            <w:r w:rsidR="00F17BEE" w:rsidRPr="00935C89">
              <w:t>faciliter, d'ici à 2030, la mise en œuvre d</w:t>
            </w:r>
            <w:r w:rsidR="00956FC5" w:rsidRPr="00935C89">
              <w:t>es cas d</w:t>
            </w:r>
            <w:r w:rsidR="002842BC" w:rsidRPr="00935C89">
              <w:t>'</w:t>
            </w:r>
            <w:r w:rsidR="00956FC5" w:rsidRPr="00935C89">
              <w:t xml:space="preserve">utilisation </w:t>
            </w:r>
            <w:r w:rsidR="00F17BEE" w:rsidRPr="00935C89">
              <w:t xml:space="preserve">nécessitant </w:t>
            </w:r>
            <w:r w:rsidR="00A247D7" w:rsidRPr="00935C89">
              <w:t xml:space="preserve">à la fois </w:t>
            </w:r>
            <w:r w:rsidR="00956FC5" w:rsidRPr="00935C89">
              <w:t>une couverture plus étendue et une capacité plus grande. Ces bandes permettraient également de répondre au besoin d</w:t>
            </w:r>
            <w:r w:rsidR="002842BC" w:rsidRPr="00935C89">
              <w:t>'</w:t>
            </w:r>
            <w:r w:rsidR="00956FC5" w:rsidRPr="00935C89">
              <w:t>harmonisation mondiale et d</w:t>
            </w:r>
            <w:r w:rsidR="002842BC" w:rsidRPr="00935C89">
              <w:t>'</w:t>
            </w:r>
            <w:r w:rsidR="00956FC5" w:rsidRPr="00935C89">
              <w:t>économies d</w:t>
            </w:r>
            <w:r w:rsidR="002842BC" w:rsidRPr="00935C89">
              <w:t>'</w:t>
            </w:r>
            <w:r w:rsidR="00956FC5" w:rsidRPr="00935C89">
              <w:t>échelle.</w:t>
            </w:r>
          </w:p>
        </w:tc>
      </w:tr>
      <w:tr w:rsidR="007075FC" w:rsidRPr="00935C89" w14:paraId="2DDEE6DB" w14:textId="77777777" w:rsidTr="00E63F06">
        <w:tc>
          <w:tcPr>
            <w:tcW w:w="9639" w:type="dxa"/>
            <w:gridSpan w:val="2"/>
            <w:tcBorders>
              <w:top w:val="single" w:sz="4" w:space="0" w:color="auto"/>
              <w:left w:val="nil"/>
              <w:bottom w:val="single" w:sz="4" w:space="0" w:color="auto"/>
              <w:right w:val="nil"/>
            </w:tcBorders>
          </w:tcPr>
          <w:p w14:paraId="2A1D81BD" w14:textId="77777777" w:rsidR="007075FC" w:rsidRPr="00935C89" w:rsidRDefault="007075FC" w:rsidP="002842BC">
            <w:r w:rsidRPr="00935C89">
              <w:rPr>
                <w:b/>
                <w:bCs/>
                <w:i/>
                <w:iCs/>
              </w:rPr>
              <w:t>Services de radiocommunication concernés</w:t>
            </w:r>
            <w:r w:rsidRPr="00935C89">
              <w:rPr>
                <w:b/>
                <w:bCs/>
              </w:rPr>
              <w:t>:</w:t>
            </w:r>
          </w:p>
          <w:p w14:paraId="49070886" w14:textId="100CA71E" w:rsidR="007075FC" w:rsidRPr="00935C89" w:rsidRDefault="007075FC" w:rsidP="00935C89">
            <w:pPr>
              <w:rPr>
                <w:b/>
                <w:i/>
              </w:rPr>
            </w:pPr>
            <w:r w:rsidRPr="00935C89">
              <w:t>À déterminer</w:t>
            </w:r>
            <w:r w:rsidR="002842BC" w:rsidRPr="00935C89">
              <w:t>.</w:t>
            </w:r>
          </w:p>
        </w:tc>
      </w:tr>
      <w:tr w:rsidR="007075FC" w:rsidRPr="00935C89" w14:paraId="2DBAA067" w14:textId="77777777" w:rsidTr="00E63F06">
        <w:tc>
          <w:tcPr>
            <w:tcW w:w="9639" w:type="dxa"/>
            <w:gridSpan w:val="2"/>
            <w:tcBorders>
              <w:top w:val="single" w:sz="4" w:space="0" w:color="auto"/>
              <w:left w:val="nil"/>
              <w:bottom w:val="single" w:sz="4" w:space="0" w:color="auto"/>
              <w:right w:val="nil"/>
            </w:tcBorders>
          </w:tcPr>
          <w:p w14:paraId="5B4B21CB" w14:textId="77777777" w:rsidR="007075FC" w:rsidRPr="00935C89" w:rsidRDefault="007075FC" w:rsidP="002842BC">
            <w:r w:rsidRPr="00935C89">
              <w:rPr>
                <w:b/>
                <w:bCs/>
                <w:i/>
                <w:iCs/>
              </w:rPr>
              <w:t>Indication des difficultés éventuelles</w:t>
            </w:r>
            <w:r w:rsidRPr="00935C89">
              <w:rPr>
                <w:b/>
                <w:bCs/>
              </w:rPr>
              <w:t>:</w:t>
            </w:r>
          </w:p>
          <w:p w14:paraId="6C5C5876" w14:textId="3CA67ACF" w:rsidR="007075FC" w:rsidRPr="00935C89" w:rsidRDefault="00A6559E" w:rsidP="00935C89">
            <w:r w:rsidRPr="00935C89">
              <w:t>Les bandes proposées sont utilisées par d'autres services.</w:t>
            </w:r>
          </w:p>
        </w:tc>
      </w:tr>
      <w:tr w:rsidR="007075FC" w:rsidRPr="00935C89" w14:paraId="503380D6" w14:textId="77777777" w:rsidTr="00E63F06">
        <w:tc>
          <w:tcPr>
            <w:tcW w:w="9639" w:type="dxa"/>
            <w:gridSpan w:val="2"/>
            <w:tcBorders>
              <w:top w:val="single" w:sz="4" w:space="0" w:color="auto"/>
              <w:left w:val="nil"/>
              <w:bottom w:val="single" w:sz="4" w:space="0" w:color="auto"/>
              <w:right w:val="nil"/>
            </w:tcBorders>
          </w:tcPr>
          <w:p w14:paraId="6BA85ADE" w14:textId="01C9798E" w:rsidR="007075FC" w:rsidRPr="00935C89" w:rsidRDefault="007075FC" w:rsidP="002842BC">
            <w:r w:rsidRPr="00935C89">
              <w:rPr>
                <w:b/>
                <w:bCs/>
                <w:i/>
                <w:iCs/>
              </w:rPr>
              <w:t>Études précédentes ou en cours sur la question</w:t>
            </w:r>
            <w:r w:rsidRPr="00935C89">
              <w:rPr>
                <w:b/>
                <w:bCs/>
              </w:rPr>
              <w:t>:</w:t>
            </w:r>
          </w:p>
          <w:p w14:paraId="34B2F37B" w14:textId="5073E9F6" w:rsidR="007075FC" w:rsidRPr="00935C89" w:rsidRDefault="00A6559E" w:rsidP="00935C89">
            <w:r w:rsidRPr="00935C89">
              <w:t>Le GT 5D de l' UIT-R a déjà commencé les études connexes</w:t>
            </w:r>
            <w:r w:rsidR="002842BC" w:rsidRPr="00935C89">
              <w:t>.</w:t>
            </w:r>
          </w:p>
        </w:tc>
      </w:tr>
      <w:tr w:rsidR="007075FC" w:rsidRPr="00935C89" w14:paraId="1F470266" w14:textId="77777777" w:rsidTr="00935C89">
        <w:tc>
          <w:tcPr>
            <w:tcW w:w="4395" w:type="dxa"/>
            <w:tcBorders>
              <w:top w:val="single" w:sz="4" w:space="0" w:color="auto"/>
              <w:left w:val="nil"/>
              <w:bottom w:val="single" w:sz="4" w:space="0" w:color="auto"/>
              <w:right w:val="single" w:sz="4" w:space="0" w:color="auto"/>
            </w:tcBorders>
          </w:tcPr>
          <w:p w14:paraId="62E272B3" w14:textId="6E34273A" w:rsidR="007075FC" w:rsidRPr="00935C89" w:rsidRDefault="007075FC" w:rsidP="002842BC">
            <w:r w:rsidRPr="00935C89">
              <w:rPr>
                <w:b/>
                <w:bCs/>
                <w:i/>
                <w:iCs/>
              </w:rPr>
              <w:t>Études devant être réalisées par</w:t>
            </w:r>
            <w:r w:rsidRPr="00935C89">
              <w:rPr>
                <w:b/>
                <w:bCs/>
              </w:rPr>
              <w:t>:</w:t>
            </w:r>
          </w:p>
          <w:p w14:paraId="24571884" w14:textId="63CA8798" w:rsidR="007075FC" w:rsidRPr="00935C89" w:rsidRDefault="00A6559E" w:rsidP="00935C89">
            <w:r w:rsidRPr="00935C89">
              <w:t>GT 5D de l'UIT-R ou</w:t>
            </w:r>
            <w:r w:rsidR="00A96851" w:rsidRPr="00935C89">
              <w:t xml:space="preserve"> </w:t>
            </w:r>
            <w:r w:rsidRPr="00935C89">
              <w:t>GAM</w:t>
            </w:r>
            <w:r w:rsidR="00603211" w:rsidRPr="00935C89">
              <w:t xml:space="preserve"> éventuel</w:t>
            </w:r>
          </w:p>
        </w:tc>
        <w:tc>
          <w:tcPr>
            <w:tcW w:w="5244" w:type="dxa"/>
            <w:tcBorders>
              <w:top w:val="single" w:sz="4" w:space="0" w:color="auto"/>
              <w:left w:val="single" w:sz="4" w:space="0" w:color="auto"/>
              <w:bottom w:val="single" w:sz="4" w:space="0" w:color="auto"/>
              <w:right w:val="nil"/>
            </w:tcBorders>
          </w:tcPr>
          <w:p w14:paraId="3C54517A" w14:textId="77777777" w:rsidR="007075FC" w:rsidRPr="00935C89" w:rsidRDefault="007075FC" w:rsidP="002842BC">
            <w:pPr>
              <w:rPr>
                <w:b/>
                <w:bCs/>
                <w:i/>
                <w:iCs/>
              </w:rPr>
            </w:pPr>
            <w:r w:rsidRPr="00935C89">
              <w:rPr>
                <w:b/>
                <w:bCs/>
                <w:i/>
                <w:iCs/>
              </w:rPr>
              <w:t>avec la participation de</w:t>
            </w:r>
            <w:r w:rsidRPr="00935C89">
              <w:rPr>
                <w:b/>
                <w:bCs/>
              </w:rPr>
              <w:t>:</w:t>
            </w:r>
          </w:p>
          <w:p w14:paraId="09C680C7" w14:textId="77777777" w:rsidR="007075FC" w:rsidRPr="00935C89" w:rsidRDefault="007075FC" w:rsidP="00935C89">
            <w:pPr>
              <w:rPr>
                <w:b/>
                <w:i/>
                <w:color w:val="000000"/>
              </w:rPr>
            </w:pPr>
            <w:r w:rsidRPr="00935C89">
              <w:t>Administrations et Membres du Secteur de l'UIT</w:t>
            </w:r>
            <w:r w:rsidRPr="00935C89">
              <w:noBreakHyphen/>
              <w:t>R</w:t>
            </w:r>
          </w:p>
        </w:tc>
      </w:tr>
      <w:tr w:rsidR="007075FC" w:rsidRPr="00935C89" w14:paraId="58072753" w14:textId="77777777" w:rsidTr="00E63F06">
        <w:tc>
          <w:tcPr>
            <w:tcW w:w="9639" w:type="dxa"/>
            <w:gridSpan w:val="2"/>
            <w:tcBorders>
              <w:top w:val="single" w:sz="4" w:space="0" w:color="auto"/>
              <w:left w:val="nil"/>
              <w:bottom w:val="single" w:sz="4" w:space="0" w:color="auto"/>
              <w:right w:val="nil"/>
            </w:tcBorders>
          </w:tcPr>
          <w:p w14:paraId="0233CE10" w14:textId="77777777" w:rsidR="007075FC" w:rsidRPr="00935C89" w:rsidRDefault="007075FC" w:rsidP="002842BC">
            <w:r w:rsidRPr="00935C89">
              <w:rPr>
                <w:b/>
                <w:bCs/>
                <w:i/>
                <w:iCs/>
              </w:rPr>
              <w:t>Commissions d'études de l'UIT-R concernées</w:t>
            </w:r>
            <w:r w:rsidRPr="00935C89">
              <w:rPr>
                <w:b/>
                <w:bCs/>
              </w:rPr>
              <w:t>:</w:t>
            </w:r>
          </w:p>
          <w:p w14:paraId="1874E879" w14:textId="35809C6C" w:rsidR="007075FC" w:rsidRPr="00935C89" w:rsidRDefault="00A6559E" w:rsidP="00935C89">
            <w:r w:rsidRPr="00935C89">
              <w:t>CE</w:t>
            </w:r>
            <w:r w:rsidR="002842BC" w:rsidRPr="00935C89">
              <w:t xml:space="preserve"> </w:t>
            </w:r>
            <w:r w:rsidRPr="00935C89">
              <w:t>4, CE</w:t>
            </w:r>
            <w:r w:rsidR="002842BC" w:rsidRPr="00935C89">
              <w:t xml:space="preserve"> </w:t>
            </w:r>
            <w:r w:rsidRPr="00935C89">
              <w:t>5, CE</w:t>
            </w:r>
            <w:r w:rsidR="002842BC" w:rsidRPr="00935C89">
              <w:t xml:space="preserve"> </w:t>
            </w:r>
            <w:r w:rsidRPr="00935C89">
              <w:t>6 et CE</w:t>
            </w:r>
            <w:r w:rsidR="002842BC" w:rsidRPr="00935C89">
              <w:t xml:space="preserve"> </w:t>
            </w:r>
            <w:r w:rsidRPr="00935C89">
              <w:t>7</w:t>
            </w:r>
            <w:r w:rsidR="002842BC" w:rsidRPr="00935C89">
              <w:t>.</w:t>
            </w:r>
          </w:p>
        </w:tc>
      </w:tr>
    </w:tbl>
    <w:p w14:paraId="7664CEEB" w14:textId="77777777" w:rsidR="00935C89" w:rsidRPr="00935C89" w:rsidRDefault="00935C89" w:rsidP="00935C89">
      <w:pPr>
        <w:spacing w:after="1200"/>
      </w:pPr>
    </w:p>
    <w:tbl>
      <w:tblPr>
        <w:tblStyle w:val="TableGrid"/>
        <w:tblpPr w:leftFromText="180" w:rightFromText="180" w:vertAnchor="text" w:tblpY="1"/>
        <w:tblOverlap w:val="never"/>
        <w:tblW w:w="0" w:type="auto"/>
        <w:tblLook w:val="04A0" w:firstRow="1" w:lastRow="0" w:firstColumn="1" w:lastColumn="0" w:noHBand="0" w:noVBand="1"/>
      </w:tblPr>
      <w:tblGrid>
        <w:gridCol w:w="4395"/>
        <w:gridCol w:w="5244"/>
      </w:tblGrid>
      <w:tr w:rsidR="007075FC" w:rsidRPr="00935C89" w14:paraId="0596DDF9" w14:textId="77777777" w:rsidTr="00E63F06">
        <w:tc>
          <w:tcPr>
            <w:tcW w:w="9639" w:type="dxa"/>
            <w:gridSpan w:val="2"/>
            <w:tcBorders>
              <w:top w:val="single" w:sz="4" w:space="0" w:color="auto"/>
              <w:left w:val="nil"/>
              <w:bottom w:val="single" w:sz="4" w:space="0" w:color="auto"/>
              <w:right w:val="nil"/>
            </w:tcBorders>
          </w:tcPr>
          <w:p w14:paraId="257C82EE" w14:textId="634C2A78" w:rsidR="007075FC" w:rsidRPr="00935C89" w:rsidRDefault="007075FC" w:rsidP="00935C89">
            <w:pPr>
              <w:keepNext/>
              <w:keepLines/>
            </w:pPr>
            <w:r w:rsidRPr="00935C89">
              <w:rPr>
                <w:b/>
                <w:bCs/>
                <w:i/>
                <w:iCs/>
              </w:rPr>
              <w:lastRenderedPageBreak/>
              <w:t>Répercussions au niveau des ressources de l'UIT, y compris incidences financières</w:t>
            </w:r>
            <w:r w:rsidR="002842BC" w:rsidRPr="00935C89">
              <w:rPr>
                <w:b/>
                <w:bCs/>
                <w:i/>
                <w:iCs/>
              </w:rPr>
              <w:t xml:space="preserve"> </w:t>
            </w:r>
            <w:r w:rsidRPr="00935C89">
              <w:rPr>
                <w:b/>
                <w:bCs/>
                <w:i/>
                <w:iCs/>
              </w:rPr>
              <w:t>(voir le numéro</w:t>
            </w:r>
            <w:r w:rsidR="002842BC" w:rsidRPr="00935C89">
              <w:rPr>
                <w:b/>
                <w:bCs/>
                <w:i/>
                <w:iCs/>
              </w:rPr>
              <w:t xml:space="preserve"> </w:t>
            </w:r>
            <w:r w:rsidRPr="00935C89">
              <w:rPr>
                <w:b/>
                <w:bCs/>
                <w:i/>
                <w:iCs/>
              </w:rPr>
              <w:t>126 de la Convention)</w:t>
            </w:r>
            <w:r w:rsidRPr="00935C89">
              <w:rPr>
                <w:b/>
                <w:bCs/>
              </w:rPr>
              <w:t>:</w:t>
            </w:r>
          </w:p>
          <w:p w14:paraId="34B7ADE4" w14:textId="122DBE72" w:rsidR="007075FC" w:rsidRPr="00935C89" w:rsidRDefault="005A0049" w:rsidP="00935C89">
            <w:pPr>
              <w:keepNext/>
              <w:keepLines/>
              <w:rPr>
                <w:b/>
                <w:i/>
              </w:rPr>
            </w:pPr>
            <w:r w:rsidRPr="00935C89">
              <w:t>Ce projet de point de l'ordre du jour sera traité dans le cadre des procédures normales et du budget prévu de l'UIT-R. Le GT 5D de l'UIT-R, en sa qualité de groupe responsable des études sur les IMT, tient généralement trois réunions par an, d'une durée d'environ six jours chacune.</w:t>
            </w:r>
            <w:r w:rsidR="00A6559E" w:rsidRPr="00935C89">
              <w:t xml:space="preserve"> Si un GAM </w:t>
            </w:r>
            <w:r w:rsidR="00B20546" w:rsidRPr="00935C89">
              <w:t xml:space="preserve">devait être constitué </w:t>
            </w:r>
            <w:r w:rsidR="00A6559E" w:rsidRPr="00935C89">
              <w:t xml:space="preserve">en raison du nombre de services </w:t>
            </w:r>
            <w:r w:rsidR="00A96851" w:rsidRPr="00935C89">
              <w:t>concernés</w:t>
            </w:r>
            <w:r w:rsidR="00A6559E" w:rsidRPr="00935C89">
              <w:t>, cela pourrait avoir des incidences financières, étant donné qu</w:t>
            </w:r>
            <w:r w:rsidR="002842BC" w:rsidRPr="00935C89">
              <w:t>'</w:t>
            </w:r>
            <w:r w:rsidR="00A6559E" w:rsidRPr="00935C89">
              <w:t>il faudrait tenir 3 réunions supplémentaires par an d'une durée de 6 jours.</w:t>
            </w:r>
          </w:p>
        </w:tc>
      </w:tr>
      <w:tr w:rsidR="007075FC" w:rsidRPr="00935C89" w14:paraId="111271C8" w14:textId="77777777" w:rsidTr="00935C89">
        <w:tc>
          <w:tcPr>
            <w:tcW w:w="4395" w:type="dxa"/>
            <w:tcBorders>
              <w:top w:val="single" w:sz="4" w:space="0" w:color="auto"/>
              <w:left w:val="nil"/>
              <w:bottom w:val="single" w:sz="4" w:space="0" w:color="auto"/>
              <w:right w:val="nil"/>
            </w:tcBorders>
          </w:tcPr>
          <w:p w14:paraId="07CE3A48" w14:textId="119D3112" w:rsidR="007075FC" w:rsidRPr="00935C89" w:rsidRDefault="007075FC" w:rsidP="002842BC">
            <w:pPr>
              <w:rPr>
                <w:b/>
                <w:iCs/>
              </w:rPr>
            </w:pPr>
            <w:r w:rsidRPr="00935C89">
              <w:rPr>
                <w:b/>
                <w:bCs/>
                <w:i/>
                <w:iCs/>
              </w:rPr>
              <w:t>Proposition régionale commune</w:t>
            </w:r>
            <w:r w:rsidRPr="00935C89">
              <w:rPr>
                <w:b/>
                <w:bCs/>
              </w:rPr>
              <w:t>:</w:t>
            </w:r>
            <w:r w:rsidRPr="00935C89">
              <w:t xml:space="preserve"> Oui</w:t>
            </w:r>
            <w:r w:rsidR="005A0049" w:rsidRPr="00935C89">
              <w:t>/Non</w:t>
            </w:r>
          </w:p>
        </w:tc>
        <w:tc>
          <w:tcPr>
            <w:tcW w:w="5244" w:type="dxa"/>
            <w:tcBorders>
              <w:top w:val="single" w:sz="4" w:space="0" w:color="auto"/>
              <w:left w:val="nil"/>
              <w:bottom w:val="single" w:sz="4" w:space="0" w:color="auto"/>
              <w:right w:val="nil"/>
            </w:tcBorders>
          </w:tcPr>
          <w:p w14:paraId="0D9E7EB4" w14:textId="6554CCF6" w:rsidR="007075FC" w:rsidRPr="00935C89" w:rsidRDefault="007075FC" w:rsidP="00935C89">
            <w:pPr>
              <w:keepNext/>
              <w:keepLines/>
            </w:pPr>
            <w:r w:rsidRPr="00935C89">
              <w:rPr>
                <w:b/>
                <w:bCs/>
                <w:i/>
                <w:iCs/>
              </w:rPr>
              <w:t>Proposition soumise par plusieurs pays</w:t>
            </w:r>
            <w:r w:rsidRPr="00935C89">
              <w:rPr>
                <w:b/>
                <w:bCs/>
              </w:rPr>
              <w:t xml:space="preserve">: </w:t>
            </w:r>
            <w:r w:rsidR="005A0049" w:rsidRPr="00935C89">
              <w:t>Oui/N</w:t>
            </w:r>
            <w:r w:rsidRPr="00935C89">
              <w:t>on</w:t>
            </w:r>
          </w:p>
          <w:p w14:paraId="146F68C1" w14:textId="77777777" w:rsidR="007075FC" w:rsidRPr="00935C89" w:rsidRDefault="007075FC" w:rsidP="00935C89">
            <w:pPr>
              <w:keepNext/>
              <w:keepLines/>
              <w:spacing w:after="120"/>
            </w:pPr>
            <w:r w:rsidRPr="00935C89">
              <w:rPr>
                <w:b/>
                <w:bCs/>
                <w:i/>
                <w:iCs/>
              </w:rPr>
              <w:t>Nombre de pays</w:t>
            </w:r>
            <w:r w:rsidRPr="00935C89">
              <w:rPr>
                <w:b/>
                <w:bCs/>
              </w:rPr>
              <w:t>:</w:t>
            </w:r>
          </w:p>
        </w:tc>
      </w:tr>
      <w:tr w:rsidR="007075FC" w:rsidRPr="00935C89" w14:paraId="4276D520" w14:textId="77777777" w:rsidTr="00E63F06">
        <w:tc>
          <w:tcPr>
            <w:tcW w:w="9639" w:type="dxa"/>
            <w:gridSpan w:val="2"/>
            <w:tcBorders>
              <w:top w:val="single" w:sz="4" w:space="0" w:color="auto"/>
              <w:left w:val="nil"/>
              <w:bottom w:val="nil"/>
              <w:right w:val="nil"/>
            </w:tcBorders>
          </w:tcPr>
          <w:p w14:paraId="25D39E91" w14:textId="21FDA03F" w:rsidR="007075FC" w:rsidRPr="00935C89" w:rsidRDefault="007075FC" w:rsidP="00935C89">
            <w:pPr>
              <w:keepNext/>
              <w:keepLines/>
            </w:pPr>
            <w:r w:rsidRPr="00935C89">
              <w:rPr>
                <w:b/>
                <w:bCs/>
                <w:i/>
                <w:iCs/>
              </w:rPr>
              <w:t>Observations</w:t>
            </w:r>
            <w:r w:rsidR="002842BC" w:rsidRPr="00935C89">
              <w:rPr>
                <w:b/>
                <w:bCs/>
              </w:rPr>
              <w:t>:</w:t>
            </w:r>
          </w:p>
        </w:tc>
      </w:tr>
    </w:tbl>
    <w:p w14:paraId="47F34CEA" w14:textId="19F94F88" w:rsidR="00F027A3" w:rsidRPr="00935C89" w:rsidRDefault="005A0049" w:rsidP="002842BC">
      <w:pPr>
        <w:jc w:val="center"/>
      </w:pPr>
      <w:r w:rsidRPr="00935C89">
        <w:t>______________</w:t>
      </w:r>
    </w:p>
    <w:sectPr w:rsidR="00F027A3" w:rsidRPr="00935C89">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8B56" w14:textId="77777777" w:rsidR="00E5405A" w:rsidRDefault="00E5405A">
      <w:r>
        <w:separator/>
      </w:r>
    </w:p>
  </w:endnote>
  <w:endnote w:type="continuationSeparator" w:id="0">
    <w:p w14:paraId="4EC6F1EA" w14:textId="77777777" w:rsidR="00E5405A" w:rsidRDefault="00E5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292D" w14:textId="6DE03790"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64BE6">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5E7D" w14:textId="1C01E37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2842BC">
      <w:rPr>
        <w:lang w:val="en-US"/>
      </w:rPr>
      <w:t>P:\FRA\ITU-R\CONF-R\CMR23\100\100ADD27ADD01F.docx</w:t>
    </w:r>
    <w:r>
      <w:fldChar w:fldCharType="end"/>
    </w:r>
    <w:r w:rsidR="005A0049" w:rsidRPr="003508D1">
      <w:rPr>
        <w:lang w:val="en-GB"/>
      </w:rPr>
      <w:t xml:space="preserve"> (530217)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7C52" w14:textId="3A809002" w:rsidR="00936D25" w:rsidRPr="005A0049" w:rsidRDefault="005A0049" w:rsidP="005A0049">
    <w:pPr>
      <w:pStyle w:val="Footer"/>
      <w:rPr>
        <w:lang w:val="en-US"/>
      </w:rPr>
    </w:pPr>
    <w:r>
      <w:fldChar w:fldCharType="begin"/>
    </w:r>
    <w:r>
      <w:rPr>
        <w:lang w:val="en-US"/>
      </w:rPr>
      <w:instrText xml:space="preserve"> FILENAME \p  \* MERGEFORMAT </w:instrText>
    </w:r>
    <w:r>
      <w:fldChar w:fldCharType="separate"/>
    </w:r>
    <w:r w:rsidR="002842BC">
      <w:rPr>
        <w:lang w:val="en-US"/>
      </w:rPr>
      <w:t>P:\FRA\ITU-R\CONF-R\CMR23\100\100ADD27ADD01F.docx</w:t>
    </w:r>
    <w:r>
      <w:fldChar w:fldCharType="end"/>
    </w:r>
    <w:r w:rsidRPr="003508D1">
      <w:rPr>
        <w:lang w:val="en-GB"/>
      </w:rPr>
      <w:t xml:space="preserve"> (530217)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81FA" w14:textId="77777777" w:rsidR="00E5405A" w:rsidRDefault="00E5405A">
      <w:r>
        <w:rPr>
          <w:b/>
        </w:rPr>
        <w:t>_______________</w:t>
      </w:r>
    </w:p>
  </w:footnote>
  <w:footnote w:type="continuationSeparator" w:id="0">
    <w:p w14:paraId="7965614D" w14:textId="77777777" w:rsidR="00E5405A" w:rsidRDefault="00E54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1DA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83883C7" w14:textId="77777777" w:rsidR="004F1F8E" w:rsidRDefault="00225CF2" w:rsidP="00FD7AA3">
    <w:pPr>
      <w:pStyle w:val="Header"/>
    </w:pPr>
    <w:r>
      <w:t>WRC</w:t>
    </w:r>
    <w:r w:rsidR="00D3426F">
      <w:t>23</w:t>
    </w:r>
    <w:r w:rsidR="004F1F8E">
      <w:t>/</w:t>
    </w:r>
    <w:r w:rsidR="006A4B45">
      <w:t>100(Add.27)(Add.1)-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8862137">
    <w:abstractNumId w:val="0"/>
  </w:num>
  <w:num w:numId="2" w16cid:durableId="204466716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6E0E"/>
    <w:rsid w:val="0003522F"/>
    <w:rsid w:val="00063A1F"/>
    <w:rsid w:val="00080E2C"/>
    <w:rsid w:val="00081366"/>
    <w:rsid w:val="000863B3"/>
    <w:rsid w:val="000A4755"/>
    <w:rsid w:val="000A55AE"/>
    <w:rsid w:val="000A5952"/>
    <w:rsid w:val="000B2E0C"/>
    <w:rsid w:val="000B3D0C"/>
    <w:rsid w:val="001167B9"/>
    <w:rsid w:val="001267A0"/>
    <w:rsid w:val="00130294"/>
    <w:rsid w:val="0015203F"/>
    <w:rsid w:val="00160C64"/>
    <w:rsid w:val="0018169B"/>
    <w:rsid w:val="0019352B"/>
    <w:rsid w:val="001960D0"/>
    <w:rsid w:val="001A11F6"/>
    <w:rsid w:val="001F17E8"/>
    <w:rsid w:val="00204306"/>
    <w:rsid w:val="00225CF2"/>
    <w:rsid w:val="00232FD2"/>
    <w:rsid w:val="002565B4"/>
    <w:rsid w:val="0026554E"/>
    <w:rsid w:val="002842BC"/>
    <w:rsid w:val="002A4622"/>
    <w:rsid w:val="002A6F8F"/>
    <w:rsid w:val="002B17E5"/>
    <w:rsid w:val="002C0EBF"/>
    <w:rsid w:val="002C28A4"/>
    <w:rsid w:val="002D7E0A"/>
    <w:rsid w:val="00310311"/>
    <w:rsid w:val="00315AFE"/>
    <w:rsid w:val="00333E78"/>
    <w:rsid w:val="003411F6"/>
    <w:rsid w:val="003508D1"/>
    <w:rsid w:val="003606A6"/>
    <w:rsid w:val="0036650C"/>
    <w:rsid w:val="00393ACD"/>
    <w:rsid w:val="003A583E"/>
    <w:rsid w:val="003B3EEB"/>
    <w:rsid w:val="003C351F"/>
    <w:rsid w:val="003D4367"/>
    <w:rsid w:val="003E112B"/>
    <w:rsid w:val="003E1D1C"/>
    <w:rsid w:val="003E7B05"/>
    <w:rsid w:val="003F3719"/>
    <w:rsid w:val="003F6F2D"/>
    <w:rsid w:val="00466211"/>
    <w:rsid w:val="00483196"/>
    <w:rsid w:val="004834A9"/>
    <w:rsid w:val="004B7670"/>
    <w:rsid w:val="004D00D8"/>
    <w:rsid w:val="004D01FC"/>
    <w:rsid w:val="004E28C3"/>
    <w:rsid w:val="004F1F8E"/>
    <w:rsid w:val="00512A32"/>
    <w:rsid w:val="005343DA"/>
    <w:rsid w:val="0054190F"/>
    <w:rsid w:val="00560874"/>
    <w:rsid w:val="00586CF2"/>
    <w:rsid w:val="005A0049"/>
    <w:rsid w:val="005A7C75"/>
    <w:rsid w:val="005C3768"/>
    <w:rsid w:val="005C6C3F"/>
    <w:rsid w:val="00603211"/>
    <w:rsid w:val="00605A56"/>
    <w:rsid w:val="00613635"/>
    <w:rsid w:val="0062093D"/>
    <w:rsid w:val="00637ECF"/>
    <w:rsid w:val="00647B59"/>
    <w:rsid w:val="00650A3F"/>
    <w:rsid w:val="00686D2F"/>
    <w:rsid w:val="00690C7B"/>
    <w:rsid w:val="00695501"/>
    <w:rsid w:val="006A4B45"/>
    <w:rsid w:val="006D4724"/>
    <w:rsid w:val="006F5FA2"/>
    <w:rsid w:val="0070076C"/>
    <w:rsid w:val="00701BAE"/>
    <w:rsid w:val="007075FC"/>
    <w:rsid w:val="00721F04"/>
    <w:rsid w:val="00730E95"/>
    <w:rsid w:val="00733BC0"/>
    <w:rsid w:val="007426B9"/>
    <w:rsid w:val="00757468"/>
    <w:rsid w:val="00764342"/>
    <w:rsid w:val="00764BE6"/>
    <w:rsid w:val="00774362"/>
    <w:rsid w:val="0078184D"/>
    <w:rsid w:val="00786598"/>
    <w:rsid w:val="00790C74"/>
    <w:rsid w:val="007A04E8"/>
    <w:rsid w:val="007B2C34"/>
    <w:rsid w:val="007C12B1"/>
    <w:rsid w:val="007C7EC9"/>
    <w:rsid w:val="007F282B"/>
    <w:rsid w:val="00830086"/>
    <w:rsid w:val="00830656"/>
    <w:rsid w:val="00851625"/>
    <w:rsid w:val="00863C0A"/>
    <w:rsid w:val="008A3120"/>
    <w:rsid w:val="008A4B97"/>
    <w:rsid w:val="008B06AC"/>
    <w:rsid w:val="008C5B8E"/>
    <w:rsid w:val="008C5DD5"/>
    <w:rsid w:val="008C7123"/>
    <w:rsid w:val="008D41BE"/>
    <w:rsid w:val="008D58D3"/>
    <w:rsid w:val="008E3BC9"/>
    <w:rsid w:val="00923064"/>
    <w:rsid w:val="00930FFD"/>
    <w:rsid w:val="00935C89"/>
    <w:rsid w:val="00936D25"/>
    <w:rsid w:val="00941EA5"/>
    <w:rsid w:val="00956FC5"/>
    <w:rsid w:val="00964700"/>
    <w:rsid w:val="00966C16"/>
    <w:rsid w:val="0098732F"/>
    <w:rsid w:val="009A045F"/>
    <w:rsid w:val="009A6A2B"/>
    <w:rsid w:val="009C7E7C"/>
    <w:rsid w:val="009F4608"/>
    <w:rsid w:val="00A00473"/>
    <w:rsid w:val="00A0349C"/>
    <w:rsid w:val="00A03C9B"/>
    <w:rsid w:val="00A247D7"/>
    <w:rsid w:val="00A37105"/>
    <w:rsid w:val="00A606C3"/>
    <w:rsid w:val="00A6559E"/>
    <w:rsid w:val="00A70D30"/>
    <w:rsid w:val="00A83B09"/>
    <w:rsid w:val="00A84541"/>
    <w:rsid w:val="00A93E5D"/>
    <w:rsid w:val="00A96851"/>
    <w:rsid w:val="00AE36A0"/>
    <w:rsid w:val="00B00294"/>
    <w:rsid w:val="00B20546"/>
    <w:rsid w:val="00B3749C"/>
    <w:rsid w:val="00B64FD0"/>
    <w:rsid w:val="00BA5BD0"/>
    <w:rsid w:val="00BB1D82"/>
    <w:rsid w:val="00BB1F21"/>
    <w:rsid w:val="00BC217E"/>
    <w:rsid w:val="00BD51C5"/>
    <w:rsid w:val="00BF26E7"/>
    <w:rsid w:val="00C1305F"/>
    <w:rsid w:val="00C53FCA"/>
    <w:rsid w:val="00C71DEB"/>
    <w:rsid w:val="00C76BAF"/>
    <w:rsid w:val="00C810AC"/>
    <w:rsid w:val="00C814B9"/>
    <w:rsid w:val="00CA6FBE"/>
    <w:rsid w:val="00CB685A"/>
    <w:rsid w:val="00CD516F"/>
    <w:rsid w:val="00CE117B"/>
    <w:rsid w:val="00CE31F7"/>
    <w:rsid w:val="00D119A7"/>
    <w:rsid w:val="00D25FBA"/>
    <w:rsid w:val="00D32B28"/>
    <w:rsid w:val="00D3426F"/>
    <w:rsid w:val="00D42954"/>
    <w:rsid w:val="00D66EAC"/>
    <w:rsid w:val="00D730DF"/>
    <w:rsid w:val="00D7341C"/>
    <w:rsid w:val="00D73959"/>
    <w:rsid w:val="00D772F0"/>
    <w:rsid w:val="00D77BDC"/>
    <w:rsid w:val="00DC402B"/>
    <w:rsid w:val="00DE0932"/>
    <w:rsid w:val="00DF15E8"/>
    <w:rsid w:val="00E03A27"/>
    <w:rsid w:val="00E049F1"/>
    <w:rsid w:val="00E37A25"/>
    <w:rsid w:val="00E537FF"/>
    <w:rsid w:val="00E5405A"/>
    <w:rsid w:val="00E60CB2"/>
    <w:rsid w:val="00E6539B"/>
    <w:rsid w:val="00E70A31"/>
    <w:rsid w:val="00E723A7"/>
    <w:rsid w:val="00EA3F38"/>
    <w:rsid w:val="00EA5AB6"/>
    <w:rsid w:val="00EB0DFA"/>
    <w:rsid w:val="00EC7615"/>
    <w:rsid w:val="00ED16AA"/>
    <w:rsid w:val="00ED6B8D"/>
    <w:rsid w:val="00EE3D7B"/>
    <w:rsid w:val="00EF662E"/>
    <w:rsid w:val="00F027A3"/>
    <w:rsid w:val="00F10064"/>
    <w:rsid w:val="00F13E2D"/>
    <w:rsid w:val="00F148F1"/>
    <w:rsid w:val="00F17BEE"/>
    <w:rsid w:val="00F53E4B"/>
    <w:rsid w:val="00F565A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514C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Zchn"/>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D7341C"/>
    <w:rPr>
      <w:rFonts w:ascii="Times New Roman" w:hAnsi="Times New Roman"/>
      <w:i/>
      <w:sz w:val="24"/>
      <w:lang w:val="fr-FR" w:eastAsia="en-US"/>
    </w:rPr>
  </w:style>
  <w:style w:type="character" w:customStyle="1" w:styleId="BRNormal">
    <w:name w:val="BR_Normal"/>
    <w:basedOn w:val="DefaultParagraphFont"/>
    <w:uiPriority w:val="1"/>
    <w:qFormat/>
    <w:rsid w:val="00D7341C"/>
  </w:style>
  <w:style w:type="character" w:customStyle="1" w:styleId="RestitleZchn">
    <w:name w:val="Res_title Zchn"/>
    <w:basedOn w:val="DefaultParagraphFont"/>
    <w:link w:val="Restitle"/>
    <w:rsid w:val="00D7341C"/>
    <w:rPr>
      <w:rFonts w:ascii="Times New Roman Bold" w:hAnsi="Times New Roman Bold"/>
      <w:b/>
      <w:sz w:val="28"/>
      <w:lang w:val="fr-FR" w:eastAsia="en-US"/>
    </w:rPr>
  </w:style>
  <w:style w:type="character" w:customStyle="1" w:styleId="ECCHLyellow">
    <w:name w:val="ECC HL yellow"/>
    <w:basedOn w:val="DefaultParagraphFont"/>
    <w:uiPriority w:val="1"/>
    <w:qFormat/>
    <w:rsid w:val="00D7341C"/>
    <w:rPr>
      <w:rFonts w:eastAsia="Calibri"/>
      <w:i w:val="0"/>
      <w:szCs w:val="22"/>
      <w:bdr w:val="none" w:sz="0" w:space="0" w:color="auto"/>
      <w:shd w:val="solid" w:color="FFFF00" w:fill="auto"/>
      <w:lang w:val="en-GB"/>
    </w:rPr>
  </w:style>
  <w:style w:type="character" w:customStyle="1" w:styleId="NormalaftertitleChar">
    <w:name w:val="Normal after title Char"/>
    <w:basedOn w:val="DefaultParagraphFont"/>
    <w:link w:val="Normalaftertitle"/>
    <w:rsid w:val="00D7341C"/>
    <w:rPr>
      <w:rFonts w:ascii="Times New Roman" w:hAnsi="Times New Roman"/>
      <w:sz w:val="24"/>
      <w:lang w:val="fr-FR" w:eastAsia="en-US"/>
    </w:rPr>
  </w:style>
  <w:style w:type="paragraph" w:styleId="Revision">
    <w:name w:val="Revision"/>
    <w:hidden/>
    <w:uiPriority w:val="99"/>
    <w:semiHidden/>
    <w:rsid w:val="00BB1F21"/>
    <w:rPr>
      <w:rFonts w:ascii="Times New Roman" w:hAnsi="Times New Roman"/>
      <w:sz w:val="24"/>
      <w:lang w:val="fr-FR" w:eastAsia="en-US"/>
    </w:rPr>
  </w:style>
  <w:style w:type="character" w:styleId="CommentReference">
    <w:name w:val="annotation reference"/>
    <w:basedOn w:val="DefaultParagraphFont"/>
    <w:semiHidden/>
    <w:unhideWhenUsed/>
    <w:rsid w:val="003B3EEB"/>
    <w:rPr>
      <w:sz w:val="16"/>
      <w:szCs w:val="16"/>
    </w:rPr>
  </w:style>
  <w:style w:type="paragraph" w:styleId="CommentText">
    <w:name w:val="annotation text"/>
    <w:basedOn w:val="Normal"/>
    <w:link w:val="CommentTextChar"/>
    <w:unhideWhenUsed/>
    <w:rsid w:val="003B3EEB"/>
    <w:rPr>
      <w:sz w:val="20"/>
    </w:rPr>
  </w:style>
  <w:style w:type="character" w:customStyle="1" w:styleId="CommentTextChar">
    <w:name w:val="Comment Text Char"/>
    <w:basedOn w:val="DefaultParagraphFont"/>
    <w:link w:val="CommentText"/>
    <w:rsid w:val="003B3EE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B3EEB"/>
    <w:rPr>
      <w:b/>
      <w:bCs/>
    </w:rPr>
  </w:style>
  <w:style w:type="character" w:customStyle="1" w:styleId="CommentSubjectChar">
    <w:name w:val="Comment Subject Char"/>
    <w:basedOn w:val="CommentTextChar"/>
    <w:link w:val="CommentSubject"/>
    <w:semiHidden/>
    <w:rsid w:val="003B3EEB"/>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R23-WRC23-C-0100!A27-A1!MSW-F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495AA13-4524-4FEE-B4F9-F7EC4768D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25D4A-3962-4EA7-8EC3-9B6CFC2C9628}">
  <ds:schemaRefs>
    <ds:schemaRef ds:uri="http://schemas.microsoft.com/sharepoint/events"/>
  </ds:schemaRefs>
</ds:datastoreItem>
</file>

<file path=customXml/itemProps4.xml><?xml version="1.0" encoding="utf-8"?>
<ds:datastoreItem xmlns:ds="http://schemas.openxmlformats.org/officeDocument/2006/customXml" ds:itemID="{C94D8EC0-3FAC-46B9-BF6E-29229A0289C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8870F1E-0F3A-4F03-96F8-D92A8284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1472</Words>
  <Characters>8340</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R23-WRC23-C-0100!A27-A1!MSW-F</vt:lpstr>
      <vt:lpstr>R23-WRC23-C-0100!A27-A1!MSW-F</vt:lpstr>
    </vt:vector>
  </TitlesOfParts>
  <Manager>Secrétariat général - Pool</Manager>
  <Company>Union internationale des télécommunications (UIT)</Company>
  <LinksUpToDate>false</LinksUpToDate>
  <CharactersWithSpaces>9793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R23-WRC23-C-0100!A27-A1!MSW-F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2023-11-11T14:11:00Z</dcterms:created>
  <dcterms:modified xsi:type="dcterms:W3CDTF">2023-11-13T05:44:00Z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