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4678"/>
        <w:gridCol w:w="2126"/>
        <w:gridCol w:w="1809"/>
      </w:tblGrid>
      <w:tr w:rsidR="00C1305F" w:rsidRPr="004A1033" w14:paraId="47E9C48E" w14:textId="77777777" w:rsidTr="00C1305F">
        <w:trPr>
          <w:cantSplit/>
        </w:trPr>
        <w:tc>
          <w:tcPr>
            <w:tcW w:w="1418" w:type="dxa"/>
            <w:vAlign w:val="center"/>
          </w:tcPr>
          <w:p w14:paraId="659C14F2" w14:textId="77777777" w:rsidR="00C1305F" w:rsidRPr="004A1033" w:rsidRDefault="00C1305F" w:rsidP="0049321B">
            <w:pPr>
              <w:spacing w:before="0"/>
              <w:rPr>
                <w:rFonts w:ascii="Verdana" w:hAnsi="Verdana"/>
                <w:b/>
                <w:bCs/>
                <w:sz w:val="20"/>
              </w:rPr>
            </w:pPr>
            <w:r w:rsidRPr="004A1033">
              <w:drawing>
                <wp:inline distT="0" distB="0" distL="0" distR="0" wp14:anchorId="29AFDA12" wp14:editId="5A4DA8A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FDC6C9E" w14:textId="4B93D118" w:rsidR="00C1305F" w:rsidRPr="004A1033" w:rsidRDefault="00C1305F" w:rsidP="0049321B">
            <w:pPr>
              <w:spacing w:before="400" w:after="48"/>
              <w:rPr>
                <w:rFonts w:ascii="Verdana" w:hAnsi="Verdana"/>
                <w:b/>
                <w:bCs/>
                <w:sz w:val="20"/>
              </w:rPr>
            </w:pPr>
            <w:r w:rsidRPr="004A1033">
              <w:rPr>
                <w:rFonts w:ascii="Verdana" w:hAnsi="Verdana"/>
                <w:b/>
                <w:bCs/>
                <w:sz w:val="20"/>
              </w:rPr>
              <w:t>Conférence mondiale des radiocommunications (CMR-23)</w:t>
            </w:r>
            <w:r w:rsidRPr="004A1033">
              <w:rPr>
                <w:rFonts w:ascii="Verdana" w:hAnsi="Verdana"/>
                <w:b/>
                <w:bCs/>
                <w:sz w:val="20"/>
              </w:rPr>
              <w:br/>
            </w:r>
            <w:r w:rsidRPr="004A1033">
              <w:rPr>
                <w:rFonts w:ascii="Verdana" w:hAnsi="Verdana"/>
                <w:b/>
                <w:bCs/>
                <w:sz w:val="18"/>
                <w:szCs w:val="18"/>
              </w:rPr>
              <w:t xml:space="preserve">Dubaï, 20 novembre </w:t>
            </w:r>
            <w:r w:rsidR="008D4508" w:rsidRPr="004A1033">
              <w:rPr>
                <w:rFonts w:ascii="Verdana" w:hAnsi="Verdana"/>
                <w:b/>
                <w:bCs/>
                <w:sz w:val="18"/>
                <w:szCs w:val="18"/>
              </w:rPr>
              <w:t>–</w:t>
            </w:r>
            <w:r w:rsidRPr="004A1033">
              <w:rPr>
                <w:rFonts w:ascii="Verdana" w:hAnsi="Verdana"/>
                <w:b/>
                <w:bCs/>
                <w:sz w:val="18"/>
                <w:szCs w:val="18"/>
              </w:rPr>
              <w:t xml:space="preserve"> 15 décembre 2023</w:t>
            </w:r>
          </w:p>
        </w:tc>
        <w:tc>
          <w:tcPr>
            <w:tcW w:w="1809" w:type="dxa"/>
            <w:vAlign w:val="center"/>
          </w:tcPr>
          <w:p w14:paraId="363FC809" w14:textId="77777777" w:rsidR="00C1305F" w:rsidRPr="004A1033" w:rsidRDefault="00C1305F" w:rsidP="0049321B">
            <w:pPr>
              <w:spacing w:before="0"/>
            </w:pPr>
            <w:bookmarkStart w:id="0" w:name="ditulogo"/>
            <w:bookmarkEnd w:id="0"/>
            <w:r w:rsidRPr="004A1033">
              <w:drawing>
                <wp:inline distT="0" distB="0" distL="0" distR="0" wp14:anchorId="704BC669" wp14:editId="2607AFB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A1033" w14:paraId="7846161C" w14:textId="77777777" w:rsidTr="00A32762">
        <w:trPr>
          <w:cantSplit/>
        </w:trPr>
        <w:tc>
          <w:tcPr>
            <w:tcW w:w="6096" w:type="dxa"/>
            <w:gridSpan w:val="2"/>
            <w:tcBorders>
              <w:bottom w:val="single" w:sz="12" w:space="0" w:color="auto"/>
            </w:tcBorders>
          </w:tcPr>
          <w:p w14:paraId="6E2659C5" w14:textId="77777777" w:rsidR="00BB1D82" w:rsidRPr="004A1033" w:rsidRDefault="00BB1D82" w:rsidP="0049321B">
            <w:pPr>
              <w:spacing w:before="0" w:after="48"/>
              <w:rPr>
                <w:b/>
                <w:smallCaps/>
                <w:szCs w:val="24"/>
              </w:rPr>
            </w:pPr>
            <w:bookmarkStart w:id="1" w:name="dhead"/>
          </w:p>
        </w:tc>
        <w:tc>
          <w:tcPr>
            <w:tcW w:w="3935" w:type="dxa"/>
            <w:gridSpan w:val="2"/>
            <w:tcBorders>
              <w:bottom w:val="single" w:sz="12" w:space="0" w:color="auto"/>
            </w:tcBorders>
          </w:tcPr>
          <w:p w14:paraId="504EC0C5" w14:textId="77777777" w:rsidR="00BB1D82" w:rsidRPr="004A1033" w:rsidRDefault="00BB1D82" w:rsidP="0049321B">
            <w:pPr>
              <w:spacing w:before="0"/>
              <w:rPr>
                <w:rFonts w:ascii="Verdana" w:hAnsi="Verdana"/>
                <w:szCs w:val="24"/>
              </w:rPr>
            </w:pPr>
          </w:p>
        </w:tc>
      </w:tr>
      <w:tr w:rsidR="00BB1D82" w:rsidRPr="004A1033" w14:paraId="21DBFF3B" w14:textId="77777777" w:rsidTr="00A32762">
        <w:trPr>
          <w:cantSplit/>
        </w:trPr>
        <w:tc>
          <w:tcPr>
            <w:tcW w:w="6096" w:type="dxa"/>
            <w:gridSpan w:val="2"/>
            <w:tcBorders>
              <w:top w:val="single" w:sz="12" w:space="0" w:color="auto"/>
            </w:tcBorders>
          </w:tcPr>
          <w:p w14:paraId="33CB3A7E" w14:textId="77777777" w:rsidR="00BB1D82" w:rsidRPr="004A1033" w:rsidRDefault="00BB1D82" w:rsidP="0049321B">
            <w:pPr>
              <w:spacing w:before="0" w:after="48"/>
              <w:rPr>
                <w:rFonts w:ascii="Verdana" w:hAnsi="Verdana"/>
                <w:b/>
                <w:smallCaps/>
                <w:sz w:val="20"/>
              </w:rPr>
            </w:pPr>
          </w:p>
        </w:tc>
        <w:tc>
          <w:tcPr>
            <w:tcW w:w="3935" w:type="dxa"/>
            <w:gridSpan w:val="2"/>
            <w:tcBorders>
              <w:top w:val="single" w:sz="12" w:space="0" w:color="auto"/>
            </w:tcBorders>
          </w:tcPr>
          <w:p w14:paraId="168FB33E" w14:textId="77777777" w:rsidR="00BB1D82" w:rsidRPr="004A1033" w:rsidRDefault="00BB1D82" w:rsidP="0049321B">
            <w:pPr>
              <w:spacing w:before="0"/>
              <w:rPr>
                <w:rFonts w:ascii="Verdana" w:hAnsi="Verdana"/>
                <w:sz w:val="20"/>
              </w:rPr>
            </w:pPr>
          </w:p>
        </w:tc>
      </w:tr>
      <w:tr w:rsidR="00BB1D82" w:rsidRPr="004A1033" w14:paraId="046D34FE" w14:textId="77777777" w:rsidTr="00A32762">
        <w:trPr>
          <w:cantSplit/>
        </w:trPr>
        <w:tc>
          <w:tcPr>
            <w:tcW w:w="6096" w:type="dxa"/>
            <w:gridSpan w:val="2"/>
          </w:tcPr>
          <w:p w14:paraId="0FDB4CA2" w14:textId="77777777" w:rsidR="00BB1D82" w:rsidRPr="004A1033" w:rsidRDefault="006D4724" w:rsidP="0049321B">
            <w:pPr>
              <w:spacing w:before="0"/>
              <w:rPr>
                <w:rFonts w:ascii="Verdana" w:hAnsi="Verdana"/>
                <w:b/>
                <w:sz w:val="20"/>
              </w:rPr>
            </w:pPr>
            <w:r w:rsidRPr="004A1033">
              <w:rPr>
                <w:rFonts w:ascii="Verdana" w:hAnsi="Verdana"/>
                <w:b/>
                <w:sz w:val="20"/>
              </w:rPr>
              <w:t>COMMISSION 6</w:t>
            </w:r>
          </w:p>
        </w:tc>
        <w:tc>
          <w:tcPr>
            <w:tcW w:w="3935" w:type="dxa"/>
            <w:gridSpan w:val="2"/>
          </w:tcPr>
          <w:p w14:paraId="6B17A04A" w14:textId="01A85621" w:rsidR="00BB1D82" w:rsidRPr="004A1033" w:rsidRDefault="006D4724" w:rsidP="0049321B">
            <w:pPr>
              <w:spacing w:before="0"/>
              <w:rPr>
                <w:rFonts w:ascii="Verdana" w:hAnsi="Verdana"/>
                <w:sz w:val="20"/>
              </w:rPr>
            </w:pPr>
            <w:r w:rsidRPr="004A1033">
              <w:rPr>
                <w:rFonts w:ascii="Verdana" w:hAnsi="Verdana"/>
                <w:b/>
                <w:sz w:val="20"/>
              </w:rPr>
              <w:t xml:space="preserve">Révision 1 </w:t>
            </w:r>
            <w:r w:rsidR="00A964EC" w:rsidRPr="004A1033">
              <w:rPr>
                <w:rFonts w:ascii="Verdana" w:hAnsi="Verdana"/>
                <w:b/>
                <w:sz w:val="20"/>
              </w:rPr>
              <w:t>du</w:t>
            </w:r>
            <w:r w:rsidRPr="004A1033">
              <w:rPr>
                <w:rFonts w:ascii="Verdana" w:hAnsi="Verdana"/>
                <w:b/>
                <w:sz w:val="20"/>
              </w:rPr>
              <w:br/>
              <w:t>Document 99(Add.27)(Add.3)</w:t>
            </w:r>
            <w:r w:rsidR="00BB1D82" w:rsidRPr="004A1033">
              <w:rPr>
                <w:rFonts w:ascii="Verdana" w:hAnsi="Verdana"/>
                <w:b/>
                <w:sz w:val="20"/>
              </w:rPr>
              <w:t>-</w:t>
            </w:r>
            <w:r w:rsidRPr="004A1033">
              <w:rPr>
                <w:rFonts w:ascii="Verdana" w:hAnsi="Verdana"/>
                <w:b/>
                <w:sz w:val="20"/>
              </w:rPr>
              <w:t>F</w:t>
            </w:r>
          </w:p>
        </w:tc>
      </w:tr>
      <w:bookmarkEnd w:id="1"/>
      <w:tr w:rsidR="00690C7B" w:rsidRPr="004A1033" w14:paraId="40682365" w14:textId="77777777" w:rsidTr="00A32762">
        <w:trPr>
          <w:cantSplit/>
        </w:trPr>
        <w:tc>
          <w:tcPr>
            <w:tcW w:w="6096" w:type="dxa"/>
            <w:gridSpan w:val="2"/>
          </w:tcPr>
          <w:p w14:paraId="6C969C5C" w14:textId="77777777" w:rsidR="00690C7B" w:rsidRPr="004A1033" w:rsidRDefault="00690C7B" w:rsidP="0049321B">
            <w:pPr>
              <w:spacing w:before="0"/>
              <w:rPr>
                <w:rFonts w:ascii="Verdana" w:hAnsi="Verdana"/>
                <w:b/>
                <w:sz w:val="20"/>
              </w:rPr>
            </w:pPr>
          </w:p>
        </w:tc>
        <w:tc>
          <w:tcPr>
            <w:tcW w:w="3935" w:type="dxa"/>
            <w:gridSpan w:val="2"/>
          </w:tcPr>
          <w:p w14:paraId="68F95614" w14:textId="77777777" w:rsidR="00690C7B" w:rsidRPr="004A1033" w:rsidRDefault="00690C7B" w:rsidP="0049321B">
            <w:pPr>
              <w:spacing w:before="0"/>
              <w:rPr>
                <w:rFonts w:ascii="Verdana" w:hAnsi="Verdana"/>
                <w:b/>
                <w:sz w:val="20"/>
              </w:rPr>
            </w:pPr>
            <w:r w:rsidRPr="004A1033">
              <w:rPr>
                <w:rFonts w:ascii="Verdana" w:hAnsi="Verdana"/>
                <w:b/>
                <w:sz w:val="20"/>
              </w:rPr>
              <w:t>24 novembre 2023</w:t>
            </w:r>
          </w:p>
        </w:tc>
      </w:tr>
      <w:tr w:rsidR="00690C7B" w:rsidRPr="004A1033" w14:paraId="56672874" w14:textId="77777777" w:rsidTr="00A32762">
        <w:trPr>
          <w:cantSplit/>
        </w:trPr>
        <w:tc>
          <w:tcPr>
            <w:tcW w:w="6096" w:type="dxa"/>
            <w:gridSpan w:val="2"/>
          </w:tcPr>
          <w:p w14:paraId="7622A345" w14:textId="77777777" w:rsidR="00690C7B" w:rsidRPr="004A1033" w:rsidRDefault="00690C7B" w:rsidP="0049321B">
            <w:pPr>
              <w:spacing w:before="0" w:after="48"/>
              <w:rPr>
                <w:rFonts w:ascii="Verdana" w:hAnsi="Verdana"/>
                <w:b/>
                <w:smallCaps/>
                <w:sz w:val="20"/>
              </w:rPr>
            </w:pPr>
          </w:p>
        </w:tc>
        <w:tc>
          <w:tcPr>
            <w:tcW w:w="3935" w:type="dxa"/>
            <w:gridSpan w:val="2"/>
          </w:tcPr>
          <w:p w14:paraId="29DE7625" w14:textId="77777777" w:rsidR="00690C7B" w:rsidRPr="004A1033" w:rsidRDefault="00690C7B" w:rsidP="0049321B">
            <w:pPr>
              <w:spacing w:before="0"/>
              <w:rPr>
                <w:rFonts w:ascii="Verdana" w:hAnsi="Verdana"/>
                <w:b/>
                <w:sz w:val="20"/>
              </w:rPr>
            </w:pPr>
            <w:r w:rsidRPr="004A1033">
              <w:rPr>
                <w:rFonts w:ascii="Verdana" w:hAnsi="Verdana"/>
                <w:b/>
                <w:sz w:val="20"/>
              </w:rPr>
              <w:t>Original: anglais</w:t>
            </w:r>
          </w:p>
        </w:tc>
      </w:tr>
      <w:tr w:rsidR="00690C7B" w:rsidRPr="004A1033" w14:paraId="4DD4738C" w14:textId="77777777" w:rsidTr="00C11970">
        <w:trPr>
          <w:cantSplit/>
        </w:trPr>
        <w:tc>
          <w:tcPr>
            <w:tcW w:w="10031" w:type="dxa"/>
            <w:gridSpan w:val="4"/>
          </w:tcPr>
          <w:p w14:paraId="4E87E120" w14:textId="77777777" w:rsidR="00690C7B" w:rsidRPr="004A1033" w:rsidRDefault="00690C7B" w:rsidP="0049321B">
            <w:pPr>
              <w:spacing w:before="0"/>
              <w:rPr>
                <w:rFonts w:ascii="Verdana" w:hAnsi="Verdana"/>
                <w:b/>
                <w:sz w:val="20"/>
              </w:rPr>
            </w:pPr>
          </w:p>
        </w:tc>
      </w:tr>
      <w:tr w:rsidR="00690C7B" w:rsidRPr="004A1033" w14:paraId="3EC70661" w14:textId="77777777" w:rsidTr="0050008E">
        <w:trPr>
          <w:cantSplit/>
        </w:trPr>
        <w:tc>
          <w:tcPr>
            <w:tcW w:w="10031" w:type="dxa"/>
            <w:gridSpan w:val="4"/>
          </w:tcPr>
          <w:p w14:paraId="6A61A36A" w14:textId="77777777" w:rsidR="00690C7B" w:rsidRPr="004A1033" w:rsidRDefault="00690C7B" w:rsidP="0049321B">
            <w:pPr>
              <w:pStyle w:val="Source"/>
            </w:pPr>
            <w:bookmarkStart w:id="2" w:name="dsource" w:colFirst="0" w:colLast="0"/>
            <w:r w:rsidRPr="004A1033">
              <w:t>Japon</w:t>
            </w:r>
          </w:p>
        </w:tc>
      </w:tr>
      <w:tr w:rsidR="00690C7B" w:rsidRPr="004A1033" w14:paraId="37F662FB" w14:textId="77777777" w:rsidTr="0050008E">
        <w:trPr>
          <w:cantSplit/>
        </w:trPr>
        <w:tc>
          <w:tcPr>
            <w:tcW w:w="10031" w:type="dxa"/>
            <w:gridSpan w:val="4"/>
          </w:tcPr>
          <w:p w14:paraId="744C8E27" w14:textId="405E6DD5" w:rsidR="00690C7B" w:rsidRPr="004A1033" w:rsidRDefault="006762D4" w:rsidP="0049321B">
            <w:pPr>
              <w:pStyle w:val="Title1"/>
            </w:pPr>
            <w:bookmarkStart w:id="3" w:name="dtitle1" w:colFirst="0" w:colLast="0"/>
            <w:bookmarkEnd w:id="2"/>
            <w:r w:rsidRPr="004A1033">
              <w:t>PROPOSITIONS POUR LES TRAVAUX DE LA CONF</w:t>
            </w:r>
            <w:r w:rsidR="007F1ED5" w:rsidRPr="004A1033">
              <w:t>É</w:t>
            </w:r>
            <w:r w:rsidRPr="004A1033">
              <w:t>RENCE</w:t>
            </w:r>
          </w:p>
        </w:tc>
      </w:tr>
      <w:tr w:rsidR="00690C7B" w:rsidRPr="004A1033" w14:paraId="6FE258F3" w14:textId="77777777" w:rsidTr="0050008E">
        <w:trPr>
          <w:cantSplit/>
        </w:trPr>
        <w:tc>
          <w:tcPr>
            <w:tcW w:w="10031" w:type="dxa"/>
            <w:gridSpan w:val="4"/>
          </w:tcPr>
          <w:p w14:paraId="024017EC" w14:textId="77777777" w:rsidR="00690C7B" w:rsidRPr="004A1033" w:rsidRDefault="00690C7B" w:rsidP="0049321B">
            <w:pPr>
              <w:pStyle w:val="Title2"/>
              <w:rPr>
                <w:rPrChange w:id="4" w:author="Deturche-Nazer, Anne-Marie" w:date="2023-11-24T18:39:00Z">
                  <w:rPr>
                    <w:lang w:val="en-US"/>
                  </w:rPr>
                </w:rPrChange>
              </w:rPr>
            </w:pPr>
            <w:bookmarkStart w:id="5" w:name="dtitle2" w:colFirst="0" w:colLast="0"/>
            <w:bookmarkEnd w:id="3"/>
          </w:p>
        </w:tc>
      </w:tr>
      <w:tr w:rsidR="00690C7B" w:rsidRPr="004A1033" w14:paraId="6E192A5F" w14:textId="77777777" w:rsidTr="0050008E">
        <w:trPr>
          <w:cantSplit/>
        </w:trPr>
        <w:tc>
          <w:tcPr>
            <w:tcW w:w="10031" w:type="dxa"/>
            <w:gridSpan w:val="4"/>
          </w:tcPr>
          <w:p w14:paraId="597B6687" w14:textId="77777777" w:rsidR="00690C7B" w:rsidRPr="004A1033" w:rsidRDefault="00690C7B" w:rsidP="0049321B">
            <w:pPr>
              <w:pStyle w:val="Agendaitem"/>
              <w:rPr>
                <w:lang w:val="fr-FR"/>
              </w:rPr>
            </w:pPr>
            <w:bookmarkStart w:id="6" w:name="dtitle3" w:colFirst="0" w:colLast="0"/>
            <w:bookmarkEnd w:id="5"/>
            <w:r w:rsidRPr="004A1033">
              <w:rPr>
                <w:lang w:val="fr-FR"/>
              </w:rPr>
              <w:t>Point 10 de l'ordre du jour</w:t>
            </w:r>
          </w:p>
        </w:tc>
      </w:tr>
    </w:tbl>
    <w:bookmarkEnd w:id="6"/>
    <w:p w14:paraId="567B7CD7" w14:textId="348892D1" w:rsidR="004A1033" w:rsidRPr="004A1033" w:rsidRDefault="00864F65" w:rsidP="0049321B">
      <w:r w:rsidRPr="004A1033">
        <w:t>10</w:t>
      </w:r>
      <w:r w:rsidRPr="004A1033">
        <w:tab/>
        <w:t>recommander au Conseil de l'UIT des points à inscrire à l'ordre du jour de la Conférence mondiale des radiocommunications suivante et des points de l'ordre du jour préliminaire de conférences futures, conformément à l'article</w:t>
      </w:r>
      <w:r w:rsidR="008D4508" w:rsidRPr="004A1033">
        <w:t xml:space="preserve"> </w:t>
      </w:r>
      <w:r w:rsidRPr="004A1033">
        <w:t>7 de la</w:t>
      </w:r>
      <w:r w:rsidR="008D4508" w:rsidRPr="004A1033">
        <w:t xml:space="preserve"> </w:t>
      </w:r>
      <w:r w:rsidRPr="004A1033">
        <w:t>Convention de l'UIT et à la Résolution</w:t>
      </w:r>
      <w:r w:rsidR="008D4508" w:rsidRPr="004A1033">
        <w:t> </w:t>
      </w:r>
      <w:r w:rsidRPr="004A1033">
        <w:rPr>
          <w:b/>
        </w:rPr>
        <w:t>804 (Rév.CMR-19)</w:t>
      </w:r>
      <w:r w:rsidRPr="004A1033">
        <w:t>,</w:t>
      </w:r>
    </w:p>
    <w:p w14:paraId="5010AAC5" w14:textId="3B89A134" w:rsidR="00146620" w:rsidRPr="004A1033" w:rsidRDefault="00D07F5E" w:rsidP="0049321B">
      <w:pPr>
        <w:pStyle w:val="Annextitle"/>
      </w:pPr>
      <w:r w:rsidRPr="004A1033">
        <w:t>Vues</w:t>
      </w:r>
      <w:r w:rsidR="00146620" w:rsidRPr="004A1033">
        <w:t xml:space="preserve"> sur la proposition</w:t>
      </w:r>
      <w:r w:rsidRPr="004A1033">
        <w:t xml:space="preserve"> visant à inscrire un </w:t>
      </w:r>
      <w:r w:rsidR="00146620" w:rsidRPr="004A1033">
        <w:t>nouveau point à l'ordre du jour de la CMR</w:t>
      </w:r>
      <w:r w:rsidR="00146620" w:rsidRPr="004A1033">
        <w:noBreakHyphen/>
        <w:t xml:space="preserve">27 </w:t>
      </w:r>
      <w:r w:rsidRPr="004A1033">
        <w:t xml:space="preserve">pour examiner </w:t>
      </w:r>
      <w:r w:rsidR="00146620" w:rsidRPr="004A1033">
        <w:t xml:space="preserve">et </w:t>
      </w:r>
      <w:r w:rsidRPr="004A1033">
        <w:t>mettre</w:t>
      </w:r>
      <w:r w:rsidR="008D4508" w:rsidRPr="004A1033">
        <w:t xml:space="preserve"> </w:t>
      </w:r>
      <w:r w:rsidR="00146620" w:rsidRPr="004A1033">
        <w:t xml:space="preserve">à jour </w:t>
      </w:r>
      <w:r w:rsidRPr="004A1033">
        <w:t xml:space="preserve">les </w:t>
      </w:r>
      <w:r w:rsidR="00146620" w:rsidRPr="004A1033">
        <w:t>dispositions</w:t>
      </w:r>
      <w:r w:rsidR="008D4508" w:rsidRPr="004A1033">
        <w:t xml:space="preserve"> </w:t>
      </w:r>
      <w:r w:rsidR="00146620" w:rsidRPr="004A1033">
        <w:t>réglementaires relatives au partage entre les systèmes</w:t>
      </w:r>
      <w:r w:rsidR="008D4508" w:rsidRPr="004A1033">
        <w:t xml:space="preserve"> </w:t>
      </w:r>
      <w:r w:rsidR="00146620" w:rsidRPr="004A1033">
        <w:t xml:space="preserve">non OSG et les réseaux OSG </w:t>
      </w:r>
      <w:r w:rsidR="008D4508" w:rsidRPr="004A1033">
        <w:br/>
      </w:r>
      <w:r w:rsidR="00146620" w:rsidRPr="004A1033">
        <w:t>dans les parties des</w:t>
      </w:r>
      <w:r w:rsidR="008D4508" w:rsidRPr="004A1033">
        <w:t xml:space="preserve"> </w:t>
      </w:r>
      <w:r w:rsidR="00146620" w:rsidRPr="004A1033">
        <w:t xml:space="preserve">bandes de fréquences des 14/11 GHz </w:t>
      </w:r>
      <w:r w:rsidR="008D4508" w:rsidRPr="004A1033">
        <w:br/>
      </w:r>
      <w:r w:rsidR="00146620" w:rsidRPr="004A1033">
        <w:t>et des 30/20 GHz</w:t>
      </w:r>
      <w:r w:rsidR="008D4508" w:rsidRPr="004A1033">
        <w:t xml:space="preserve"> </w:t>
      </w:r>
      <w:r w:rsidR="00146620" w:rsidRPr="004A1033">
        <w:t xml:space="preserve">dans lesquelles les limites </w:t>
      </w:r>
      <w:r w:rsidR="008D4508" w:rsidRPr="004A1033">
        <w:br/>
      </w:r>
      <w:r w:rsidR="00146620" w:rsidRPr="004A1033">
        <w:t xml:space="preserve">d'epfd </w:t>
      </w:r>
      <w:r w:rsidRPr="004A1033">
        <w:t>de</w:t>
      </w:r>
      <w:r w:rsidR="008D4508" w:rsidRPr="004A1033">
        <w:t xml:space="preserve"> l</w:t>
      </w:r>
      <w:r w:rsidR="00146620" w:rsidRPr="004A1033">
        <w:t>'Article 22 s'appliquent</w:t>
      </w:r>
    </w:p>
    <w:p w14:paraId="2A743AE2" w14:textId="77777777" w:rsidR="00146620" w:rsidRPr="004A1033" w:rsidRDefault="00146620" w:rsidP="0049321B">
      <w:pPr>
        <w:pStyle w:val="Headingb"/>
      </w:pPr>
      <w:r w:rsidRPr="004A1033">
        <w:t>Introduction</w:t>
      </w:r>
    </w:p>
    <w:p w14:paraId="4803B87B" w14:textId="50657BA2" w:rsidR="00146620" w:rsidRPr="004A1033" w:rsidRDefault="00D07F5E" w:rsidP="0049321B">
      <w:r w:rsidRPr="004A1033">
        <w:t xml:space="preserve">Lors des </w:t>
      </w:r>
      <w:r w:rsidR="00146620" w:rsidRPr="004A1033">
        <w:t>5ème et 6ème réunions du Groupe de l'APT chargé de préparer la CMR-23 (ci</w:t>
      </w:r>
      <w:r w:rsidR="008D4508" w:rsidRPr="004A1033">
        <w:noBreakHyphen/>
      </w:r>
      <w:r w:rsidR="00146620" w:rsidRPr="004A1033">
        <w:t>après dénommées respectivement «APG23-5» et «APG23-6»)</w:t>
      </w:r>
      <w:r w:rsidRPr="004A1033">
        <w:t xml:space="preserve">, tenues du </w:t>
      </w:r>
      <w:r w:rsidR="00146620" w:rsidRPr="004A1033">
        <w:t>20</w:t>
      </w:r>
      <w:r w:rsidRPr="004A1033">
        <w:t xml:space="preserve"> au </w:t>
      </w:r>
      <w:r w:rsidR="00146620" w:rsidRPr="004A1033">
        <w:t>25 février 2023</w:t>
      </w:r>
      <w:r w:rsidRPr="004A1033">
        <w:t xml:space="preserve"> à </w:t>
      </w:r>
      <w:r w:rsidR="00146620" w:rsidRPr="004A1033">
        <w:t xml:space="preserve">Busan, (République de Corée) pour l'APG23-5, et </w:t>
      </w:r>
      <w:r w:rsidRPr="004A1033">
        <w:t xml:space="preserve">du </w:t>
      </w:r>
      <w:r w:rsidR="00146620" w:rsidRPr="004A1033">
        <w:t>14</w:t>
      </w:r>
      <w:r w:rsidRPr="004A1033">
        <w:t xml:space="preserve"> au </w:t>
      </w:r>
      <w:r w:rsidR="00146620" w:rsidRPr="004A1033">
        <w:t>19 août 2023</w:t>
      </w:r>
      <w:r w:rsidRPr="004A1033">
        <w:t xml:space="preserve"> à </w:t>
      </w:r>
      <w:r w:rsidR="00146620" w:rsidRPr="004A1033">
        <w:t>Brisbane (Australie) pour</w:t>
      </w:r>
      <w:r w:rsidR="008D4508" w:rsidRPr="004A1033">
        <w:t> </w:t>
      </w:r>
      <w:r w:rsidR="00146620" w:rsidRPr="004A1033">
        <w:t>l'APG23</w:t>
      </w:r>
      <w:r w:rsidR="008D4508" w:rsidRPr="004A1033">
        <w:noBreakHyphen/>
      </w:r>
      <w:r w:rsidR="00146620" w:rsidRPr="004A1033">
        <w:t>6</w:t>
      </w:r>
      <w:r w:rsidRPr="004A1033">
        <w:t xml:space="preserve">, </w:t>
      </w:r>
      <w:r w:rsidR="00146620" w:rsidRPr="004A1033">
        <w:t>des propositions analogues ont été soumises (Documents APG23-5/INP-</w:t>
      </w:r>
      <w:hyperlink r:id="rId13" w:history="1">
        <w:r w:rsidR="00146620" w:rsidRPr="004A1033">
          <w:rPr>
            <w:rStyle w:val="Hyperlink"/>
          </w:rPr>
          <w:t>85</w:t>
        </w:r>
      </w:hyperlink>
      <w:r w:rsidR="00146620" w:rsidRPr="004A1033">
        <w:t>, APG23</w:t>
      </w:r>
      <w:r w:rsidR="008D4508" w:rsidRPr="004A1033">
        <w:noBreakHyphen/>
      </w:r>
      <w:r w:rsidR="00146620" w:rsidRPr="004A1033">
        <w:t>6/1NP</w:t>
      </w:r>
      <w:r w:rsidR="008D4508" w:rsidRPr="004A1033">
        <w:noBreakHyphen/>
      </w:r>
      <w:hyperlink r:id="rId14" w:history="1">
        <w:r w:rsidR="00146620" w:rsidRPr="004A1033">
          <w:rPr>
            <w:rStyle w:val="Hyperlink"/>
          </w:rPr>
          <w:t>12</w:t>
        </w:r>
      </w:hyperlink>
      <w:r w:rsidR="00146620" w:rsidRPr="004A1033">
        <w:t xml:space="preserve">, </w:t>
      </w:r>
      <w:hyperlink r:id="rId15" w:history="1">
        <w:r w:rsidR="00146620" w:rsidRPr="004A1033">
          <w:rPr>
            <w:rStyle w:val="Hyperlink"/>
          </w:rPr>
          <w:t>125</w:t>
        </w:r>
      </w:hyperlink>
      <w:r w:rsidR="00146620" w:rsidRPr="004A1033">
        <w:t>) concernant le point 10 de l'ordre du jour de la CMR-23 par quatre</w:t>
      </w:r>
      <w:r w:rsidR="008D4508" w:rsidRPr="004A1033">
        <w:t> </w:t>
      </w:r>
      <w:r w:rsidR="00146620" w:rsidRPr="004A1033">
        <w:t>(4) pays membres de l'APT, qui ont rappelé ce qui suit:</w:t>
      </w:r>
    </w:p>
    <w:p w14:paraId="51C9325B" w14:textId="0F53A9AA" w:rsidR="00146620" w:rsidRPr="004A1033" w:rsidRDefault="00146620" w:rsidP="0049321B">
      <w:r w:rsidRPr="004A1033">
        <w:t>«Les systèmes à satellites non géostationnaires (non OSG) fonctionnant dans les bandes Ka et</w:t>
      </w:r>
      <w:r w:rsidR="008D4508" w:rsidRPr="004A1033">
        <w:t> </w:t>
      </w:r>
      <w:r w:rsidRPr="004A1033">
        <w:t xml:space="preserve">Ku </w:t>
      </w:r>
      <w:r w:rsidR="00295E98" w:rsidRPr="004A1033">
        <w:t>occupent depuis peu une place importante</w:t>
      </w:r>
      <w:r w:rsidRPr="004A1033">
        <w:t xml:space="preserve">. L'Article </w:t>
      </w:r>
      <w:r w:rsidRPr="004A1033">
        <w:rPr>
          <w:b/>
          <w:bCs/>
        </w:rPr>
        <w:t>22</w:t>
      </w:r>
      <w:r w:rsidRPr="004A1033">
        <w:t xml:space="preserve"> du Règlement des radiocommunications (RR) contient des dispositions relatives aux limites de puissance surfacique équivalente sur les liaisons montantes et </w:t>
      </w:r>
      <w:r w:rsidR="00295E98" w:rsidRPr="004A1033">
        <w:t xml:space="preserve">les liaisons </w:t>
      </w:r>
      <w:r w:rsidRPr="004A1033">
        <w:t xml:space="preserve">descendantes (respectivement, epfd↑ et epfd↓). Cependant, les systèmes non OSG et les réseaux OSG sont aujourd'hui </w:t>
      </w:r>
      <w:r w:rsidR="00295E98" w:rsidRPr="004A1033">
        <w:t xml:space="preserve">extrêmement </w:t>
      </w:r>
      <w:r w:rsidRPr="004A1033">
        <w:t xml:space="preserve">différents des systèmes </w:t>
      </w:r>
      <w:r w:rsidR="00295E98" w:rsidRPr="004A1033">
        <w:t xml:space="preserve">qui ont été pris en considération </w:t>
      </w:r>
      <w:r w:rsidRPr="004A1033">
        <w:t xml:space="preserve">lorsque les limites d'epfd </w:t>
      </w:r>
      <w:r w:rsidR="00295E98" w:rsidRPr="004A1033">
        <w:t xml:space="preserve">initiales de </w:t>
      </w:r>
      <w:r w:rsidRPr="004A1033">
        <w:t xml:space="preserve">l'Article </w:t>
      </w:r>
      <w:r w:rsidRPr="004A1033">
        <w:rPr>
          <w:b/>
          <w:bCs/>
        </w:rPr>
        <w:t>22</w:t>
      </w:r>
      <w:r w:rsidRPr="004A1033">
        <w:t xml:space="preserve"> du RR</w:t>
      </w:r>
      <w:r w:rsidR="00295E98" w:rsidRPr="004A1033">
        <w:t xml:space="preserve"> ont été définies </w:t>
      </w:r>
      <w:r w:rsidRPr="004A1033">
        <w:t xml:space="preserve">en 1997 et en 2000. Nos connaissances sur le fonctionnement </w:t>
      </w:r>
      <w:r w:rsidR="00295E98" w:rsidRPr="004A1033">
        <w:t xml:space="preserve">dans la </w:t>
      </w:r>
      <w:r w:rsidRPr="004A1033">
        <w:t xml:space="preserve">pratique des systèmes </w:t>
      </w:r>
      <w:r w:rsidRPr="004A1033">
        <w:lastRenderedPageBreak/>
        <w:t>non OSG et des réseaux OSG ont considérablement</w:t>
      </w:r>
      <w:r w:rsidR="00295E98" w:rsidRPr="004A1033">
        <w:t xml:space="preserve"> progressé</w:t>
      </w:r>
      <w:r w:rsidRPr="004A1033">
        <w:t xml:space="preserve">. Compte tenu de ces aspects, notamment, il </w:t>
      </w:r>
      <w:r w:rsidR="00295E98" w:rsidRPr="004A1033">
        <w:t xml:space="preserve">faudra </w:t>
      </w:r>
      <w:r w:rsidRPr="004A1033">
        <w:t xml:space="preserve">peut-être </w:t>
      </w:r>
      <w:r w:rsidR="00295E98" w:rsidRPr="004A1033">
        <w:t xml:space="preserve">réexaminer </w:t>
      </w:r>
      <w:r w:rsidRPr="004A1033">
        <w:t>les limites d'epfd indiquées dans l'Article</w:t>
      </w:r>
      <w:r w:rsidRPr="004A1033">
        <w:rPr>
          <w:b/>
          <w:bCs/>
        </w:rPr>
        <w:t xml:space="preserve"> 22</w:t>
      </w:r>
      <w:r w:rsidRPr="004A1033">
        <w:t xml:space="preserve"> du</w:t>
      </w:r>
      <w:r w:rsidR="008D4508" w:rsidRPr="004A1033">
        <w:t xml:space="preserve"> </w:t>
      </w:r>
      <w:r w:rsidRPr="004A1033">
        <w:t>RR».</w:t>
      </w:r>
    </w:p>
    <w:p w14:paraId="2E9DA793" w14:textId="6EC24BA1" w:rsidR="00146620" w:rsidRPr="004A1033" w:rsidRDefault="00146620" w:rsidP="0049321B">
      <w:r w:rsidRPr="004A1033">
        <w:t>Ces propositions ont fait l'objet de discussions approfondies lors des réunions APG23</w:t>
      </w:r>
      <w:r w:rsidR="008D4508" w:rsidRPr="004A1033">
        <w:noBreakHyphen/>
      </w:r>
      <w:r w:rsidRPr="004A1033">
        <w:t>5 et APG23</w:t>
      </w:r>
      <w:r w:rsidRPr="004A1033">
        <w:noBreakHyphen/>
        <w:t>6, mais aucun consensus n'a pu</w:t>
      </w:r>
      <w:r w:rsidR="00295E98" w:rsidRPr="004A1033">
        <w:t xml:space="preserve"> se</w:t>
      </w:r>
      <w:r w:rsidRPr="004A1033">
        <w:t xml:space="preserve"> </w:t>
      </w:r>
      <w:r w:rsidR="00295E98" w:rsidRPr="004A1033">
        <w:t xml:space="preserve">dégager </w:t>
      </w:r>
      <w:r w:rsidRPr="004A1033">
        <w:t>en raison des nombreuses préoccupations soulevées par d'autres pays membres de l'APT et, en définitive, aucun point de vue ni</w:t>
      </w:r>
      <w:r w:rsidR="00295E98" w:rsidRPr="004A1033">
        <w:t xml:space="preserve"> aucune </w:t>
      </w:r>
      <w:r w:rsidRPr="004A1033">
        <w:t>proposition commune de l'APT n'ont été</w:t>
      </w:r>
      <w:r w:rsidR="00295E98" w:rsidRPr="004A1033">
        <w:t xml:space="preserve"> formulés</w:t>
      </w:r>
      <w:r w:rsidRPr="004A1033">
        <w:t xml:space="preserve"> sur cette question. Lors de la réunion qu'il a tenue en juin et juillet 2023, le Groupe de travail (GT) 4A de l'UIT-R a également reçu une contribution analogue (Document</w:t>
      </w:r>
      <w:r w:rsidR="008D4508" w:rsidRPr="004A1033">
        <w:rPr>
          <w:lang w:eastAsia="ja-JP"/>
        </w:rPr>
        <w:t xml:space="preserve"> </w:t>
      </w:r>
      <w:hyperlink r:id="rId16" w:history="1">
        <w:r w:rsidRPr="004A1033">
          <w:rPr>
            <w:rStyle w:val="Hyperlink"/>
          </w:rPr>
          <w:t>4A/971</w:t>
        </w:r>
      </w:hyperlink>
      <w:r w:rsidRPr="004A1033">
        <w:t xml:space="preserve">) de la part d'un des pays membres de l'APT susmentionnés et </w:t>
      </w:r>
      <w:r w:rsidR="00295E98" w:rsidRPr="004A1033">
        <w:t>s'est contenté de prendre</w:t>
      </w:r>
      <w:r w:rsidRPr="004A1033">
        <w:t xml:space="preserve"> note de la contribution, sans élaborer de document sur cette question.</w:t>
      </w:r>
    </w:p>
    <w:p w14:paraId="7132760F" w14:textId="7098A03D" w:rsidR="00146620" w:rsidRPr="004A1033" w:rsidRDefault="00146620" w:rsidP="0049321B">
      <w:r w:rsidRPr="004A1033">
        <w:t>Le Japon partage avec d'autres administrations de vives préoccupations quant à cette proposition et a l'honneur de soumettre le présent document afin d'exposer son point de vue ainsi que certains éléments techniques sur cette question; en conséquence, il s</w:t>
      </w:r>
      <w:r w:rsidR="00295E98" w:rsidRPr="004A1033">
        <w:t xml:space="preserve">e dit opposé </w:t>
      </w:r>
      <w:r w:rsidRPr="004A1033">
        <w:t xml:space="preserve">à </w:t>
      </w:r>
      <w:r w:rsidR="008D4508" w:rsidRPr="004A1033">
        <w:t>l</w:t>
      </w:r>
      <w:r w:rsidR="00295E98" w:rsidRPr="004A1033">
        <w:t xml:space="preserve">'inscription de </w:t>
      </w:r>
      <w:r w:rsidRPr="004A1033">
        <w:t>cette question à l'ordre du jour des futures CMR.</w:t>
      </w:r>
    </w:p>
    <w:p w14:paraId="37E81E7A" w14:textId="77777777" w:rsidR="00146620" w:rsidRPr="004A1033" w:rsidRDefault="00146620" w:rsidP="0049321B">
      <w:pPr>
        <w:pStyle w:val="Headingb"/>
      </w:pPr>
      <w:r w:rsidRPr="004A1033">
        <w:t>Considérations générales</w:t>
      </w:r>
    </w:p>
    <w:p w14:paraId="5EE60011" w14:textId="1B426D4E" w:rsidR="00146620" w:rsidRPr="004A1033" w:rsidRDefault="00146620" w:rsidP="0049321B">
      <w:r w:rsidRPr="004A1033">
        <w:t xml:space="preserve">Les limites d'epfd cumulatives indiquées dans la Résolution </w:t>
      </w:r>
      <w:r w:rsidRPr="004A1033">
        <w:rPr>
          <w:b/>
          <w:bCs/>
        </w:rPr>
        <w:t>76 (Rév.CMR-15)</w:t>
      </w:r>
      <w:r w:rsidRPr="004A1033">
        <w:t xml:space="preserve"> et les limites d'epfd pour une seule source de brouillage définies dans l'Article </w:t>
      </w:r>
      <w:r w:rsidRPr="004A1033">
        <w:rPr>
          <w:b/>
          <w:bCs/>
        </w:rPr>
        <w:t>22</w:t>
      </w:r>
      <w:r w:rsidRPr="004A1033">
        <w:t xml:space="preserve"> du Règlement des radiocommunications (RR), qui s'appliquent actuellement et constituent des conditions obligatoires que les systèmes non OSG concernés doivent respecter, ont été initialement définies et approuvées par tous les États Membres de l'UIT au titre du point 1.13 de l'ordre du jour de la CMR</w:t>
      </w:r>
      <w:r w:rsidRPr="004A1033">
        <w:noBreakHyphen/>
        <w:t>2000. D'après le § 3.1.2 du Rapport de la RPC à la CMR-2000 (</w:t>
      </w:r>
      <w:hyperlink r:id="rId17" w:history="1">
        <w:r w:rsidR="008D4508" w:rsidRPr="004A1033">
          <w:rPr>
            <w:rStyle w:val="Hyperlink"/>
          </w:rPr>
          <w:t>https://www.itu.int/itudoc/itu-r/archives/rsg/1998-00/report99/cpmrep-e.html</w:t>
        </w:r>
      </w:hyperlink>
      <w:r w:rsidRPr="004A1033">
        <w:t>), afin d'établir ces limites d'epfd, dans les Lettres circulaires</w:t>
      </w:r>
      <w:r w:rsidR="008D4508" w:rsidRPr="004A1033">
        <w:t> </w:t>
      </w:r>
      <w:r w:rsidRPr="004A1033">
        <w:t>CR/92 et CR/116, les administrations avaient été invitées à fournir des données sur les liaisons du SFS OSG existantes ou en projet dans certaines bandes de fréquences, puis les paramètres pour plus de 600 porteuses fonctionnant dans la bande des 14/11 GHz et environ 200 porteuses fonctionnant dans la bande des 30/20 GHz ont été ajoutés dans la base</w:t>
      </w:r>
      <w:r w:rsidR="008D4508" w:rsidRPr="004A1033">
        <w:t xml:space="preserve"> </w:t>
      </w:r>
      <w:r w:rsidRPr="004A1033">
        <w:t>de</w:t>
      </w:r>
      <w:r w:rsidR="008D4508" w:rsidRPr="004A1033">
        <w:t xml:space="preserve"> </w:t>
      </w:r>
      <w:r w:rsidRPr="004A1033">
        <w:t>données</w:t>
      </w:r>
      <w:r w:rsidR="008D4508" w:rsidRPr="004A1033">
        <w:t> </w:t>
      </w:r>
      <w:r w:rsidRPr="004A1033">
        <w:t>CR92/CR116. Des systèmes du SFS OSG ont été décrits dans la Recommandation</w:t>
      </w:r>
      <w:r w:rsidR="008D4508" w:rsidRPr="004A1033">
        <w:t xml:space="preserve"> </w:t>
      </w:r>
      <w:r w:rsidRPr="004A1033">
        <w:t>UIT</w:t>
      </w:r>
      <w:r w:rsidRPr="004A1033">
        <w:noBreakHyphen/>
        <w:t>R S.1328. Outre les systèmes du SFS à marge fixe classiques fonctionnant dans les bandes de fréquences des 14/11 GHz et des 30/20 GHz, c'est-à-dire les systèmes qui utilisent de l'énergie pour compenser l'évanouissement dû à la pluie, la base de données et la Recommandation UIT</w:t>
      </w:r>
      <w:r w:rsidR="008D4508" w:rsidRPr="004A1033">
        <w:noBreakHyphen/>
      </w:r>
      <w:r w:rsidRPr="004A1033">
        <w:t>R</w:t>
      </w:r>
      <w:r w:rsidR="008D4508" w:rsidRPr="004A1033">
        <w:t> </w:t>
      </w:r>
      <w:r w:rsidRPr="004A1033">
        <w:t>S.1328 contiennent un système du SFS OSG fonctionnant dans la bande</w:t>
      </w:r>
      <w:r w:rsidR="008D4508" w:rsidRPr="004A1033">
        <w:t xml:space="preserve"> </w:t>
      </w:r>
      <w:r w:rsidRPr="004A1033">
        <w:t>30/20 GHz avec codage adaptatif pour compenser l'affaiblissement dû à la pluie. L'UIT-R est convenu qu'on pouvait utiliser différentes méthodologies pour calculer les limites possibles d'epfd (voir la Recommandation</w:t>
      </w:r>
      <w:r w:rsidR="008D4508" w:rsidRPr="004A1033">
        <w:t xml:space="preserve"> </w:t>
      </w:r>
      <w:r w:rsidRPr="004A1033">
        <w:t>UIT</w:t>
      </w:r>
      <w:r w:rsidRPr="004A1033">
        <w:noBreakHyphen/>
        <w:t>R</w:t>
      </w:r>
      <w:r w:rsidR="008D4508" w:rsidRPr="004A1033">
        <w:t> </w:t>
      </w:r>
      <w:r w:rsidRPr="004A1033">
        <w:t xml:space="preserve">S.1323-1) et qu'on pouvait utiliser la méthode D décrite dans l'Annexe 2 de la Recommandation UIT-R S.1323-1 pour vérifier que le brouillage causé par </w:t>
      </w:r>
      <w:r w:rsidRPr="004A1033">
        <w:rPr>
          <w:u w:val="single"/>
        </w:rPr>
        <w:t>tous les systèmes non</w:t>
      </w:r>
      <w:r w:rsidR="008D4508" w:rsidRPr="004A1033">
        <w:rPr>
          <w:u w:val="single"/>
        </w:rPr>
        <w:t> </w:t>
      </w:r>
      <w:r w:rsidRPr="004A1033">
        <w:rPr>
          <w:u w:val="single"/>
        </w:rPr>
        <w:t>OSG</w:t>
      </w:r>
      <w:r w:rsidRPr="004A1033">
        <w:t xml:space="preserve"> ne représente pas plus de 10% de la tolérance temporelle à court terme et pour ajuster les différents gabarits possibles. Ces méthodes ne s'appliquent pas aux systèmes du SFS OSG fonctionnant dans la bande des 20/30 GHz et utilisant le codage adaptatif. Pour appliquer le critère des</w:t>
      </w:r>
      <w:r w:rsidR="008D4508" w:rsidRPr="004A1033">
        <w:t> </w:t>
      </w:r>
      <w:r w:rsidRPr="004A1033">
        <w:t>10% aux porteuses visées dans la base de données CR/116, il a été décidé de traiter comme suit les liaisons sur lesquelles un pourcentage de temps d'indisponibilité sans brouillage non OSG (T</w:t>
      </w:r>
      <w:r w:rsidRPr="004A1033">
        <w:rPr>
          <w:vertAlign w:val="subscript"/>
        </w:rPr>
        <w:t>f</w:t>
      </w:r>
      <w:r w:rsidRPr="004A1033">
        <w:t>) n'est pas égal à 90% du pourcentage de temps T</w:t>
      </w:r>
      <w:r w:rsidRPr="004A1033">
        <w:rPr>
          <w:vertAlign w:val="subscript"/>
        </w:rPr>
        <w:t>t</w:t>
      </w:r>
      <w:r w:rsidRPr="004A1033">
        <w:t xml:space="preserve"> correspondant à l'objectif de disponibilité (affaiblissement plus brouillage): le pourcentage total d'indisponibilité admissible (avec brouillage non</w:t>
      </w:r>
      <w:r w:rsidR="008D4508" w:rsidRPr="004A1033">
        <w:t> </w:t>
      </w:r>
      <w:r w:rsidRPr="004A1033">
        <w:t>OSG) devrait être de (T</w:t>
      </w:r>
      <w:r w:rsidRPr="004A1033">
        <w:rPr>
          <w:vertAlign w:val="subscript"/>
        </w:rPr>
        <w:t>f</w:t>
      </w:r>
      <w:r w:rsidRPr="004A1033">
        <w:t xml:space="preserve"> + T</w:t>
      </w:r>
      <w:r w:rsidRPr="004A1033">
        <w:rPr>
          <w:vertAlign w:val="subscript"/>
        </w:rPr>
        <w:t>t</w:t>
      </w:r>
      <w:r w:rsidRPr="004A1033">
        <w:t xml:space="preserve">/10). </w:t>
      </w:r>
      <w:r w:rsidRPr="004A1033">
        <w:rPr>
          <w:u w:val="single"/>
        </w:rPr>
        <w:t>L'application du critère de tolérance temporelle d'indisponibilité de 10% permet de calculer des limites d'epfd cumulative</w:t>
      </w:r>
      <w:r w:rsidRPr="004A1033">
        <w:t>. Il a fallu mettre au point une méthode pour calculer le gabarit correspondant à une seule source de brouillage à partir de chaque gabarit cumulatif, en tant que gabarit de validation, dont la conformité serait vérifiée par le</w:t>
      </w:r>
      <w:r w:rsidR="008D4508" w:rsidRPr="004A1033">
        <w:t> </w:t>
      </w:r>
      <w:r w:rsidRPr="004A1033">
        <w:t xml:space="preserve">BR pour chaque système du SFS non OSG conformément au numéro </w:t>
      </w:r>
      <w:r w:rsidRPr="004A1033">
        <w:rPr>
          <w:b/>
          <w:bCs/>
        </w:rPr>
        <w:t>11.31</w:t>
      </w:r>
      <w:r w:rsidRPr="004A1033">
        <w:t xml:space="preserve"> du RR, conjointement avec les limites opérationnelles indiquées dans les Tableaux </w:t>
      </w:r>
      <w:r w:rsidRPr="004A1033">
        <w:rPr>
          <w:b/>
          <w:bCs/>
        </w:rPr>
        <w:t>22-4</w:t>
      </w:r>
      <w:r w:rsidRPr="004A1033">
        <w:t xml:space="preserve"> du RR, qui permettent d'assurer la protection des systèmes du SFS OSG. Il a été décidé d'utiliser la méthode </w:t>
      </w:r>
      <w:r w:rsidRPr="004A1033">
        <w:lastRenderedPageBreak/>
        <w:t>suivante pour convertir en courbes correspondantes pour le brouillage causé par un seul système non</w:t>
      </w:r>
      <w:r w:rsidR="008D4508" w:rsidRPr="004A1033">
        <w:t> </w:t>
      </w:r>
      <w:r w:rsidRPr="004A1033">
        <w:t>OSG du SFS les courbes d'epfd↓/pourcentage de temps, nécessaires pour protéger les liaisons descendantes des systèmes à satellites OSG ayant des antennes de station terrienne d'au moins 10 m environ dans la bande de fréquences 10,7-12,75 GHz et de 5 m et plus dans les bandes</w:t>
      </w:r>
      <w:r w:rsidR="008D4508" w:rsidRPr="004A1033">
        <w:t xml:space="preserve"> </w:t>
      </w:r>
      <w:r w:rsidRPr="004A1033">
        <w:t>17,8</w:t>
      </w:r>
      <w:r w:rsidRPr="004A1033">
        <w:noBreakHyphen/>
        <w:t xml:space="preserve">18,6 GHz et 19,7-20,2 GHz, à partir du brouillage cumulatif causé par </w:t>
      </w:r>
      <w:r w:rsidRPr="004A1033">
        <w:rPr>
          <w:bCs/>
        </w:rPr>
        <w:t>N</w:t>
      </w:r>
      <w:r w:rsidRPr="004A1033">
        <w:rPr>
          <w:bCs/>
          <w:vertAlign w:val="subscript"/>
        </w:rPr>
        <w:t>efficace</w:t>
      </w:r>
      <w:r w:rsidRPr="004A1033">
        <w:rPr>
          <w:bCs/>
        </w:rPr>
        <w:t xml:space="preserve"> </w:t>
      </w:r>
      <w:r w:rsidRPr="004A1033">
        <w:t>(égal à 3,5*</w:t>
      </w:r>
      <w:r w:rsidR="0049321B" w:rsidRPr="004A1033">
        <w:t xml:space="preserve">, </w:t>
      </w:r>
      <w:r w:rsidRPr="004A1033">
        <w:t>voir §</w:t>
      </w:r>
      <w:r w:rsidR="0049321B" w:rsidRPr="004A1033">
        <w:t> </w:t>
      </w:r>
      <w:r w:rsidRPr="004A1033">
        <w:t>3.1.1.1 d) et § 3.1.1.2 du Rapport final de la RPC à la CMR-2000) systèmes non OSG du</w:t>
      </w:r>
      <w:r w:rsidR="0049321B" w:rsidRPr="004A1033">
        <w:t> </w:t>
      </w:r>
      <w:r w:rsidRPr="004A1033">
        <w:t>SFS:</w:t>
      </w:r>
    </w:p>
    <w:p w14:paraId="389D6C89" w14:textId="77777777" w:rsidR="00146620" w:rsidRPr="004A1033" w:rsidRDefault="00146620" w:rsidP="0049321B">
      <w:pPr>
        <w:pStyle w:val="enumlev1"/>
      </w:pPr>
      <w:r w:rsidRPr="004A1033">
        <w:t>–</w:t>
      </w:r>
      <w:r w:rsidRPr="004A1033">
        <w:tab/>
        <w:t>On calcule le gabarit cumulatif à partir d'une échelle linéaire en abscisse pour l'epfd exprimée en décibels augmentant vers la droite et une échelle logarithmique pour le pourcentage de temps augmentant vers le haut. On trace une deuxième droite, 10 log(</w:t>
      </w:r>
      <w:r w:rsidRPr="004A1033">
        <w:rPr>
          <w:bCs/>
        </w:rPr>
        <w:t>N</w:t>
      </w:r>
      <w:r w:rsidRPr="004A1033">
        <w:rPr>
          <w:bCs/>
          <w:vertAlign w:val="subscript"/>
        </w:rPr>
        <w:t>efficace</w:t>
      </w:r>
      <w:r w:rsidRPr="004A1033">
        <w:t xml:space="preserve">) dB à gauche de la première droite, représentant ainsi la division de puissance. On trace ensuite une troisième droite, coupant la première droite par un facteur de </w:t>
      </w:r>
      <w:r w:rsidRPr="004A1033">
        <w:rPr>
          <w:bCs/>
        </w:rPr>
        <w:t>N</w:t>
      </w:r>
      <w:r w:rsidRPr="004A1033">
        <w:rPr>
          <w:bCs/>
          <w:vertAlign w:val="subscript"/>
        </w:rPr>
        <w:t>efficace</w:t>
      </w:r>
      <w:r w:rsidRPr="004A1033">
        <w:t>, ce qui représente la division temporelle. On forme le gabarit correspondant à une seule source de brouillage en prenant la deuxième droite à partir de 100% du temps jusqu'au point où elle coupe la troisième droite, la troisième droite entre ce point et le point où la troisième droite atteint 0,01% du temps, et la première droite (brouillage cumulatif) pour les pourcentages de temps inférieurs à 0,001%. On termine le gabarit correspondant à une seule source de brouillage en tirant une ligne droite entre l'epfd pendant 0,01% du temps et l'epfd pendant 0,001% du temps.</w:t>
      </w:r>
    </w:p>
    <w:p w14:paraId="0A598DE1" w14:textId="77777777" w:rsidR="00146620" w:rsidRPr="004A1033" w:rsidRDefault="00146620" w:rsidP="0049321B">
      <w:pPr>
        <w:pStyle w:val="enumlev1"/>
      </w:pPr>
      <w:r w:rsidRPr="004A1033">
        <w:t>–</w:t>
      </w:r>
      <w:r w:rsidRPr="004A1033">
        <w:tab/>
        <w:t>Pour des antennes de station terrienne plus petites, la troisième droite correspond à tous les pourcentages de temps inférieurs au point où cette droite coupe la deuxième droite. En l'absence d'intersection entre les courbes de division temporelle et de division de puissance, on applique la méthode suivante:</w:t>
      </w:r>
    </w:p>
    <w:p w14:paraId="28A49681" w14:textId="77777777" w:rsidR="00146620" w:rsidRPr="004A1033" w:rsidRDefault="00146620" w:rsidP="0049321B">
      <w:pPr>
        <w:pStyle w:val="enumlev2"/>
      </w:pPr>
      <w:r w:rsidRPr="004A1033">
        <w:t>1)</w:t>
      </w:r>
      <w:r w:rsidRPr="004A1033">
        <w:tab/>
        <w:t>on choisit un point P supérieur ou égal à 1% du temps sur la courbe du brouillage cumulatif;</w:t>
      </w:r>
    </w:p>
    <w:p w14:paraId="4D2E9B52" w14:textId="77777777" w:rsidR="00146620" w:rsidRPr="004A1033" w:rsidRDefault="00146620" w:rsidP="0049321B">
      <w:pPr>
        <w:pStyle w:val="enumlev2"/>
      </w:pPr>
      <w:r w:rsidRPr="004A1033">
        <w:t>2)</w:t>
      </w:r>
      <w:r w:rsidRPr="004A1033">
        <w:tab/>
        <w:t>on relie le point P correspondant sur la droite représentant la division temporelle au point P correspondant sur la droite représentant la division de puissance;</w:t>
      </w:r>
    </w:p>
    <w:p w14:paraId="10096512" w14:textId="77777777" w:rsidR="00146620" w:rsidRPr="004A1033" w:rsidRDefault="00146620" w:rsidP="0049321B">
      <w:pPr>
        <w:pStyle w:val="enumlev2"/>
      </w:pPr>
      <w:r w:rsidRPr="004A1033">
        <w:t>3)</w:t>
      </w:r>
      <w:r w:rsidRPr="004A1033">
        <w:tab/>
        <w:t>la courbe correspondant à une seule source de brouillage se compose de la partie correspondant à la division de puissance pour les temps compris entre 100% et P%, du segment obtenu en 2) pour les temps compris entre P% et (P/</w:t>
      </w:r>
      <w:r w:rsidRPr="004A1033">
        <w:rPr>
          <w:bCs/>
        </w:rPr>
        <w:t>N</w:t>
      </w:r>
      <w:r w:rsidRPr="004A1033">
        <w:rPr>
          <w:bCs/>
          <w:vertAlign w:val="subscript"/>
        </w:rPr>
        <w:t>efficace</w:t>
      </w:r>
      <w:r w:rsidRPr="004A1033">
        <w:t>)% et du segment correspondant aux divisions temporelles pour les temps inférieurs à (P/</w:t>
      </w:r>
      <w:r w:rsidRPr="004A1033">
        <w:rPr>
          <w:bCs/>
        </w:rPr>
        <w:t>N</w:t>
      </w:r>
      <w:r w:rsidRPr="004A1033">
        <w:rPr>
          <w:bCs/>
          <w:vertAlign w:val="subscript"/>
        </w:rPr>
        <w:t>efficace</w:t>
      </w:r>
      <w:r w:rsidRPr="004A1033">
        <w:t>)%;</w:t>
      </w:r>
    </w:p>
    <w:p w14:paraId="53771391" w14:textId="77777777" w:rsidR="00146620" w:rsidRPr="004A1033" w:rsidRDefault="00146620" w:rsidP="0049321B">
      <w:pPr>
        <w:pStyle w:val="enumlev2"/>
      </w:pPr>
      <w:r w:rsidRPr="004A1033">
        <w:t>4)</w:t>
      </w:r>
      <w:r w:rsidRPr="004A1033">
        <w:tab/>
        <w:t>en utilisant le gabarit ainsi calculé pour une seule source de brouillage, on applique la procédure inverse pour calculer un nouveau gabarit de brouillage cumulatif. On vérifie ensuite ce dernier pour s'assurer qu'il n'est pas supérieur au gabarit de brouillage cumulatif d'origine. Si cette condition n'est pas remplie, on choisit un nouveau point P et on répète les étapes 2) et 3).</w:t>
      </w:r>
    </w:p>
    <w:p w14:paraId="1A368C14" w14:textId="5694D970" w:rsidR="00146620" w:rsidRPr="004A1033" w:rsidRDefault="00146620" w:rsidP="0049321B">
      <w:r w:rsidRPr="004A1033">
        <w:t xml:space="preserve">Les limites d'epfd↓ cumulative et pour une seule source de brouillage convenues peuvent être exprimées par le rapport </w:t>
      </w:r>
      <w:r w:rsidRPr="004A1033">
        <w:rPr>
          <w:i/>
          <w:iCs/>
        </w:rPr>
        <w:t>I</w:t>
      </w:r>
      <w:r w:rsidRPr="004A1033">
        <w:t>/</w:t>
      </w:r>
      <w:r w:rsidRPr="004A1033">
        <w:rPr>
          <w:i/>
          <w:iCs/>
        </w:rPr>
        <w:t>N</w:t>
      </w:r>
      <w:r w:rsidRPr="004A1033">
        <w:t xml:space="preserve">, comme le montrent les Figures 1 à </w:t>
      </w:r>
      <w:r w:rsidR="00864F65" w:rsidRPr="004A1033">
        <w:t>4</w:t>
      </w:r>
      <w:r w:rsidRPr="004A1033">
        <w:t xml:space="preserve"> ci-dessous. Ces exemples sont basés sur les limites d'epfd↓ cumulative et pour une seule source de brouillage définies dans la Résolution</w:t>
      </w:r>
      <w:r w:rsidR="00B41773" w:rsidRPr="004A1033">
        <w:t> </w:t>
      </w:r>
      <w:r w:rsidRPr="004A1033">
        <w:rPr>
          <w:b/>
          <w:bCs/>
        </w:rPr>
        <w:t>76 (Rév.CMR-15)</w:t>
      </w:r>
      <w:r w:rsidRPr="004A1033">
        <w:t xml:space="preserve"> et les Tableaux </w:t>
      </w:r>
      <w:r w:rsidRPr="004A1033">
        <w:rPr>
          <w:b/>
          <w:bCs/>
        </w:rPr>
        <w:t>22-1A</w:t>
      </w:r>
      <w:r w:rsidRPr="004A1033">
        <w:t xml:space="preserve">, </w:t>
      </w:r>
      <w:r w:rsidRPr="004A1033">
        <w:rPr>
          <w:b/>
          <w:bCs/>
        </w:rPr>
        <w:t>22-1B</w:t>
      </w:r>
      <w:r w:rsidR="00864F65" w:rsidRPr="004A1033">
        <w:t xml:space="preserve">, </w:t>
      </w:r>
      <w:r w:rsidRPr="004A1033">
        <w:rPr>
          <w:b/>
          <w:bCs/>
        </w:rPr>
        <w:t>22-1C</w:t>
      </w:r>
      <w:r w:rsidR="00864F65" w:rsidRPr="004A1033">
        <w:t xml:space="preserve"> et</w:t>
      </w:r>
      <w:r w:rsidR="00864F65" w:rsidRPr="004A1033">
        <w:rPr>
          <w:b/>
          <w:bCs/>
        </w:rPr>
        <w:t xml:space="preserve"> 22-1D</w:t>
      </w:r>
      <w:r w:rsidRPr="004A1033">
        <w:t xml:space="preserve"> de l'Article </w:t>
      </w:r>
      <w:r w:rsidRPr="004A1033">
        <w:rPr>
          <w:b/>
          <w:bCs/>
        </w:rPr>
        <w:t>22</w:t>
      </w:r>
      <w:r w:rsidRPr="004A1033">
        <w:t xml:space="preserve"> du</w:t>
      </w:r>
      <w:r w:rsidR="0049321B" w:rsidRPr="004A1033">
        <w:t> </w:t>
      </w:r>
      <w:r w:rsidRPr="004A1033">
        <w:t>RR, respectivement, pour les bandes de fréquences 10,7-12,75 GHz</w:t>
      </w:r>
      <w:r w:rsidR="00C34226" w:rsidRPr="004A1033">
        <w:t xml:space="preserve"> (*pour le SFS ou le SRS)</w:t>
      </w:r>
      <w:r w:rsidRPr="004A1033">
        <w:t>, 17,8</w:t>
      </w:r>
      <w:r w:rsidR="0049321B" w:rsidRPr="004A1033">
        <w:noBreakHyphen/>
      </w:r>
      <w:r w:rsidRPr="004A1033">
        <w:t>18,6</w:t>
      </w:r>
      <w:r w:rsidR="0049321B" w:rsidRPr="004A1033">
        <w:t> </w:t>
      </w:r>
      <w:r w:rsidRPr="004A1033">
        <w:t xml:space="preserve">GHz et 19,7-20,2 GHz, et en </w:t>
      </w:r>
      <w:r w:rsidR="00295E98" w:rsidRPr="004A1033">
        <w:t xml:space="preserve">utilisant </w:t>
      </w:r>
      <w:r w:rsidRPr="004A1033">
        <w:t xml:space="preserve">des températures de bruit de 120 K pour une fréquence de référence de 10,7 GHz </w:t>
      </w:r>
      <w:r w:rsidR="00864F65" w:rsidRPr="004A1033">
        <w:t>(Tableau</w:t>
      </w:r>
      <w:r w:rsidR="0049321B" w:rsidRPr="004A1033">
        <w:t xml:space="preserve"> </w:t>
      </w:r>
      <w:r w:rsidR="00864F65" w:rsidRPr="004A1033">
        <w:rPr>
          <w:b/>
          <w:bCs/>
        </w:rPr>
        <w:t>22-1A</w:t>
      </w:r>
      <w:r w:rsidR="00C03501" w:rsidRPr="004A1033">
        <w:t>)</w:t>
      </w:r>
      <w:r w:rsidR="00851826" w:rsidRPr="004A1033">
        <w:t>,</w:t>
      </w:r>
      <w:r w:rsidR="00864F65" w:rsidRPr="004A1033">
        <w:t xml:space="preserve"> </w:t>
      </w:r>
      <w:r w:rsidRPr="004A1033">
        <w:t>de</w:t>
      </w:r>
      <w:r w:rsidR="00864F65" w:rsidRPr="004A1033">
        <w:t xml:space="preserve"> </w:t>
      </w:r>
      <w:r w:rsidRPr="004A1033">
        <w:t>195 K pour les fréquences de référence de</w:t>
      </w:r>
      <w:r w:rsidR="0049321B" w:rsidRPr="004A1033">
        <w:t> </w:t>
      </w:r>
      <w:r w:rsidRPr="004A1033">
        <w:t>17,8</w:t>
      </w:r>
      <w:r w:rsidR="0049321B" w:rsidRPr="004A1033">
        <w:t> </w:t>
      </w:r>
      <w:r w:rsidRPr="004A1033">
        <w:t xml:space="preserve">GHz </w:t>
      </w:r>
      <w:r w:rsidR="00864F65" w:rsidRPr="004A1033">
        <w:t xml:space="preserve">(Tableau </w:t>
      </w:r>
      <w:r w:rsidR="00864F65" w:rsidRPr="004A1033">
        <w:rPr>
          <w:b/>
          <w:bCs/>
        </w:rPr>
        <w:t>22-1B</w:t>
      </w:r>
      <w:r w:rsidR="00864F65" w:rsidRPr="004A1033">
        <w:t xml:space="preserve">) </w:t>
      </w:r>
      <w:r w:rsidRPr="004A1033">
        <w:t>et de</w:t>
      </w:r>
      <w:r w:rsidR="0049321B" w:rsidRPr="004A1033">
        <w:t xml:space="preserve"> </w:t>
      </w:r>
      <w:r w:rsidRPr="004A1033">
        <w:t>19,7</w:t>
      </w:r>
      <w:r w:rsidR="0049321B" w:rsidRPr="004A1033">
        <w:t xml:space="preserve"> </w:t>
      </w:r>
      <w:r w:rsidRPr="004A1033">
        <w:t>GHz</w:t>
      </w:r>
      <w:r w:rsidR="00864F65" w:rsidRPr="004A1033">
        <w:t xml:space="preserve"> (Tableau </w:t>
      </w:r>
      <w:r w:rsidR="00864F65" w:rsidRPr="004A1033">
        <w:rPr>
          <w:b/>
          <w:bCs/>
        </w:rPr>
        <w:t>22-1C</w:t>
      </w:r>
      <w:r w:rsidR="00864F65" w:rsidRPr="004A1033">
        <w:t>)</w:t>
      </w:r>
      <w:r w:rsidR="00DC4248" w:rsidRPr="004A1033">
        <w:t>,</w:t>
      </w:r>
      <w:r w:rsidR="002F6CBD" w:rsidRPr="004A1033">
        <w:t xml:space="preserve"> et </w:t>
      </w:r>
      <w:r w:rsidR="00295E98" w:rsidRPr="004A1033">
        <w:t>celles de</w:t>
      </w:r>
      <w:r w:rsidR="0049321B" w:rsidRPr="004A1033">
        <w:t xml:space="preserve"> </w:t>
      </w:r>
      <w:r w:rsidR="002F6CBD" w:rsidRPr="004A1033">
        <w:t>l'Annexe 6 de l'Appendice </w:t>
      </w:r>
      <w:r w:rsidR="002F6CBD" w:rsidRPr="004A1033">
        <w:rPr>
          <w:b/>
          <w:bCs/>
        </w:rPr>
        <w:t>30</w:t>
      </w:r>
      <w:r w:rsidR="00864F65" w:rsidRPr="004A1033">
        <w:t xml:space="preserve"> </w:t>
      </w:r>
      <w:r w:rsidR="002F123F" w:rsidRPr="004A1033">
        <w:t>pour une fréquence de référence</w:t>
      </w:r>
      <w:r w:rsidR="00EF0046" w:rsidRPr="004A1033">
        <w:t xml:space="preserve"> de 11,7</w:t>
      </w:r>
      <w:r w:rsidR="0049321B" w:rsidRPr="004A1033">
        <w:t xml:space="preserve"> </w:t>
      </w:r>
      <w:r w:rsidR="00EF0046" w:rsidRPr="004A1033">
        <w:t xml:space="preserve">GHz (Tableau </w:t>
      </w:r>
      <w:r w:rsidR="00EF0046" w:rsidRPr="004A1033">
        <w:rPr>
          <w:b/>
          <w:bCs/>
        </w:rPr>
        <w:t>22-1D</w:t>
      </w:r>
      <w:r w:rsidR="00EF0046" w:rsidRPr="004A1033">
        <w:t>)</w:t>
      </w:r>
      <w:r w:rsidRPr="004A1033">
        <w:t xml:space="preserve">. Ces courbes </w:t>
      </w:r>
      <w:r w:rsidRPr="004A1033">
        <w:rPr>
          <w:i/>
          <w:iCs/>
        </w:rPr>
        <w:t>I</w:t>
      </w:r>
      <w:r w:rsidRPr="004A1033">
        <w:t>/</w:t>
      </w:r>
      <w:r w:rsidRPr="004A1033">
        <w:rPr>
          <w:i/>
          <w:iCs/>
        </w:rPr>
        <w:t>N</w:t>
      </w:r>
      <w:r w:rsidRPr="004A1033">
        <w:t>, en particulier celles qui correspondent aux limites d'epfd↓ indiquées dans la Résolution</w:t>
      </w:r>
      <w:r w:rsidR="0049321B" w:rsidRPr="004A1033">
        <w:t> </w:t>
      </w:r>
      <w:r w:rsidRPr="004A1033">
        <w:rPr>
          <w:b/>
          <w:bCs/>
        </w:rPr>
        <w:t>76 (Rév.CMR</w:t>
      </w:r>
      <w:r w:rsidRPr="004A1033">
        <w:rPr>
          <w:b/>
          <w:bCs/>
        </w:rPr>
        <w:noBreakHyphen/>
        <w:t>15)</w:t>
      </w:r>
      <w:r w:rsidRPr="004A1033">
        <w:t xml:space="preserve"> pour des antennes de réception de satellites OSG de différents diamètres, montrent clairement que les réseaux du SFS</w:t>
      </w:r>
      <w:r w:rsidR="0072506D" w:rsidRPr="004A1033">
        <w:t xml:space="preserve"> et du SRS</w:t>
      </w:r>
      <w:r w:rsidRPr="004A1033">
        <w:t xml:space="preserve"> OSG sont obligés d'accepter systématiquement les brouillages cumulatifs dépassant largement –12,2 dB (ce qui représente une augmentation de 6% du rapport ΔT/T) causés par les systèmes non OSG sur des pourcentages de temps à long terme.</w:t>
      </w:r>
    </w:p>
    <w:p w14:paraId="39A88C0B" w14:textId="77777777" w:rsidR="00146620" w:rsidRPr="004A1033" w:rsidRDefault="00146620" w:rsidP="0049321B">
      <w:pPr>
        <w:pStyle w:val="FigureNo"/>
        <w:keepNext w:val="0"/>
        <w:keepLines w:val="0"/>
      </w:pPr>
      <w:r w:rsidRPr="004A1033">
        <w:t>FIGURE 1</w:t>
      </w:r>
    </w:p>
    <w:p w14:paraId="1211655B" w14:textId="11D16B25" w:rsidR="00146620" w:rsidRPr="004A1033" w:rsidRDefault="00146620" w:rsidP="0049321B">
      <w:pPr>
        <w:pStyle w:val="Figuretitle"/>
        <w:keepNext w:val="0"/>
        <w:keepLines w:val="0"/>
      </w:pPr>
      <w:r w:rsidRPr="004A1033">
        <mc:AlternateContent>
          <mc:Choice Requires="wps">
            <w:drawing>
              <wp:anchor distT="45720" distB="45720" distL="114300" distR="114300" simplePos="0" relativeHeight="251662336" behindDoc="0" locked="0" layoutInCell="1" allowOverlap="1" wp14:anchorId="23FF4FB6" wp14:editId="14A1D163">
                <wp:simplePos x="0" y="0"/>
                <wp:positionH relativeFrom="column">
                  <wp:posOffset>2272370</wp:posOffset>
                </wp:positionH>
                <wp:positionV relativeFrom="paragraph">
                  <wp:posOffset>554161</wp:posOffset>
                </wp:positionV>
                <wp:extent cx="2009724" cy="1404620"/>
                <wp:effectExtent l="0" t="0" r="0" b="2540"/>
                <wp:wrapNone/>
                <wp:docPr id="19155661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24" cy="1404620"/>
                        </a:xfrm>
                        <a:prstGeom prst="rect">
                          <a:avLst/>
                        </a:prstGeom>
                        <a:solidFill>
                          <a:srgbClr val="FFFFFF"/>
                        </a:solidFill>
                        <a:ln w="9525">
                          <a:noFill/>
                          <a:miter lim="800000"/>
                          <a:headEnd/>
                          <a:tailEnd/>
                        </a:ln>
                      </wps:spPr>
                      <wps:txbx>
                        <w:txbxContent>
                          <w:p w14:paraId="50749E99" w14:textId="77777777" w:rsidR="00146620" w:rsidRPr="000E198A" w:rsidRDefault="00146620" w:rsidP="00146620">
                            <w:pPr>
                              <w:rPr>
                                <w:sz w:val="12"/>
                                <w:szCs w:val="8"/>
                              </w:rPr>
                            </w:pPr>
                            <w:r w:rsidRPr="0049321B">
                              <w:rPr>
                                <w:i/>
                                <w:iCs/>
                                <w:sz w:val="12"/>
                                <w:szCs w:val="8"/>
                              </w:rPr>
                              <w:t>I</w:t>
                            </w:r>
                            <w:r w:rsidRPr="000E198A">
                              <w:rPr>
                                <w:sz w:val="12"/>
                                <w:szCs w:val="8"/>
                              </w:rPr>
                              <w:t>/</w:t>
                            </w:r>
                            <w:r w:rsidRPr="0049321B">
                              <w:rPr>
                                <w:i/>
                                <w:iCs/>
                                <w:sz w:val="12"/>
                                <w:szCs w:val="8"/>
                              </w:rPr>
                              <w:t>N</w:t>
                            </w:r>
                            <w:r w:rsidRPr="000E198A">
                              <w:rPr>
                                <w:sz w:val="12"/>
                                <w:szCs w:val="8"/>
                              </w:rPr>
                              <w:t xml:space="preserve"> en fonction du temps de dépassement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F4FB6" id="_x0000_t202" coordsize="21600,21600" o:spt="202" path="m,l,21600r21600,l21600,xe">
                <v:stroke joinstyle="miter"/>
                <v:path gradientshapeok="t" o:connecttype="rect"/>
              </v:shapetype>
              <v:shape id="Zone de texte 2" o:spid="_x0000_s1026" type="#_x0000_t202" style="position:absolute;left:0;text-align:left;margin-left:178.95pt;margin-top:43.65pt;width:15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QRDQIAAPc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" stroked="f">
                <v:textbox style="mso-fit-shape-to-text:t">
                  <w:txbxContent>
                    <w:p w14:paraId="50749E99" w14:textId="77777777" w:rsidR="00146620" w:rsidRPr="000E198A" w:rsidRDefault="00146620" w:rsidP="00146620">
                      <w:pPr>
                        <w:rPr>
                          <w:sz w:val="12"/>
                          <w:szCs w:val="8"/>
                        </w:rPr>
                      </w:pPr>
                      <w:r w:rsidRPr="0049321B">
                        <w:rPr>
                          <w:i/>
                          <w:iCs/>
                          <w:sz w:val="12"/>
                          <w:szCs w:val="8"/>
                        </w:rPr>
                        <w:t>I</w:t>
                      </w:r>
                      <w:r w:rsidRPr="000E198A">
                        <w:rPr>
                          <w:sz w:val="12"/>
                          <w:szCs w:val="8"/>
                        </w:rPr>
                        <w:t>/</w:t>
                      </w:r>
                      <w:r w:rsidRPr="0049321B">
                        <w:rPr>
                          <w:i/>
                          <w:iCs/>
                          <w:sz w:val="12"/>
                          <w:szCs w:val="8"/>
                        </w:rPr>
                        <w:t>N</w:t>
                      </w:r>
                      <w:r w:rsidRPr="000E198A">
                        <w:rPr>
                          <w:sz w:val="12"/>
                          <w:szCs w:val="8"/>
                        </w:rPr>
                        <w:t xml:space="preserve"> en fonction du temps de dépassement</w:t>
                      </w:r>
                    </w:p>
                  </w:txbxContent>
                </v:textbox>
              </v:shape>
            </w:pict>
          </mc:Fallback>
        </mc:AlternateContent>
      </w:r>
      <w:r w:rsidRPr="004A1033">
        <w:t>Limites d'epfd cumulative et pour une seule source de brouillage dans la bande de fréquences 17,8-18,6</w:t>
      </w:r>
      <w:r w:rsidR="0049321B" w:rsidRPr="004A1033">
        <w:t> </w:t>
      </w:r>
      <w:r w:rsidRPr="004A1033">
        <w:t xml:space="preserve">GHz exprimées sous forme de courbes </w:t>
      </w:r>
      <w:r w:rsidRPr="004A1033">
        <w:rPr>
          <w:i/>
          <w:iCs/>
        </w:rPr>
        <w:t>I/N</w:t>
      </w:r>
      <w:r w:rsidRPr="004A1033">
        <w:t xml:space="preserve"> en supposant une température de bruit de 195 K</w:t>
      </w:r>
    </w:p>
    <w:p w14:paraId="406A01FD" w14:textId="09FBDEA8" w:rsidR="00146620" w:rsidRPr="004A1033" w:rsidRDefault="00AA5754" w:rsidP="0049321B">
      <w:pPr>
        <w:pStyle w:val="Figure"/>
        <w:keepNext w:val="0"/>
        <w:keepLines w:val="0"/>
      </w:pPr>
      <w:r w:rsidRPr="004A1033">
        <mc:AlternateContent>
          <mc:Choice Requires="wps">
            <w:drawing>
              <wp:anchor distT="45720" distB="45720" distL="114300" distR="114300" simplePos="0" relativeHeight="251667456" behindDoc="0" locked="0" layoutInCell="1" allowOverlap="1" wp14:anchorId="1EEA7565" wp14:editId="5CEF2454">
                <wp:simplePos x="0" y="0"/>
                <wp:positionH relativeFrom="column">
                  <wp:posOffset>398464</wp:posOffset>
                </wp:positionH>
                <wp:positionV relativeFrom="paragraph">
                  <wp:posOffset>1250397</wp:posOffset>
                </wp:positionV>
                <wp:extent cx="1303655" cy="198604"/>
                <wp:effectExtent l="318" t="0" r="0" b="0"/>
                <wp:wrapNone/>
                <wp:docPr id="564200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03655" cy="198604"/>
                        </a:xfrm>
                        <a:prstGeom prst="rect">
                          <a:avLst/>
                        </a:prstGeom>
                        <a:solidFill>
                          <a:srgbClr val="FFFFFF"/>
                        </a:solidFill>
                        <a:ln w="9525">
                          <a:noFill/>
                          <a:miter lim="800000"/>
                          <a:headEnd/>
                          <a:tailEnd/>
                        </a:ln>
                      </wps:spPr>
                      <wps:txbx>
                        <w:txbxContent>
                          <w:p w14:paraId="708E0F5B" w14:textId="77777777" w:rsidR="00146620" w:rsidRPr="000E198A" w:rsidRDefault="00146620" w:rsidP="00146620">
                            <w:pPr>
                              <w:spacing w:before="0"/>
                              <w:rPr>
                                <w:sz w:val="12"/>
                                <w:szCs w:val="8"/>
                              </w:rPr>
                            </w:pPr>
                            <w:r>
                              <w:rPr>
                                <w:sz w:val="12"/>
                                <w:szCs w:val="8"/>
                              </w:rPr>
                              <w:t>% de temps, dépassement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7565" id="_x0000_s1027" type="#_x0000_t202" style="position:absolute;left:0;text-align:left;margin-left:31.4pt;margin-top:98.45pt;width:102.65pt;height:15.6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" stroked="f">
                <v:textbox>
                  <w:txbxContent>
                    <w:p w14:paraId="708E0F5B" w14:textId="77777777" w:rsidR="00146620" w:rsidRPr="000E198A" w:rsidRDefault="00146620" w:rsidP="00146620">
                      <w:pPr>
                        <w:spacing w:before="0"/>
                        <w:rPr>
                          <w:sz w:val="12"/>
                          <w:szCs w:val="8"/>
                        </w:rPr>
                      </w:pPr>
                      <w:r>
                        <w:rPr>
                          <w:sz w:val="12"/>
                          <w:szCs w:val="8"/>
                        </w:rPr>
                        <w:t>% de temps, dépassement possible</w:t>
                      </w:r>
                    </w:p>
                  </w:txbxContent>
                </v:textbox>
              </v:shape>
            </w:pict>
          </mc:Fallback>
        </mc:AlternateContent>
      </w:r>
      <w:r w:rsidR="008F3B1A" w:rsidRPr="004A1033">
        <mc:AlternateContent>
          <mc:Choice Requires="wps">
            <w:drawing>
              <wp:anchor distT="45720" distB="45720" distL="114300" distR="114300" simplePos="0" relativeHeight="251664384" behindDoc="0" locked="0" layoutInCell="1" allowOverlap="1" wp14:anchorId="40D22E21" wp14:editId="17102BB5">
                <wp:simplePos x="0" y="0"/>
                <wp:positionH relativeFrom="column">
                  <wp:posOffset>3911545</wp:posOffset>
                </wp:positionH>
                <wp:positionV relativeFrom="paragraph">
                  <wp:posOffset>328211</wp:posOffset>
                </wp:positionV>
                <wp:extent cx="983422" cy="833231"/>
                <wp:effectExtent l="0" t="0" r="7620" b="5080"/>
                <wp:wrapNone/>
                <wp:docPr id="1968210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22" cy="833231"/>
                        </a:xfrm>
                        <a:prstGeom prst="rect">
                          <a:avLst/>
                        </a:prstGeom>
                        <a:solidFill>
                          <a:srgbClr val="FFFFFF"/>
                        </a:solidFill>
                        <a:ln w="9525">
                          <a:noFill/>
                          <a:miter lim="800000"/>
                          <a:headEnd/>
                          <a:tailEnd/>
                        </a:ln>
                      </wps:spPr>
                      <wps:txbx>
                        <w:txbxContent>
                          <w:p w14:paraId="578A9192" w14:textId="77777777" w:rsidR="00146620" w:rsidRPr="000E198A" w:rsidRDefault="00146620" w:rsidP="00146620">
                            <w:pPr>
                              <w:spacing w:before="0" w:line="360" w:lineRule="auto"/>
                              <w:rPr>
                                <w:sz w:val="10"/>
                                <w:szCs w:val="8"/>
                              </w:rPr>
                            </w:pPr>
                            <w:r>
                              <w:rPr>
                                <w:sz w:val="10"/>
                                <w:szCs w:val="8"/>
                              </w:rPr>
                              <w:t>1 m</w:t>
                            </w:r>
                            <w:r w:rsidRPr="000E198A">
                              <w:rPr>
                                <w:sz w:val="10"/>
                                <w:szCs w:val="8"/>
                              </w:rPr>
                              <w:t xml:space="preserve"> dans le Tableau 22-1</w:t>
                            </w:r>
                            <w:r>
                              <w:rPr>
                                <w:sz w:val="10"/>
                                <w:szCs w:val="8"/>
                              </w:rPr>
                              <w:t>B</w:t>
                            </w:r>
                          </w:p>
                          <w:p w14:paraId="79FF6002" w14:textId="77777777" w:rsidR="00146620" w:rsidRPr="000E198A" w:rsidRDefault="00146620" w:rsidP="00146620">
                            <w:pPr>
                              <w:spacing w:before="0" w:line="360" w:lineRule="auto"/>
                              <w:rPr>
                                <w:sz w:val="10"/>
                                <w:szCs w:val="8"/>
                              </w:rPr>
                            </w:pPr>
                            <w:r w:rsidRPr="000E198A">
                              <w:rPr>
                                <w:sz w:val="10"/>
                                <w:szCs w:val="8"/>
                              </w:rPr>
                              <w:t>2 m dans le Tableau 22-1</w:t>
                            </w:r>
                            <w:r>
                              <w:rPr>
                                <w:sz w:val="10"/>
                                <w:szCs w:val="8"/>
                              </w:rPr>
                              <w:t>B</w:t>
                            </w:r>
                          </w:p>
                          <w:p w14:paraId="551321FD" w14:textId="77777777" w:rsidR="00146620" w:rsidRPr="000E198A" w:rsidRDefault="00146620" w:rsidP="00146620">
                            <w:pPr>
                              <w:spacing w:before="0" w:line="360" w:lineRule="auto"/>
                              <w:rPr>
                                <w:sz w:val="10"/>
                                <w:szCs w:val="8"/>
                              </w:rPr>
                            </w:pPr>
                            <w:r>
                              <w:rPr>
                                <w:sz w:val="10"/>
                                <w:szCs w:val="8"/>
                              </w:rPr>
                              <w:t>5</w:t>
                            </w:r>
                            <w:r w:rsidRPr="000E198A">
                              <w:rPr>
                                <w:sz w:val="10"/>
                                <w:szCs w:val="8"/>
                              </w:rPr>
                              <w:t xml:space="preserve"> m dans le Tableau 22-1</w:t>
                            </w:r>
                            <w:r>
                              <w:rPr>
                                <w:sz w:val="10"/>
                                <w:szCs w:val="8"/>
                              </w:rPr>
                              <w:t>B</w:t>
                            </w:r>
                          </w:p>
                          <w:p w14:paraId="5A0BCB17" w14:textId="00A839F7" w:rsidR="00146620" w:rsidRPr="000E198A" w:rsidRDefault="00146620" w:rsidP="00146620">
                            <w:pPr>
                              <w:spacing w:before="0" w:line="360" w:lineRule="auto"/>
                              <w:rPr>
                                <w:sz w:val="10"/>
                                <w:szCs w:val="8"/>
                              </w:rPr>
                            </w:pPr>
                            <w:r>
                              <w:rPr>
                                <w:sz w:val="10"/>
                                <w:szCs w:val="8"/>
                              </w:rPr>
                              <w:t xml:space="preserve">1 m </w:t>
                            </w:r>
                            <w:r w:rsidRPr="000E198A">
                              <w:rPr>
                                <w:sz w:val="10"/>
                                <w:szCs w:val="8"/>
                              </w:rPr>
                              <w:t>dans la Rés</w:t>
                            </w:r>
                            <w:r w:rsidR="008F3B1A">
                              <w:rPr>
                                <w:sz w:val="10"/>
                                <w:szCs w:val="8"/>
                              </w:rPr>
                              <w:t xml:space="preserve">olution </w:t>
                            </w:r>
                            <w:r w:rsidRPr="000E198A">
                              <w:rPr>
                                <w:sz w:val="10"/>
                                <w:szCs w:val="8"/>
                              </w:rPr>
                              <w:t>76</w:t>
                            </w:r>
                          </w:p>
                          <w:p w14:paraId="117B0594" w14:textId="35607F5A" w:rsidR="00146620" w:rsidRPr="000E198A" w:rsidRDefault="00146620" w:rsidP="00146620">
                            <w:pPr>
                              <w:spacing w:before="0" w:line="360" w:lineRule="auto"/>
                              <w:rPr>
                                <w:sz w:val="10"/>
                                <w:szCs w:val="8"/>
                              </w:rPr>
                            </w:pPr>
                            <w:r w:rsidRPr="000E198A">
                              <w:rPr>
                                <w:sz w:val="10"/>
                                <w:szCs w:val="8"/>
                              </w:rPr>
                              <w:t>2 m dans la Rés</w:t>
                            </w:r>
                            <w:r w:rsidR="008F3B1A">
                              <w:rPr>
                                <w:sz w:val="10"/>
                                <w:szCs w:val="8"/>
                              </w:rPr>
                              <w:t xml:space="preserve">olution </w:t>
                            </w:r>
                            <w:r w:rsidRPr="000E198A">
                              <w:rPr>
                                <w:sz w:val="10"/>
                                <w:szCs w:val="8"/>
                              </w:rPr>
                              <w:t>76</w:t>
                            </w:r>
                          </w:p>
                          <w:p w14:paraId="3791B889" w14:textId="1079D11A" w:rsidR="00146620" w:rsidRPr="000E198A" w:rsidRDefault="00146620" w:rsidP="00146620">
                            <w:pPr>
                              <w:spacing w:before="0" w:line="360" w:lineRule="auto"/>
                              <w:rPr>
                                <w:sz w:val="10"/>
                                <w:szCs w:val="8"/>
                              </w:rPr>
                            </w:pPr>
                            <w:r>
                              <w:rPr>
                                <w:sz w:val="10"/>
                                <w:szCs w:val="8"/>
                              </w:rPr>
                              <w:t>5</w:t>
                            </w:r>
                            <w:r w:rsidRPr="000E198A">
                              <w:rPr>
                                <w:sz w:val="10"/>
                                <w:szCs w:val="8"/>
                              </w:rPr>
                              <w:t xml:space="preserve"> m dans la Rés</w:t>
                            </w:r>
                            <w:r w:rsidR="008F3B1A">
                              <w:rPr>
                                <w:sz w:val="10"/>
                                <w:szCs w:val="8"/>
                              </w:rPr>
                              <w:t xml:space="preserve">olution </w:t>
                            </w:r>
                            <w:r w:rsidRPr="000E198A">
                              <w:rPr>
                                <w:sz w:val="10"/>
                                <w:szCs w:val="8"/>
                              </w:rPr>
                              <w:t>76</w:t>
                            </w:r>
                          </w:p>
                          <w:p w14:paraId="6C613B54" w14:textId="77777777" w:rsidR="00146620" w:rsidRPr="000E198A" w:rsidRDefault="00146620" w:rsidP="00146620">
                            <w:pPr>
                              <w:spacing w:before="0" w:line="360" w:lineRule="auto"/>
                              <w:rPr>
                                <w:sz w:val="10"/>
                                <w:szCs w:val="8"/>
                              </w:rPr>
                            </w:pPr>
                            <w:r w:rsidRPr="008F3B1A">
                              <w:rPr>
                                <w:i/>
                                <w:iCs/>
                                <w:sz w:val="10"/>
                                <w:szCs w:val="8"/>
                              </w:rPr>
                              <w:t>I</w:t>
                            </w:r>
                            <w:r w:rsidRPr="008F3B1A">
                              <w:rPr>
                                <w:sz w:val="10"/>
                                <w:szCs w:val="8"/>
                              </w:rPr>
                              <w:t>/</w:t>
                            </w:r>
                            <w:r w:rsidRPr="008F3B1A">
                              <w:rPr>
                                <w:i/>
                                <w:iCs/>
                                <w:sz w:val="10"/>
                                <w:szCs w:val="8"/>
                              </w:rPr>
                              <w:t>N</w:t>
                            </w:r>
                            <w:r>
                              <w:rPr>
                                <w:sz w:val="10"/>
                                <w:szCs w:val="8"/>
                              </w:rPr>
                              <w:t>: -12,2 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22E21" id="_x0000_s1028" type="#_x0000_t202" style="position:absolute;left:0;text-align:left;margin-left:308pt;margin-top:25.85pt;width:77.45pt;height:65.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" stroked="f">
                <v:textbox>
                  <w:txbxContent>
                    <w:p w14:paraId="578A9192" w14:textId="77777777" w:rsidR="00146620" w:rsidRPr="000E198A" w:rsidRDefault="00146620" w:rsidP="00146620">
                      <w:pPr>
                        <w:spacing w:before="0" w:line="360" w:lineRule="auto"/>
                        <w:rPr>
                          <w:sz w:val="10"/>
                          <w:szCs w:val="8"/>
                        </w:rPr>
                      </w:pPr>
                      <w:r>
                        <w:rPr>
                          <w:sz w:val="10"/>
                          <w:szCs w:val="8"/>
                        </w:rPr>
                        <w:t>1 m</w:t>
                      </w:r>
                      <w:r w:rsidRPr="000E198A">
                        <w:rPr>
                          <w:sz w:val="10"/>
                          <w:szCs w:val="8"/>
                        </w:rPr>
                        <w:t xml:space="preserve"> dans le Tableau 22-1</w:t>
                      </w:r>
                      <w:r>
                        <w:rPr>
                          <w:sz w:val="10"/>
                          <w:szCs w:val="8"/>
                        </w:rPr>
                        <w:t>B</w:t>
                      </w:r>
                    </w:p>
                    <w:p w14:paraId="79FF6002" w14:textId="77777777" w:rsidR="00146620" w:rsidRPr="000E198A" w:rsidRDefault="00146620" w:rsidP="00146620">
                      <w:pPr>
                        <w:spacing w:before="0" w:line="360" w:lineRule="auto"/>
                        <w:rPr>
                          <w:sz w:val="10"/>
                          <w:szCs w:val="8"/>
                        </w:rPr>
                      </w:pPr>
                      <w:r w:rsidRPr="000E198A">
                        <w:rPr>
                          <w:sz w:val="10"/>
                          <w:szCs w:val="8"/>
                        </w:rPr>
                        <w:t>2 m dans le Tableau 22-1</w:t>
                      </w:r>
                      <w:r>
                        <w:rPr>
                          <w:sz w:val="10"/>
                          <w:szCs w:val="8"/>
                        </w:rPr>
                        <w:t>B</w:t>
                      </w:r>
                    </w:p>
                    <w:p w14:paraId="551321FD" w14:textId="77777777" w:rsidR="00146620" w:rsidRPr="000E198A" w:rsidRDefault="00146620" w:rsidP="00146620">
                      <w:pPr>
                        <w:spacing w:before="0" w:line="360" w:lineRule="auto"/>
                        <w:rPr>
                          <w:sz w:val="10"/>
                          <w:szCs w:val="8"/>
                        </w:rPr>
                      </w:pPr>
                      <w:r>
                        <w:rPr>
                          <w:sz w:val="10"/>
                          <w:szCs w:val="8"/>
                        </w:rPr>
                        <w:t>5</w:t>
                      </w:r>
                      <w:r w:rsidRPr="000E198A">
                        <w:rPr>
                          <w:sz w:val="10"/>
                          <w:szCs w:val="8"/>
                        </w:rPr>
                        <w:t xml:space="preserve"> m dans le Tableau 22-1</w:t>
                      </w:r>
                      <w:r>
                        <w:rPr>
                          <w:sz w:val="10"/>
                          <w:szCs w:val="8"/>
                        </w:rPr>
                        <w:t>B</w:t>
                      </w:r>
                    </w:p>
                    <w:p w14:paraId="5A0BCB17" w14:textId="00A839F7" w:rsidR="00146620" w:rsidRPr="000E198A" w:rsidRDefault="00146620" w:rsidP="00146620">
                      <w:pPr>
                        <w:spacing w:before="0" w:line="360" w:lineRule="auto"/>
                        <w:rPr>
                          <w:sz w:val="10"/>
                          <w:szCs w:val="8"/>
                        </w:rPr>
                      </w:pPr>
                      <w:r>
                        <w:rPr>
                          <w:sz w:val="10"/>
                          <w:szCs w:val="8"/>
                        </w:rPr>
                        <w:t xml:space="preserve">1 m </w:t>
                      </w:r>
                      <w:r w:rsidRPr="000E198A">
                        <w:rPr>
                          <w:sz w:val="10"/>
                          <w:szCs w:val="8"/>
                        </w:rPr>
                        <w:t>dans la Rés</w:t>
                      </w:r>
                      <w:r w:rsidR="008F3B1A">
                        <w:rPr>
                          <w:sz w:val="10"/>
                          <w:szCs w:val="8"/>
                        </w:rPr>
                        <w:t xml:space="preserve">olution </w:t>
                      </w:r>
                      <w:r w:rsidRPr="000E198A">
                        <w:rPr>
                          <w:sz w:val="10"/>
                          <w:szCs w:val="8"/>
                        </w:rPr>
                        <w:t>76</w:t>
                      </w:r>
                    </w:p>
                    <w:p w14:paraId="117B0594" w14:textId="35607F5A" w:rsidR="00146620" w:rsidRPr="000E198A" w:rsidRDefault="00146620" w:rsidP="00146620">
                      <w:pPr>
                        <w:spacing w:before="0" w:line="360" w:lineRule="auto"/>
                        <w:rPr>
                          <w:sz w:val="10"/>
                          <w:szCs w:val="8"/>
                        </w:rPr>
                      </w:pPr>
                      <w:r w:rsidRPr="000E198A">
                        <w:rPr>
                          <w:sz w:val="10"/>
                          <w:szCs w:val="8"/>
                        </w:rPr>
                        <w:t>2 m dans la Rés</w:t>
                      </w:r>
                      <w:r w:rsidR="008F3B1A">
                        <w:rPr>
                          <w:sz w:val="10"/>
                          <w:szCs w:val="8"/>
                        </w:rPr>
                        <w:t xml:space="preserve">olution </w:t>
                      </w:r>
                      <w:r w:rsidRPr="000E198A">
                        <w:rPr>
                          <w:sz w:val="10"/>
                          <w:szCs w:val="8"/>
                        </w:rPr>
                        <w:t>76</w:t>
                      </w:r>
                    </w:p>
                    <w:p w14:paraId="3791B889" w14:textId="1079D11A" w:rsidR="00146620" w:rsidRPr="000E198A" w:rsidRDefault="00146620" w:rsidP="00146620">
                      <w:pPr>
                        <w:spacing w:before="0" w:line="360" w:lineRule="auto"/>
                        <w:rPr>
                          <w:sz w:val="10"/>
                          <w:szCs w:val="8"/>
                        </w:rPr>
                      </w:pPr>
                      <w:r>
                        <w:rPr>
                          <w:sz w:val="10"/>
                          <w:szCs w:val="8"/>
                        </w:rPr>
                        <w:t>5</w:t>
                      </w:r>
                      <w:r w:rsidRPr="000E198A">
                        <w:rPr>
                          <w:sz w:val="10"/>
                          <w:szCs w:val="8"/>
                        </w:rPr>
                        <w:t xml:space="preserve"> m dans la Rés</w:t>
                      </w:r>
                      <w:r w:rsidR="008F3B1A">
                        <w:rPr>
                          <w:sz w:val="10"/>
                          <w:szCs w:val="8"/>
                        </w:rPr>
                        <w:t xml:space="preserve">olution </w:t>
                      </w:r>
                      <w:r w:rsidRPr="000E198A">
                        <w:rPr>
                          <w:sz w:val="10"/>
                          <w:szCs w:val="8"/>
                        </w:rPr>
                        <w:t>76</w:t>
                      </w:r>
                    </w:p>
                    <w:p w14:paraId="6C613B54" w14:textId="77777777" w:rsidR="00146620" w:rsidRPr="000E198A" w:rsidRDefault="00146620" w:rsidP="00146620">
                      <w:pPr>
                        <w:spacing w:before="0" w:line="360" w:lineRule="auto"/>
                        <w:rPr>
                          <w:sz w:val="10"/>
                          <w:szCs w:val="8"/>
                        </w:rPr>
                      </w:pPr>
                      <w:r w:rsidRPr="008F3B1A">
                        <w:rPr>
                          <w:i/>
                          <w:iCs/>
                          <w:sz w:val="10"/>
                          <w:szCs w:val="8"/>
                        </w:rPr>
                        <w:t>I</w:t>
                      </w:r>
                      <w:r w:rsidRPr="008F3B1A">
                        <w:rPr>
                          <w:sz w:val="10"/>
                          <w:szCs w:val="8"/>
                        </w:rPr>
                        <w:t>/</w:t>
                      </w:r>
                      <w:r w:rsidRPr="008F3B1A">
                        <w:rPr>
                          <w:i/>
                          <w:iCs/>
                          <w:sz w:val="10"/>
                          <w:szCs w:val="8"/>
                        </w:rPr>
                        <w:t>N</w:t>
                      </w:r>
                      <w:r>
                        <w:rPr>
                          <w:sz w:val="10"/>
                          <w:szCs w:val="8"/>
                        </w:rPr>
                        <w:t>: -12,2 dB</w:t>
                      </w:r>
                    </w:p>
                  </w:txbxContent>
                </v:textbox>
              </v:shape>
            </w:pict>
          </mc:Fallback>
        </mc:AlternateContent>
      </w:r>
      <w:r w:rsidR="00146620" w:rsidRPr="004A1033">
        <w:drawing>
          <wp:inline distT="0" distB="0" distL="0" distR="0" wp14:anchorId="753AB0C8" wp14:editId="679CEEED">
            <wp:extent cx="4029710" cy="26339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710" cy="2633980"/>
                    </a:xfrm>
                    <a:prstGeom prst="rect">
                      <a:avLst/>
                    </a:prstGeom>
                    <a:noFill/>
                  </pic:spPr>
                </pic:pic>
              </a:graphicData>
            </a:graphic>
          </wp:inline>
        </w:drawing>
      </w:r>
    </w:p>
    <w:p w14:paraId="3DDB2E03" w14:textId="77777777" w:rsidR="00146620" w:rsidRPr="004A1033" w:rsidRDefault="00146620" w:rsidP="0049321B">
      <w:pPr>
        <w:pStyle w:val="FigureNo"/>
        <w:keepNext w:val="0"/>
        <w:keepLines w:val="0"/>
      </w:pPr>
      <w:r w:rsidRPr="004A1033">
        <w:t>FIGURE 2</w:t>
      </w:r>
    </w:p>
    <w:p w14:paraId="1C810089" w14:textId="703DE309" w:rsidR="00146620" w:rsidRPr="004A1033" w:rsidRDefault="00146620" w:rsidP="0049321B">
      <w:pPr>
        <w:pStyle w:val="Figuretitle"/>
        <w:keepNext w:val="0"/>
        <w:keepLines w:val="0"/>
      </w:pPr>
      <w:r w:rsidRPr="004A1033">
        <w:t>Limites d'epfd cumulative et pour une seule source de brouillage dans la bande de fréquences 19,7-20,2</w:t>
      </w:r>
      <w:r w:rsidR="0049321B" w:rsidRPr="004A1033">
        <w:t> </w:t>
      </w:r>
      <w:r w:rsidRPr="004A1033">
        <w:t xml:space="preserve">GHz exprimées sous forme de courbes </w:t>
      </w:r>
      <w:r w:rsidRPr="004A1033">
        <w:rPr>
          <w:i/>
          <w:iCs/>
        </w:rPr>
        <w:t>I/N</w:t>
      </w:r>
      <w:r w:rsidRPr="004A1033">
        <w:t xml:space="preserve"> en supposant une température de bruit de 195 K</w:t>
      </w:r>
    </w:p>
    <w:p w14:paraId="1BFE3A46" w14:textId="0A7D8CBF" w:rsidR="00146620" w:rsidRPr="004A1033" w:rsidRDefault="00AA5754" w:rsidP="0049321B">
      <w:pPr>
        <w:pStyle w:val="Figure"/>
        <w:keepNext w:val="0"/>
        <w:keepLines w:val="0"/>
      </w:pPr>
      <w:r w:rsidRPr="004A1033">
        <mc:AlternateContent>
          <mc:Choice Requires="wps">
            <w:drawing>
              <wp:anchor distT="45720" distB="45720" distL="114300" distR="114300" simplePos="0" relativeHeight="251666432" behindDoc="0" locked="0" layoutInCell="1" allowOverlap="1" wp14:anchorId="0A86E71F" wp14:editId="13B88FBA">
                <wp:simplePos x="0" y="0"/>
                <wp:positionH relativeFrom="column">
                  <wp:posOffset>477468</wp:posOffset>
                </wp:positionH>
                <wp:positionV relativeFrom="paragraph">
                  <wp:posOffset>1341864</wp:posOffset>
                </wp:positionV>
                <wp:extent cx="1312545" cy="186951"/>
                <wp:effectExtent l="0" t="8572" r="0" b="0"/>
                <wp:wrapNone/>
                <wp:docPr id="399280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12545" cy="186951"/>
                        </a:xfrm>
                        <a:prstGeom prst="rect">
                          <a:avLst/>
                        </a:prstGeom>
                        <a:solidFill>
                          <a:srgbClr val="FFFFFF"/>
                        </a:solidFill>
                        <a:ln w="9525">
                          <a:noFill/>
                          <a:miter lim="800000"/>
                          <a:headEnd/>
                          <a:tailEnd/>
                        </a:ln>
                      </wps:spPr>
                      <wps:txbx>
                        <w:txbxContent>
                          <w:p w14:paraId="256A77EC" w14:textId="77777777" w:rsidR="00146620" w:rsidRPr="000E198A" w:rsidRDefault="00146620" w:rsidP="00146620">
                            <w:pPr>
                              <w:spacing w:before="0"/>
                              <w:rPr>
                                <w:sz w:val="12"/>
                                <w:szCs w:val="8"/>
                              </w:rPr>
                            </w:pPr>
                            <w:r>
                              <w:rPr>
                                <w:sz w:val="12"/>
                                <w:szCs w:val="8"/>
                              </w:rPr>
                              <w:t>% de temps, dépassement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E71F" id="_x0000_s1029" type="#_x0000_t202" style="position:absolute;left:0;text-align:left;margin-left:37.6pt;margin-top:105.65pt;width:103.35pt;height:14.7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" stroked="f">
                <v:textbox>
                  <w:txbxContent>
                    <w:p w14:paraId="256A77EC" w14:textId="77777777" w:rsidR="00146620" w:rsidRPr="000E198A" w:rsidRDefault="00146620" w:rsidP="00146620">
                      <w:pPr>
                        <w:spacing w:before="0"/>
                        <w:rPr>
                          <w:sz w:val="12"/>
                          <w:szCs w:val="8"/>
                        </w:rPr>
                      </w:pPr>
                      <w:r>
                        <w:rPr>
                          <w:sz w:val="12"/>
                          <w:szCs w:val="8"/>
                        </w:rPr>
                        <w:t>% de temps, dépassement possible</w:t>
                      </w:r>
                    </w:p>
                  </w:txbxContent>
                </v:textbox>
              </v:shape>
            </w:pict>
          </mc:Fallback>
        </mc:AlternateContent>
      </w:r>
      <w:r w:rsidR="0049321B" w:rsidRPr="004A1033">
        <mc:AlternateContent>
          <mc:Choice Requires="wps">
            <w:drawing>
              <wp:anchor distT="45720" distB="45720" distL="114300" distR="114300" simplePos="0" relativeHeight="251663360" behindDoc="0" locked="0" layoutInCell="1" allowOverlap="1" wp14:anchorId="0E8723F9" wp14:editId="23918D96">
                <wp:simplePos x="0" y="0"/>
                <wp:positionH relativeFrom="column">
                  <wp:posOffset>2334901</wp:posOffset>
                </wp:positionH>
                <wp:positionV relativeFrom="paragraph">
                  <wp:posOffset>27305</wp:posOffset>
                </wp:positionV>
                <wp:extent cx="1577448" cy="177680"/>
                <wp:effectExtent l="0" t="0" r="3810" b="0"/>
                <wp:wrapNone/>
                <wp:docPr id="4162653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448" cy="177680"/>
                        </a:xfrm>
                        <a:prstGeom prst="rect">
                          <a:avLst/>
                        </a:prstGeom>
                        <a:solidFill>
                          <a:srgbClr val="FFFFFF"/>
                        </a:solidFill>
                        <a:ln w="9525">
                          <a:noFill/>
                          <a:miter lim="800000"/>
                          <a:headEnd/>
                          <a:tailEnd/>
                        </a:ln>
                      </wps:spPr>
                      <wps:txbx>
                        <w:txbxContent>
                          <w:p w14:paraId="73DDE609" w14:textId="77777777" w:rsidR="00146620" w:rsidRPr="000E198A" w:rsidRDefault="00146620" w:rsidP="0049321B">
                            <w:pPr>
                              <w:spacing w:before="0"/>
                              <w:rPr>
                                <w:sz w:val="12"/>
                                <w:szCs w:val="8"/>
                              </w:rPr>
                            </w:pPr>
                            <w:r w:rsidRPr="0049321B">
                              <w:rPr>
                                <w:i/>
                                <w:iCs/>
                                <w:sz w:val="12"/>
                                <w:szCs w:val="8"/>
                              </w:rPr>
                              <w:t>I</w:t>
                            </w:r>
                            <w:r w:rsidRPr="000E198A">
                              <w:rPr>
                                <w:sz w:val="12"/>
                                <w:szCs w:val="8"/>
                              </w:rPr>
                              <w:t>/</w:t>
                            </w:r>
                            <w:r w:rsidRPr="0049321B">
                              <w:rPr>
                                <w:i/>
                                <w:iCs/>
                                <w:sz w:val="12"/>
                                <w:szCs w:val="8"/>
                              </w:rPr>
                              <w:t>N</w:t>
                            </w:r>
                            <w:r w:rsidRPr="000E198A">
                              <w:rPr>
                                <w:sz w:val="12"/>
                                <w:szCs w:val="8"/>
                              </w:rPr>
                              <w:t xml:space="preserve"> en fonction du temps de dépassement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723F9" id="_x0000_s1030" type="#_x0000_t202" style="position:absolute;left:0;text-align:left;margin-left:183.85pt;margin-top:2.15pt;width:124.2pt;height: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" stroked="f">
                <v:textbox>
                  <w:txbxContent>
                    <w:p w14:paraId="73DDE609" w14:textId="77777777" w:rsidR="00146620" w:rsidRPr="000E198A" w:rsidRDefault="00146620" w:rsidP="0049321B">
                      <w:pPr>
                        <w:spacing w:before="0"/>
                        <w:rPr>
                          <w:sz w:val="12"/>
                          <w:szCs w:val="8"/>
                        </w:rPr>
                      </w:pPr>
                      <w:r w:rsidRPr="0049321B">
                        <w:rPr>
                          <w:i/>
                          <w:iCs/>
                          <w:sz w:val="12"/>
                          <w:szCs w:val="8"/>
                        </w:rPr>
                        <w:t>I</w:t>
                      </w:r>
                      <w:r w:rsidRPr="000E198A">
                        <w:rPr>
                          <w:sz w:val="12"/>
                          <w:szCs w:val="8"/>
                        </w:rPr>
                        <w:t>/</w:t>
                      </w:r>
                      <w:r w:rsidRPr="0049321B">
                        <w:rPr>
                          <w:i/>
                          <w:iCs/>
                          <w:sz w:val="12"/>
                          <w:szCs w:val="8"/>
                        </w:rPr>
                        <w:t>N</w:t>
                      </w:r>
                      <w:r w:rsidRPr="000E198A">
                        <w:rPr>
                          <w:sz w:val="12"/>
                          <w:szCs w:val="8"/>
                        </w:rPr>
                        <w:t xml:space="preserve"> en fonction du temps de dépassement</w:t>
                      </w:r>
                    </w:p>
                  </w:txbxContent>
                </v:textbox>
              </v:shape>
            </w:pict>
          </mc:Fallback>
        </mc:AlternateContent>
      </w:r>
      <w:r w:rsidR="00146620" w:rsidRPr="004A1033">
        <mc:AlternateContent>
          <mc:Choice Requires="wps">
            <w:drawing>
              <wp:anchor distT="45720" distB="45720" distL="114300" distR="114300" simplePos="0" relativeHeight="251665408" behindDoc="0" locked="0" layoutInCell="1" allowOverlap="1" wp14:anchorId="3AA30852" wp14:editId="10863E85">
                <wp:simplePos x="0" y="0"/>
                <wp:positionH relativeFrom="column">
                  <wp:posOffset>3847677</wp:posOffset>
                </wp:positionH>
                <wp:positionV relativeFrom="paragraph">
                  <wp:posOffset>364490</wp:posOffset>
                </wp:positionV>
                <wp:extent cx="783167" cy="990600"/>
                <wp:effectExtent l="0" t="0" r="0" b="0"/>
                <wp:wrapNone/>
                <wp:docPr id="16864094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167" cy="990600"/>
                        </a:xfrm>
                        <a:prstGeom prst="rect">
                          <a:avLst/>
                        </a:prstGeom>
                        <a:solidFill>
                          <a:srgbClr val="FFFFFF"/>
                        </a:solidFill>
                        <a:ln w="9525">
                          <a:noFill/>
                          <a:miter lim="800000"/>
                          <a:headEnd/>
                          <a:tailEnd/>
                        </a:ln>
                      </wps:spPr>
                      <wps:txbx>
                        <w:txbxContent>
                          <w:p w14:paraId="621BDE6F" w14:textId="77777777" w:rsidR="00146620" w:rsidRPr="000E198A" w:rsidRDefault="00146620" w:rsidP="00146620">
                            <w:pPr>
                              <w:spacing w:before="0" w:line="360" w:lineRule="auto"/>
                              <w:rPr>
                                <w:sz w:val="10"/>
                                <w:szCs w:val="8"/>
                              </w:rPr>
                            </w:pPr>
                            <w:r>
                              <w:rPr>
                                <w:sz w:val="10"/>
                                <w:szCs w:val="8"/>
                              </w:rPr>
                              <w:t>7</w:t>
                            </w:r>
                            <w:r w:rsidRPr="000E198A">
                              <w:rPr>
                                <w:sz w:val="10"/>
                                <w:szCs w:val="8"/>
                              </w:rPr>
                              <w:t>0 cm dans le Tableau 22-1</w:t>
                            </w:r>
                            <w:r>
                              <w:rPr>
                                <w:sz w:val="10"/>
                                <w:szCs w:val="8"/>
                              </w:rPr>
                              <w:t>C</w:t>
                            </w:r>
                          </w:p>
                          <w:p w14:paraId="62312D7A" w14:textId="77777777" w:rsidR="00146620" w:rsidRPr="000E198A" w:rsidRDefault="00146620" w:rsidP="00146620">
                            <w:pPr>
                              <w:spacing w:before="0" w:line="360" w:lineRule="auto"/>
                              <w:rPr>
                                <w:sz w:val="10"/>
                                <w:szCs w:val="8"/>
                              </w:rPr>
                            </w:pPr>
                            <w:r>
                              <w:rPr>
                                <w:sz w:val="10"/>
                                <w:szCs w:val="8"/>
                              </w:rPr>
                              <w:t>90 c</w:t>
                            </w:r>
                            <w:r w:rsidRPr="000E198A">
                              <w:rPr>
                                <w:sz w:val="10"/>
                                <w:szCs w:val="8"/>
                              </w:rPr>
                              <w:t>m dans le Tableau 22-1</w:t>
                            </w:r>
                            <w:r>
                              <w:rPr>
                                <w:sz w:val="10"/>
                                <w:szCs w:val="8"/>
                              </w:rPr>
                              <w:t>C</w:t>
                            </w:r>
                          </w:p>
                          <w:p w14:paraId="13AA8EDE" w14:textId="77777777" w:rsidR="00146620" w:rsidRPr="000E198A" w:rsidRDefault="00146620" w:rsidP="00146620">
                            <w:pPr>
                              <w:spacing w:before="0" w:line="360" w:lineRule="auto"/>
                              <w:rPr>
                                <w:sz w:val="10"/>
                                <w:szCs w:val="8"/>
                              </w:rPr>
                            </w:pPr>
                            <w:r>
                              <w:rPr>
                                <w:sz w:val="10"/>
                                <w:szCs w:val="8"/>
                              </w:rPr>
                              <w:t>2,5</w:t>
                            </w:r>
                            <w:r w:rsidRPr="000E198A">
                              <w:rPr>
                                <w:sz w:val="10"/>
                                <w:szCs w:val="8"/>
                              </w:rPr>
                              <w:t xml:space="preserve"> m dans le Tableau 22-1</w:t>
                            </w:r>
                            <w:r>
                              <w:rPr>
                                <w:sz w:val="10"/>
                                <w:szCs w:val="8"/>
                              </w:rPr>
                              <w:t>C</w:t>
                            </w:r>
                          </w:p>
                          <w:p w14:paraId="1137A38F" w14:textId="77777777" w:rsidR="00146620" w:rsidRPr="000E198A" w:rsidRDefault="00146620" w:rsidP="00146620">
                            <w:pPr>
                              <w:spacing w:before="0" w:line="360" w:lineRule="auto"/>
                              <w:rPr>
                                <w:sz w:val="10"/>
                                <w:szCs w:val="8"/>
                              </w:rPr>
                            </w:pPr>
                            <w:r>
                              <w:rPr>
                                <w:sz w:val="10"/>
                                <w:szCs w:val="8"/>
                              </w:rPr>
                              <w:t>5</w:t>
                            </w:r>
                            <w:r w:rsidRPr="000E198A">
                              <w:rPr>
                                <w:sz w:val="10"/>
                                <w:szCs w:val="8"/>
                              </w:rPr>
                              <w:t xml:space="preserve"> m dans le Tableau 22-1</w:t>
                            </w:r>
                            <w:r>
                              <w:rPr>
                                <w:sz w:val="10"/>
                                <w:szCs w:val="8"/>
                              </w:rPr>
                              <w:t>C</w:t>
                            </w:r>
                          </w:p>
                          <w:p w14:paraId="1E8A4E50" w14:textId="455B24A4" w:rsidR="00146620" w:rsidRPr="000E198A" w:rsidRDefault="00146620" w:rsidP="00146620">
                            <w:pPr>
                              <w:spacing w:before="0" w:line="360" w:lineRule="auto"/>
                              <w:rPr>
                                <w:sz w:val="10"/>
                                <w:szCs w:val="8"/>
                              </w:rPr>
                            </w:pPr>
                            <w:r>
                              <w:rPr>
                                <w:sz w:val="10"/>
                                <w:szCs w:val="8"/>
                              </w:rPr>
                              <w:t>7</w:t>
                            </w:r>
                            <w:r w:rsidRPr="000E198A">
                              <w:rPr>
                                <w:sz w:val="10"/>
                                <w:szCs w:val="8"/>
                              </w:rPr>
                              <w:t>0 cm dans la Rés</w:t>
                            </w:r>
                            <w:r w:rsidR="008F3B1A">
                              <w:rPr>
                                <w:sz w:val="10"/>
                                <w:szCs w:val="8"/>
                              </w:rPr>
                              <w:t xml:space="preserve">olution </w:t>
                            </w:r>
                            <w:r w:rsidRPr="000E198A">
                              <w:rPr>
                                <w:sz w:val="10"/>
                                <w:szCs w:val="8"/>
                              </w:rPr>
                              <w:t>76</w:t>
                            </w:r>
                          </w:p>
                          <w:p w14:paraId="3AEB10BB" w14:textId="07E15C84" w:rsidR="00146620" w:rsidRPr="000E198A" w:rsidRDefault="00146620" w:rsidP="00146620">
                            <w:pPr>
                              <w:spacing w:before="0" w:line="360" w:lineRule="auto"/>
                              <w:rPr>
                                <w:sz w:val="10"/>
                                <w:szCs w:val="8"/>
                              </w:rPr>
                            </w:pPr>
                            <w:r>
                              <w:rPr>
                                <w:sz w:val="10"/>
                                <w:szCs w:val="8"/>
                              </w:rPr>
                              <w:t>90 c</w:t>
                            </w:r>
                            <w:r w:rsidRPr="000E198A">
                              <w:rPr>
                                <w:sz w:val="10"/>
                                <w:szCs w:val="8"/>
                              </w:rPr>
                              <w:t>m dans la Rés</w:t>
                            </w:r>
                            <w:r w:rsidR="008F3B1A">
                              <w:rPr>
                                <w:sz w:val="10"/>
                                <w:szCs w:val="8"/>
                              </w:rPr>
                              <w:t xml:space="preserve">olution </w:t>
                            </w:r>
                            <w:r w:rsidRPr="000E198A">
                              <w:rPr>
                                <w:sz w:val="10"/>
                                <w:szCs w:val="8"/>
                              </w:rPr>
                              <w:t>76</w:t>
                            </w:r>
                          </w:p>
                          <w:p w14:paraId="66ED9C37" w14:textId="16BF0D33" w:rsidR="00146620" w:rsidRPr="000E198A" w:rsidRDefault="00146620" w:rsidP="00146620">
                            <w:pPr>
                              <w:spacing w:before="0" w:line="360" w:lineRule="auto"/>
                              <w:rPr>
                                <w:sz w:val="10"/>
                                <w:szCs w:val="8"/>
                              </w:rPr>
                            </w:pPr>
                            <w:r>
                              <w:rPr>
                                <w:sz w:val="10"/>
                                <w:szCs w:val="8"/>
                              </w:rPr>
                              <w:t>2,5</w:t>
                            </w:r>
                            <w:r w:rsidRPr="000E198A">
                              <w:rPr>
                                <w:sz w:val="10"/>
                                <w:szCs w:val="8"/>
                              </w:rPr>
                              <w:t xml:space="preserve"> m dans la Rés</w:t>
                            </w:r>
                            <w:r w:rsidR="008F3B1A">
                              <w:rPr>
                                <w:sz w:val="10"/>
                                <w:szCs w:val="8"/>
                              </w:rPr>
                              <w:t xml:space="preserve">olution </w:t>
                            </w:r>
                            <w:r w:rsidRPr="000E198A">
                              <w:rPr>
                                <w:sz w:val="10"/>
                                <w:szCs w:val="8"/>
                              </w:rPr>
                              <w:t>76</w:t>
                            </w:r>
                          </w:p>
                          <w:p w14:paraId="448ED25B" w14:textId="1DAB3755" w:rsidR="00146620" w:rsidRDefault="00146620" w:rsidP="00146620">
                            <w:pPr>
                              <w:spacing w:before="0" w:line="360" w:lineRule="auto"/>
                              <w:rPr>
                                <w:sz w:val="10"/>
                                <w:szCs w:val="8"/>
                              </w:rPr>
                            </w:pPr>
                            <w:r>
                              <w:rPr>
                                <w:sz w:val="10"/>
                                <w:szCs w:val="8"/>
                              </w:rPr>
                              <w:t>5</w:t>
                            </w:r>
                            <w:r w:rsidRPr="000E198A">
                              <w:rPr>
                                <w:sz w:val="10"/>
                                <w:szCs w:val="8"/>
                              </w:rPr>
                              <w:t xml:space="preserve"> m dans la Rés</w:t>
                            </w:r>
                            <w:r w:rsidR="008F3B1A">
                              <w:rPr>
                                <w:sz w:val="10"/>
                                <w:szCs w:val="8"/>
                              </w:rPr>
                              <w:t xml:space="preserve">olution </w:t>
                            </w:r>
                            <w:r w:rsidRPr="000E198A">
                              <w:rPr>
                                <w:sz w:val="10"/>
                                <w:szCs w:val="8"/>
                              </w:rPr>
                              <w:t>76</w:t>
                            </w:r>
                          </w:p>
                          <w:p w14:paraId="3628C7DF" w14:textId="77777777" w:rsidR="00146620" w:rsidRPr="000E198A" w:rsidRDefault="00146620" w:rsidP="00146620">
                            <w:pPr>
                              <w:spacing w:before="40" w:line="360" w:lineRule="auto"/>
                              <w:rPr>
                                <w:sz w:val="10"/>
                                <w:szCs w:val="8"/>
                              </w:rPr>
                            </w:pPr>
                            <w:r w:rsidRPr="008F3B1A">
                              <w:rPr>
                                <w:i/>
                                <w:iCs/>
                                <w:sz w:val="10"/>
                                <w:szCs w:val="8"/>
                              </w:rPr>
                              <w:t>I/N</w:t>
                            </w:r>
                            <w:r w:rsidRPr="000E198A">
                              <w:rPr>
                                <w:sz w:val="10"/>
                                <w:szCs w:val="8"/>
                              </w:rPr>
                              <w:t xml:space="preserve">: </w:t>
                            </w:r>
                            <w:r w:rsidRPr="00B04612">
                              <w:rPr>
                                <w:sz w:val="10"/>
                                <w:szCs w:val="8"/>
                              </w:rPr>
                              <w:t>–</w:t>
                            </w:r>
                            <w:r w:rsidRPr="000E198A">
                              <w:rPr>
                                <w:sz w:val="10"/>
                                <w:szCs w:val="8"/>
                              </w:rPr>
                              <w:t>12,2 dB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30852" id="_x0000_s1031" type="#_x0000_t202" style="position:absolute;left:0;text-align:left;margin-left:302.95pt;margin-top:28.7pt;width:61.65pt;height: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mPBwIAAOwDAAAOAAAAZHJzL2Uyb0RvYy54bWysU9tu2zAMfR+wfxD0vtjJkDQ1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" stroked="f">
                <v:textbox inset="0,0,0,0">
                  <w:txbxContent>
                    <w:p w14:paraId="621BDE6F" w14:textId="77777777" w:rsidR="00146620" w:rsidRPr="000E198A" w:rsidRDefault="00146620" w:rsidP="00146620">
                      <w:pPr>
                        <w:spacing w:before="0" w:line="360" w:lineRule="auto"/>
                        <w:rPr>
                          <w:sz w:val="10"/>
                          <w:szCs w:val="8"/>
                        </w:rPr>
                      </w:pPr>
                      <w:r>
                        <w:rPr>
                          <w:sz w:val="10"/>
                          <w:szCs w:val="8"/>
                        </w:rPr>
                        <w:t>7</w:t>
                      </w:r>
                      <w:r w:rsidRPr="000E198A">
                        <w:rPr>
                          <w:sz w:val="10"/>
                          <w:szCs w:val="8"/>
                        </w:rPr>
                        <w:t>0 cm dans le Tableau 22-1</w:t>
                      </w:r>
                      <w:r>
                        <w:rPr>
                          <w:sz w:val="10"/>
                          <w:szCs w:val="8"/>
                        </w:rPr>
                        <w:t>C</w:t>
                      </w:r>
                    </w:p>
                    <w:p w14:paraId="62312D7A" w14:textId="77777777" w:rsidR="00146620" w:rsidRPr="000E198A" w:rsidRDefault="00146620" w:rsidP="00146620">
                      <w:pPr>
                        <w:spacing w:before="0" w:line="360" w:lineRule="auto"/>
                        <w:rPr>
                          <w:sz w:val="10"/>
                          <w:szCs w:val="8"/>
                        </w:rPr>
                      </w:pPr>
                      <w:r>
                        <w:rPr>
                          <w:sz w:val="10"/>
                          <w:szCs w:val="8"/>
                        </w:rPr>
                        <w:t>90 c</w:t>
                      </w:r>
                      <w:r w:rsidRPr="000E198A">
                        <w:rPr>
                          <w:sz w:val="10"/>
                          <w:szCs w:val="8"/>
                        </w:rPr>
                        <w:t>m dans le Tableau 22-1</w:t>
                      </w:r>
                      <w:r>
                        <w:rPr>
                          <w:sz w:val="10"/>
                          <w:szCs w:val="8"/>
                        </w:rPr>
                        <w:t>C</w:t>
                      </w:r>
                    </w:p>
                    <w:p w14:paraId="13AA8EDE" w14:textId="77777777" w:rsidR="00146620" w:rsidRPr="000E198A" w:rsidRDefault="00146620" w:rsidP="00146620">
                      <w:pPr>
                        <w:spacing w:before="0" w:line="360" w:lineRule="auto"/>
                        <w:rPr>
                          <w:sz w:val="10"/>
                          <w:szCs w:val="8"/>
                        </w:rPr>
                      </w:pPr>
                      <w:r>
                        <w:rPr>
                          <w:sz w:val="10"/>
                          <w:szCs w:val="8"/>
                        </w:rPr>
                        <w:t>2,5</w:t>
                      </w:r>
                      <w:r w:rsidRPr="000E198A">
                        <w:rPr>
                          <w:sz w:val="10"/>
                          <w:szCs w:val="8"/>
                        </w:rPr>
                        <w:t xml:space="preserve"> m dans le Tableau 22-1</w:t>
                      </w:r>
                      <w:r>
                        <w:rPr>
                          <w:sz w:val="10"/>
                          <w:szCs w:val="8"/>
                        </w:rPr>
                        <w:t>C</w:t>
                      </w:r>
                    </w:p>
                    <w:p w14:paraId="1137A38F" w14:textId="77777777" w:rsidR="00146620" w:rsidRPr="000E198A" w:rsidRDefault="00146620" w:rsidP="00146620">
                      <w:pPr>
                        <w:spacing w:before="0" w:line="360" w:lineRule="auto"/>
                        <w:rPr>
                          <w:sz w:val="10"/>
                          <w:szCs w:val="8"/>
                        </w:rPr>
                      </w:pPr>
                      <w:r>
                        <w:rPr>
                          <w:sz w:val="10"/>
                          <w:szCs w:val="8"/>
                        </w:rPr>
                        <w:t>5</w:t>
                      </w:r>
                      <w:r w:rsidRPr="000E198A">
                        <w:rPr>
                          <w:sz w:val="10"/>
                          <w:szCs w:val="8"/>
                        </w:rPr>
                        <w:t xml:space="preserve"> m dans le Tableau 22-1</w:t>
                      </w:r>
                      <w:r>
                        <w:rPr>
                          <w:sz w:val="10"/>
                          <w:szCs w:val="8"/>
                        </w:rPr>
                        <w:t>C</w:t>
                      </w:r>
                    </w:p>
                    <w:p w14:paraId="1E8A4E50" w14:textId="455B24A4" w:rsidR="00146620" w:rsidRPr="000E198A" w:rsidRDefault="00146620" w:rsidP="00146620">
                      <w:pPr>
                        <w:spacing w:before="0" w:line="360" w:lineRule="auto"/>
                        <w:rPr>
                          <w:sz w:val="10"/>
                          <w:szCs w:val="8"/>
                        </w:rPr>
                      </w:pPr>
                      <w:r>
                        <w:rPr>
                          <w:sz w:val="10"/>
                          <w:szCs w:val="8"/>
                        </w:rPr>
                        <w:t>7</w:t>
                      </w:r>
                      <w:r w:rsidRPr="000E198A">
                        <w:rPr>
                          <w:sz w:val="10"/>
                          <w:szCs w:val="8"/>
                        </w:rPr>
                        <w:t>0 cm dans la Rés</w:t>
                      </w:r>
                      <w:r w:rsidR="008F3B1A">
                        <w:rPr>
                          <w:sz w:val="10"/>
                          <w:szCs w:val="8"/>
                        </w:rPr>
                        <w:t xml:space="preserve">olution </w:t>
                      </w:r>
                      <w:r w:rsidRPr="000E198A">
                        <w:rPr>
                          <w:sz w:val="10"/>
                          <w:szCs w:val="8"/>
                        </w:rPr>
                        <w:t>76</w:t>
                      </w:r>
                    </w:p>
                    <w:p w14:paraId="3AEB10BB" w14:textId="07E15C84" w:rsidR="00146620" w:rsidRPr="000E198A" w:rsidRDefault="00146620" w:rsidP="00146620">
                      <w:pPr>
                        <w:spacing w:before="0" w:line="360" w:lineRule="auto"/>
                        <w:rPr>
                          <w:sz w:val="10"/>
                          <w:szCs w:val="8"/>
                        </w:rPr>
                      </w:pPr>
                      <w:r>
                        <w:rPr>
                          <w:sz w:val="10"/>
                          <w:szCs w:val="8"/>
                        </w:rPr>
                        <w:t>90 c</w:t>
                      </w:r>
                      <w:r w:rsidRPr="000E198A">
                        <w:rPr>
                          <w:sz w:val="10"/>
                          <w:szCs w:val="8"/>
                        </w:rPr>
                        <w:t>m dans la Rés</w:t>
                      </w:r>
                      <w:r w:rsidR="008F3B1A">
                        <w:rPr>
                          <w:sz w:val="10"/>
                          <w:szCs w:val="8"/>
                        </w:rPr>
                        <w:t xml:space="preserve">olution </w:t>
                      </w:r>
                      <w:r w:rsidRPr="000E198A">
                        <w:rPr>
                          <w:sz w:val="10"/>
                          <w:szCs w:val="8"/>
                        </w:rPr>
                        <w:t>76</w:t>
                      </w:r>
                    </w:p>
                    <w:p w14:paraId="66ED9C37" w14:textId="16BF0D33" w:rsidR="00146620" w:rsidRPr="000E198A" w:rsidRDefault="00146620" w:rsidP="00146620">
                      <w:pPr>
                        <w:spacing w:before="0" w:line="360" w:lineRule="auto"/>
                        <w:rPr>
                          <w:sz w:val="10"/>
                          <w:szCs w:val="8"/>
                        </w:rPr>
                      </w:pPr>
                      <w:r>
                        <w:rPr>
                          <w:sz w:val="10"/>
                          <w:szCs w:val="8"/>
                        </w:rPr>
                        <w:t>2,5</w:t>
                      </w:r>
                      <w:r w:rsidRPr="000E198A">
                        <w:rPr>
                          <w:sz w:val="10"/>
                          <w:szCs w:val="8"/>
                        </w:rPr>
                        <w:t xml:space="preserve"> m dans la Rés</w:t>
                      </w:r>
                      <w:r w:rsidR="008F3B1A">
                        <w:rPr>
                          <w:sz w:val="10"/>
                          <w:szCs w:val="8"/>
                        </w:rPr>
                        <w:t xml:space="preserve">olution </w:t>
                      </w:r>
                      <w:r w:rsidRPr="000E198A">
                        <w:rPr>
                          <w:sz w:val="10"/>
                          <w:szCs w:val="8"/>
                        </w:rPr>
                        <w:t>76</w:t>
                      </w:r>
                    </w:p>
                    <w:p w14:paraId="448ED25B" w14:textId="1DAB3755" w:rsidR="00146620" w:rsidRDefault="00146620" w:rsidP="00146620">
                      <w:pPr>
                        <w:spacing w:before="0" w:line="360" w:lineRule="auto"/>
                        <w:rPr>
                          <w:sz w:val="10"/>
                          <w:szCs w:val="8"/>
                        </w:rPr>
                      </w:pPr>
                      <w:r>
                        <w:rPr>
                          <w:sz w:val="10"/>
                          <w:szCs w:val="8"/>
                        </w:rPr>
                        <w:t>5</w:t>
                      </w:r>
                      <w:r w:rsidRPr="000E198A">
                        <w:rPr>
                          <w:sz w:val="10"/>
                          <w:szCs w:val="8"/>
                        </w:rPr>
                        <w:t xml:space="preserve"> m dans la Rés</w:t>
                      </w:r>
                      <w:r w:rsidR="008F3B1A">
                        <w:rPr>
                          <w:sz w:val="10"/>
                          <w:szCs w:val="8"/>
                        </w:rPr>
                        <w:t xml:space="preserve">olution </w:t>
                      </w:r>
                      <w:r w:rsidRPr="000E198A">
                        <w:rPr>
                          <w:sz w:val="10"/>
                          <w:szCs w:val="8"/>
                        </w:rPr>
                        <w:t>76</w:t>
                      </w:r>
                    </w:p>
                    <w:p w14:paraId="3628C7DF" w14:textId="77777777" w:rsidR="00146620" w:rsidRPr="000E198A" w:rsidRDefault="00146620" w:rsidP="00146620">
                      <w:pPr>
                        <w:spacing w:before="40" w:line="360" w:lineRule="auto"/>
                        <w:rPr>
                          <w:sz w:val="10"/>
                          <w:szCs w:val="8"/>
                        </w:rPr>
                      </w:pPr>
                      <w:r w:rsidRPr="008F3B1A">
                        <w:rPr>
                          <w:i/>
                          <w:iCs/>
                          <w:sz w:val="10"/>
                          <w:szCs w:val="8"/>
                        </w:rPr>
                        <w:t>I/N</w:t>
                      </w:r>
                      <w:r w:rsidRPr="000E198A">
                        <w:rPr>
                          <w:sz w:val="10"/>
                          <w:szCs w:val="8"/>
                        </w:rPr>
                        <w:t xml:space="preserve">: </w:t>
                      </w:r>
                      <w:r w:rsidRPr="00B04612">
                        <w:rPr>
                          <w:sz w:val="10"/>
                          <w:szCs w:val="8"/>
                        </w:rPr>
                        <w:t>–</w:t>
                      </w:r>
                      <w:r w:rsidRPr="000E198A">
                        <w:rPr>
                          <w:sz w:val="10"/>
                          <w:szCs w:val="8"/>
                        </w:rPr>
                        <w:t>12,2 dB</w:t>
                      </w:r>
                    </w:p>
                  </w:txbxContent>
                </v:textbox>
              </v:shape>
            </w:pict>
          </mc:Fallback>
        </mc:AlternateContent>
      </w:r>
      <w:r w:rsidR="00146620" w:rsidRPr="004A1033">
        <w:drawing>
          <wp:inline distT="0" distB="0" distL="0" distR="0" wp14:anchorId="32ED326E" wp14:editId="50B463ED">
            <wp:extent cx="4054475" cy="2646045"/>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4475" cy="2646045"/>
                    </a:xfrm>
                    <a:prstGeom prst="rect">
                      <a:avLst/>
                    </a:prstGeom>
                    <a:noFill/>
                  </pic:spPr>
                </pic:pic>
              </a:graphicData>
            </a:graphic>
          </wp:inline>
        </w:drawing>
      </w:r>
    </w:p>
    <w:p w14:paraId="030E533E" w14:textId="77777777" w:rsidR="00146620" w:rsidRPr="004A1033" w:rsidRDefault="00146620" w:rsidP="0049321B">
      <w:pPr>
        <w:pStyle w:val="FigureNo"/>
      </w:pPr>
      <w:r w:rsidRPr="004A1033">
        <w:t>FIGURE 3</w:t>
      </w:r>
    </w:p>
    <w:p w14:paraId="579C33C2" w14:textId="35FEEA7A" w:rsidR="00146620" w:rsidRPr="004A1033" w:rsidRDefault="00146620" w:rsidP="0049321B">
      <w:pPr>
        <w:pStyle w:val="Figuretitle"/>
      </w:pPr>
      <w:r w:rsidRPr="004A1033">
        <w:t>Limites d'epfd cumulative et pour une seule source de brouillage dans la bande de fréquences 10,7-12,75</w:t>
      </w:r>
      <w:r w:rsidR="0049321B" w:rsidRPr="004A1033">
        <w:t> </w:t>
      </w:r>
      <w:r w:rsidRPr="004A1033">
        <w:t xml:space="preserve">GHz </w:t>
      </w:r>
      <w:r w:rsidR="008E3250" w:rsidRPr="004A1033">
        <w:t>du</w:t>
      </w:r>
      <w:r w:rsidR="0049321B" w:rsidRPr="004A1033">
        <w:t> </w:t>
      </w:r>
      <w:r w:rsidR="008E3250" w:rsidRPr="004A1033">
        <w:t xml:space="preserve">SFS </w:t>
      </w:r>
      <w:r w:rsidRPr="004A1033">
        <w:t xml:space="preserve">exprimées sous forme de courbes </w:t>
      </w:r>
      <w:r w:rsidRPr="004A1033">
        <w:rPr>
          <w:i/>
          <w:iCs/>
        </w:rPr>
        <w:t>I/N</w:t>
      </w:r>
      <w:r w:rsidRPr="004A1033">
        <w:t xml:space="preserve"> en supposant une température de bruit de 120 K</w:t>
      </w:r>
    </w:p>
    <w:p w14:paraId="1E7A8933" w14:textId="5311906E" w:rsidR="00146620" w:rsidRPr="004A1033" w:rsidRDefault="00AA5754" w:rsidP="0049321B">
      <w:pPr>
        <w:pStyle w:val="Figuretitle"/>
      </w:pPr>
      <w:r w:rsidRPr="004A1033">
        <mc:AlternateContent>
          <mc:Choice Requires="wps">
            <w:drawing>
              <wp:anchor distT="45720" distB="45720" distL="114300" distR="114300" simplePos="0" relativeHeight="251661312" behindDoc="0" locked="0" layoutInCell="1" allowOverlap="1" wp14:anchorId="149E572E" wp14:editId="7A429668">
                <wp:simplePos x="0" y="0"/>
                <wp:positionH relativeFrom="column">
                  <wp:posOffset>398155</wp:posOffset>
                </wp:positionH>
                <wp:positionV relativeFrom="paragraph">
                  <wp:posOffset>1282054</wp:posOffset>
                </wp:positionV>
                <wp:extent cx="1333091" cy="217806"/>
                <wp:effectExtent l="5080" t="0" r="5715" b="5715"/>
                <wp:wrapNone/>
                <wp:docPr id="8761865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3091" cy="217806"/>
                        </a:xfrm>
                        <a:prstGeom prst="rect">
                          <a:avLst/>
                        </a:prstGeom>
                        <a:solidFill>
                          <a:srgbClr val="FFFFFF"/>
                        </a:solidFill>
                        <a:ln w="9525">
                          <a:noFill/>
                          <a:miter lim="800000"/>
                          <a:headEnd/>
                          <a:tailEnd/>
                        </a:ln>
                      </wps:spPr>
                      <wps:txbx>
                        <w:txbxContent>
                          <w:p w14:paraId="633B809A" w14:textId="77777777" w:rsidR="00146620" w:rsidRPr="000E198A" w:rsidRDefault="00146620" w:rsidP="00146620">
                            <w:pPr>
                              <w:spacing w:before="0"/>
                              <w:rPr>
                                <w:sz w:val="12"/>
                                <w:szCs w:val="8"/>
                              </w:rPr>
                            </w:pPr>
                            <w:r>
                              <w:rPr>
                                <w:sz w:val="12"/>
                                <w:szCs w:val="8"/>
                              </w:rPr>
                              <w:t>% de temps, dépassement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E572E" id="_x0000_s1032" type="#_x0000_t202" style="position:absolute;left:0;text-align:left;margin-left:31.35pt;margin-top:100.95pt;width:104.95pt;height:17.1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" stroked="f">
                <v:textbox>
                  <w:txbxContent>
                    <w:p w14:paraId="633B809A" w14:textId="77777777" w:rsidR="00146620" w:rsidRPr="000E198A" w:rsidRDefault="00146620" w:rsidP="00146620">
                      <w:pPr>
                        <w:spacing w:before="0"/>
                        <w:rPr>
                          <w:sz w:val="12"/>
                          <w:szCs w:val="8"/>
                        </w:rPr>
                      </w:pPr>
                      <w:r>
                        <w:rPr>
                          <w:sz w:val="12"/>
                          <w:szCs w:val="8"/>
                        </w:rPr>
                        <w:t>% de temps, dépassement possible</w:t>
                      </w:r>
                    </w:p>
                  </w:txbxContent>
                </v:textbox>
              </v:shape>
            </w:pict>
          </mc:Fallback>
        </mc:AlternateContent>
      </w:r>
      <w:r w:rsidR="00146620" w:rsidRPr="004A1033">
        <mc:AlternateContent>
          <mc:Choice Requires="wps">
            <w:drawing>
              <wp:anchor distT="45720" distB="45720" distL="114300" distR="114300" simplePos="0" relativeHeight="251659264" behindDoc="0" locked="0" layoutInCell="1" allowOverlap="1" wp14:anchorId="336A5D41" wp14:editId="47841A7F">
                <wp:simplePos x="0" y="0"/>
                <wp:positionH relativeFrom="column">
                  <wp:posOffset>2381885</wp:posOffset>
                </wp:positionH>
                <wp:positionV relativeFrom="paragraph">
                  <wp:posOffset>65371</wp:posOffset>
                </wp:positionV>
                <wp:extent cx="1369433" cy="138309"/>
                <wp:effectExtent l="0" t="0" r="254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433" cy="138309"/>
                        </a:xfrm>
                        <a:prstGeom prst="rect">
                          <a:avLst/>
                        </a:prstGeom>
                        <a:solidFill>
                          <a:srgbClr val="FFFFFF"/>
                        </a:solidFill>
                        <a:ln w="9525">
                          <a:noFill/>
                          <a:miter lim="800000"/>
                          <a:headEnd/>
                          <a:tailEnd/>
                        </a:ln>
                      </wps:spPr>
                      <wps:txbx>
                        <w:txbxContent>
                          <w:p w14:paraId="75902A57" w14:textId="77777777" w:rsidR="00146620" w:rsidRPr="000E198A" w:rsidRDefault="00146620" w:rsidP="00146620">
                            <w:pPr>
                              <w:spacing w:before="0"/>
                              <w:rPr>
                                <w:sz w:val="12"/>
                                <w:szCs w:val="8"/>
                              </w:rPr>
                            </w:pPr>
                            <w:r w:rsidRPr="0049321B">
                              <w:rPr>
                                <w:i/>
                                <w:iCs/>
                                <w:sz w:val="12"/>
                                <w:szCs w:val="8"/>
                              </w:rPr>
                              <w:t>I</w:t>
                            </w:r>
                            <w:r w:rsidRPr="0049321B">
                              <w:rPr>
                                <w:sz w:val="12"/>
                                <w:szCs w:val="8"/>
                              </w:rPr>
                              <w:t>/</w:t>
                            </w:r>
                            <w:r w:rsidRPr="0049321B">
                              <w:rPr>
                                <w:i/>
                                <w:iCs/>
                                <w:sz w:val="12"/>
                                <w:szCs w:val="8"/>
                              </w:rPr>
                              <w:t>N</w:t>
                            </w:r>
                            <w:r w:rsidRPr="000E198A">
                              <w:rPr>
                                <w:sz w:val="12"/>
                                <w:szCs w:val="8"/>
                              </w:rPr>
                              <w:t xml:space="preserve"> en fonction du temps de dépassement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A5D41" id="_x0000_s1033" type="#_x0000_t202" style="position:absolute;left:0;text-align:left;margin-left:187.55pt;margin-top:5.15pt;width:107.85pt;height:1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V+CAIAAO0DAAAOAAAAZHJzL2Uyb0RvYy54bWysU9tu2zAMfR+wfxD0vthJ1i4x4hRdugwD&#10;ugvQ7QNkWY6FyaJGKbG7ry8lO+kub8P0IFASeUgeHm1uhs6wk0KvwZZ8Pss5U1ZCre2h5N++7l+t&#10;OP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" stroked="f">
                <v:textbox inset="0,0,0,0">
                  <w:txbxContent>
                    <w:p w14:paraId="75902A57" w14:textId="77777777" w:rsidR="00146620" w:rsidRPr="000E198A" w:rsidRDefault="00146620" w:rsidP="00146620">
                      <w:pPr>
                        <w:spacing w:before="0"/>
                        <w:rPr>
                          <w:sz w:val="12"/>
                          <w:szCs w:val="8"/>
                        </w:rPr>
                      </w:pPr>
                      <w:r w:rsidRPr="0049321B">
                        <w:rPr>
                          <w:i/>
                          <w:iCs/>
                          <w:sz w:val="12"/>
                          <w:szCs w:val="8"/>
                        </w:rPr>
                        <w:t>I</w:t>
                      </w:r>
                      <w:r w:rsidRPr="0049321B">
                        <w:rPr>
                          <w:sz w:val="12"/>
                          <w:szCs w:val="8"/>
                        </w:rPr>
                        <w:t>/</w:t>
                      </w:r>
                      <w:r w:rsidRPr="0049321B">
                        <w:rPr>
                          <w:i/>
                          <w:iCs/>
                          <w:sz w:val="12"/>
                          <w:szCs w:val="8"/>
                        </w:rPr>
                        <w:t>N</w:t>
                      </w:r>
                      <w:r w:rsidRPr="000E198A">
                        <w:rPr>
                          <w:sz w:val="12"/>
                          <w:szCs w:val="8"/>
                        </w:rPr>
                        <w:t xml:space="preserve"> en fonction du temps de dépassement</w:t>
                      </w:r>
                    </w:p>
                  </w:txbxContent>
                </v:textbox>
              </v:shape>
            </w:pict>
          </mc:Fallback>
        </mc:AlternateContent>
      </w:r>
      <w:r w:rsidR="00146620" w:rsidRPr="004A1033">
        <mc:AlternateContent>
          <mc:Choice Requires="wps">
            <w:drawing>
              <wp:anchor distT="45720" distB="45720" distL="114300" distR="114300" simplePos="0" relativeHeight="251660288" behindDoc="0" locked="0" layoutInCell="1" allowOverlap="1" wp14:anchorId="580D9898" wp14:editId="1CA3D9CF">
                <wp:simplePos x="0" y="0"/>
                <wp:positionH relativeFrom="column">
                  <wp:posOffset>3999865</wp:posOffset>
                </wp:positionH>
                <wp:positionV relativeFrom="paragraph">
                  <wp:posOffset>282363</wp:posOffset>
                </wp:positionV>
                <wp:extent cx="774700" cy="918210"/>
                <wp:effectExtent l="0" t="0" r="6350" b="0"/>
                <wp:wrapNone/>
                <wp:docPr id="17266210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918210"/>
                        </a:xfrm>
                        <a:prstGeom prst="rect">
                          <a:avLst/>
                        </a:prstGeom>
                        <a:solidFill>
                          <a:srgbClr val="FFFFFF"/>
                        </a:solidFill>
                        <a:ln w="9525">
                          <a:noFill/>
                          <a:miter lim="800000"/>
                          <a:headEnd/>
                          <a:tailEnd/>
                        </a:ln>
                      </wps:spPr>
                      <wps:txbx>
                        <w:txbxContent>
                          <w:p w14:paraId="28D06DD1" w14:textId="77777777" w:rsidR="00146620" w:rsidRPr="00C93267" w:rsidRDefault="00146620" w:rsidP="00146620">
                            <w:pPr>
                              <w:spacing w:before="0" w:line="360" w:lineRule="auto"/>
                              <w:rPr>
                                <w:sz w:val="9"/>
                                <w:szCs w:val="9"/>
                              </w:rPr>
                            </w:pPr>
                            <w:r w:rsidRPr="00C93267">
                              <w:rPr>
                                <w:sz w:val="9"/>
                                <w:szCs w:val="9"/>
                              </w:rPr>
                              <w:t>60 cm dans le Tableau 22-1A</w:t>
                            </w:r>
                          </w:p>
                          <w:p w14:paraId="5F11A824" w14:textId="77777777" w:rsidR="00146620" w:rsidRPr="00C93267" w:rsidRDefault="00146620" w:rsidP="00146620">
                            <w:pPr>
                              <w:spacing w:before="0" w:line="360" w:lineRule="auto"/>
                              <w:rPr>
                                <w:sz w:val="9"/>
                                <w:szCs w:val="9"/>
                              </w:rPr>
                            </w:pPr>
                            <w:r w:rsidRPr="00C93267">
                              <w:rPr>
                                <w:sz w:val="9"/>
                                <w:szCs w:val="9"/>
                              </w:rPr>
                              <w:t>1,2 m dans le Tableau 22-1A</w:t>
                            </w:r>
                          </w:p>
                          <w:p w14:paraId="436C5647" w14:textId="77777777" w:rsidR="00146620" w:rsidRPr="00C93267" w:rsidRDefault="00146620" w:rsidP="00146620">
                            <w:pPr>
                              <w:spacing w:before="0" w:line="360" w:lineRule="auto"/>
                              <w:rPr>
                                <w:sz w:val="9"/>
                                <w:szCs w:val="9"/>
                              </w:rPr>
                            </w:pPr>
                            <w:r w:rsidRPr="00C93267">
                              <w:rPr>
                                <w:sz w:val="9"/>
                                <w:szCs w:val="9"/>
                              </w:rPr>
                              <w:t>3 m dans le Tableau 22-1A</w:t>
                            </w:r>
                          </w:p>
                          <w:p w14:paraId="2E36BC88" w14:textId="77777777" w:rsidR="00146620" w:rsidRPr="00C93267" w:rsidRDefault="00146620" w:rsidP="00146620">
                            <w:pPr>
                              <w:spacing w:before="0" w:line="360" w:lineRule="auto"/>
                              <w:rPr>
                                <w:sz w:val="9"/>
                                <w:szCs w:val="9"/>
                              </w:rPr>
                            </w:pPr>
                            <w:r w:rsidRPr="00C93267">
                              <w:rPr>
                                <w:sz w:val="9"/>
                                <w:szCs w:val="9"/>
                              </w:rPr>
                              <w:t>10 m dans le Tableau 22-1A</w:t>
                            </w:r>
                          </w:p>
                          <w:p w14:paraId="04EB85FA" w14:textId="77777777" w:rsidR="00146620" w:rsidRPr="00C93267" w:rsidRDefault="00146620" w:rsidP="00146620">
                            <w:pPr>
                              <w:spacing w:before="0" w:line="360" w:lineRule="auto"/>
                              <w:rPr>
                                <w:sz w:val="9"/>
                                <w:szCs w:val="9"/>
                              </w:rPr>
                            </w:pPr>
                            <w:r w:rsidRPr="00B41773">
                              <w:rPr>
                                <w:i/>
                                <w:iCs/>
                                <w:sz w:val="9"/>
                                <w:szCs w:val="9"/>
                              </w:rPr>
                              <w:t>I</w:t>
                            </w:r>
                            <w:r w:rsidRPr="00B41773">
                              <w:rPr>
                                <w:sz w:val="9"/>
                                <w:szCs w:val="9"/>
                              </w:rPr>
                              <w:t>/</w:t>
                            </w:r>
                            <w:r w:rsidRPr="00B41773">
                              <w:rPr>
                                <w:i/>
                                <w:iCs/>
                                <w:sz w:val="9"/>
                                <w:szCs w:val="9"/>
                              </w:rPr>
                              <w:t>N</w:t>
                            </w:r>
                            <w:r w:rsidRPr="00C93267">
                              <w:rPr>
                                <w:sz w:val="9"/>
                                <w:szCs w:val="9"/>
                              </w:rPr>
                              <w:t>: –12,2 dB</w:t>
                            </w:r>
                          </w:p>
                          <w:p w14:paraId="5A7F6FC1" w14:textId="6B0DA290" w:rsidR="00146620" w:rsidRPr="00C93267" w:rsidRDefault="00146620" w:rsidP="00146620">
                            <w:pPr>
                              <w:spacing w:before="0" w:line="360" w:lineRule="auto"/>
                              <w:rPr>
                                <w:sz w:val="9"/>
                                <w:szCs w:val="9"/>
                              </w:rPr>
                            </w:pPr>
                            <w:r w:rsidRPr="00C93267">
                              <w:rPr>
                                <w:sz w:val="9"/>
                                <w:szCs w:val="9"/>
                              </w:rPr>
                              <w:t>60 cm dans la Rés</w:t>
                            </w:r>
                            <w:r w:rsidR="008F3B1A">
                              <w:rPr>
                                <w:sz w:val="9"/>
                                <w:szCs w:val="9"/>
                              </w:rPr>
                              <w:t xml:space="preserve">olution </w:t>
                            </w:r>
                            <w:r w:rsidRPr="00C93267">
                              <w:rPr>
                                <w:sz w:val="9"/>
                                <w:szCs w:val="9"/>
                              </w:rPr>
                              <w:t>76</w:t>
                            </w:r>
                          </w:p>
                          <w:p w14:paraId="65EF3832" w14:textId="69557276" w:rsidR="00146620" w:rsidRPr="00C93267" w:rsidRDefault="00146620" w:rsidP="00146620">
                            <w:pPr>
                              <w:spacing w:before="0" w:line="360" w:lineRule="auto"/>
                              <w:rPr>
                                <w:sz w:val="9"/>
                                <w:szCs w:val="9"/>
                              </w:rPr>
                            </w:pPr>
                            <w:r w:rsidRPr="00C93267">
                              <w:rPr>
                                <w:sz w:val="9"/>
                                <w:szCs w:val="9"/>
                              </w:rPr>
                              <w:t>1,2 m dans la Rés</w:t>
                            </w:r>
                            <w:r w:rsidR="008F3B1A">
                              <w:rPr>
                                <w:sz w:val="9"/>
                                <w:szCs w:val="9"/>
                              </w:rPr>
                              <w:t xml:space="preserve">olution </w:t>
                            </w:r>
                            <w:r w:rsidRPr="00C93267">
                              <w:rPr>
                                <w:sz w:val="9"/>
                                <w:szCs w:val="9"/>
                              </w:rPr>
                              <w:t>76</w:t>
                            </w:r>
                          </w:p>
                          <w:p w14:paraId="254BC463" w14:textId="74B1F02E" w:rsidR="00146620" w:rsidRPr="00C93267" w:rsidRDefault="00146620" w:rsidP="00146620">
                            <w:pPr>
                              <w:spacing w:before="0" w:line="360" w:lineRule="auto"/>
                              <w:rPr>
                                <w:sz w:val="9"/>
                                <w:szCs w:val="9"/>
                              </w:rPr>
                            </w:pPr>
                            <w:r w:rsidRPr="00C93267">
                              <w:rPr>
                                <w:sz w:val="9"/>
                                <w:szCs w:val="9"/>
                              </w:rPr>
                              <w:t>3 m dans la Rés</w:t>
                            </w:r>
                            <w:r w:rsidR="008F3B1A">
                              <w:rPr>
                                <w:sz w:val="9"/>
                                <w:szCs w:val="9"/>
                              </w:rPr>
                              <w:t xml:space="preserve">olution </w:t>
                            </w:r>
                            <w:r w:rsidRPr="00C93267">
                              <w:rPr>
                                <w:sz w:val="9"/>
                                <w:szCs w:val="9"/>
                              </w:rPr>
                              <w:t>76</w:t>
                            </w:r>
                          </w:p>
                          <w:p w14:paraId="66B9C4DB" w14:textId="01A1C300" w:rsidR="00146620" w:rsidRPr="000E198A" w:rsidRDefault="00146620" w:rsidP="00146620">
                            <w:pPr>
                              <w:spacing w:before="0" w:line="360" w:lineRule="auto"/>
                              <w:rPr>
                                <w:sz w:val="10"/>
                                <w:szCs w:val="8"/>
                              </w:rPr>
                            </w:pPr>
                            <w:r w:rsidRPr="00C93267">
                              <w:rPr>
                                <w:sz w:val="9"/>
                                <w:szCs w:val="9"/>
                              </w:rPr>
                              <w:t>10 m dans la Rés76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D9898" id="_x0000_s1034" type="#_x0000_t202" style="position:absolute;left:0;text-align:left;margin-left:314.95pt;margin-top:22.25pt;width:61pt;height:7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" stroked="f">
                <v:textbox inset="0,0,0,0">
                  <w:txbxContent>
                    <w:p w14:paraId="28D06DD1" w14:textId="77777777" w:rsidR="00146620" w:rsidRPr="00C93267" w:rsidRDefault="00146620" w:rsidP="00146620">
                      <w:pPr>
                        <w:spacing w:before="0" w:line="360" w:lineRule="auto"/>
                        <w:rPr>
                          <w:sz w:val="9"/>
                          <w:szCs w:val="9"/>
                        </w:rPr>
                      </w:pPr>
                      <w:r w:rsidRPr="00C93267">
                        <w:rPr>
                          <w:sz w:val="9"/>
                          <w:szCs w:val="9"/>
                        </w:rPr>
                        <w:t>60 cm dans le Tableau 22-1A</w:t>
                      </w:r>
                    </w:p>
                    <w:p w14:paraId="5F11A824" w14:textId="77777777" w:rsidR="00146620" w:rsidRPr="00C93267" w:rsidRDefault="00146620" w:rsidP="00146620">
                      <w:pPr>
                        <w:spacing w:before="0" w:line="360" w:lineRule="auto"/>
                        <w:rPr>
                          <w:sz w:val="9"/>
                          <w:szCs w:val="9"/>
                        </w:rPr>
                      </w:pPr>
                      <w:r w:rsidRPr="00C93267">
                        <w:rPr>
                          <w:sz w:val="9"/>
                          <w:szCs w:val="9"/>
                        </w:rPr>
                        <w:t>1,2 m dans le Tableau 22-1A</w:t>
                      </w:r>
                    </w:p>
                    <w:p w14:paraId="436C5647" w14:textId="77777777" w:rsidR="00146620" w:rsidRPr="00C93267" w:rsidRDefault="00146620" w:rsidP="00146620">
                      <w:pPr>
                        <w:spacing w:before="0" w:line="360" w:lineRule="auto"/>
                        <w:rPr>
                          <w:sz w:val="9"/>
                          <w:szCs w:val="9"/>
                        </w:rPr>
                      </w:pPr>
                      <w:r w:rsidRPr="00C93267">
                        <w:rPr>
                          <w:sz w:val="9"/>
                          <w:szCs w:val="9"/>
                        </w:rPr>
                        <w:t>3 m dans le Tableau 22-1A</w:t>
                      </w:r>
                    </w:p>
                    <w:p w14:paraId="2E36BC88" w14:textId="77777777" w:rsidR="00146620" w:rsidRPr="00C93267" w:rsidRDefault="00146620" w:rsidP="00146620">
                      <w:pPr>
                        <w:spacing w:before="0" w:line="360" w:lineRule="auto"/>
                        <w:rPr>
                          <w:sz w:val="9"/>
                          <w:szCs w:val="9"/>
                        </w:rPr>
                      </w:pPr>
                      <w:r w:rsidRPr="00C93267">
                        <w:rPr>
                          <w:sz w:val="9"/>
                          <w:szCs w:val="9"/>
                        </w:rPr>
                        <w:t>10 m dans le Tableau 22-1A</w:t>
                      </w:r>
                    </w:p>
                    <w:p w14:paraId="04EB85FA" w14:textId="77777777" w:rsidR="00146620" w:rsidRPr="00C93267" w:rsidRDefault="00146620" w:rsidP="00146620">
                      <w:pPr>
                        <w:spacing w:before="0" w:line="360" w:lineRule="auto"/>
                        <w:rPr>
                          <w:sz w:val="9"/>
                          <w:szCs w:val="9"/>
                        </w:rPr>
                      </w:pPr>
                      <w:r w:rsidRPr="00B41773">
                        <w:rPr>
                          <w:i/>
                          <w:iCs/>
                          <w:sz w:val="9"/>
                          <w:szCs w:val="9"/>
                        </w:rPr>
                        <w:t>I</w:t>
                      </w:r>
                      <w:r w:rsidRPr="00B41773">
                        <w:rPr>
                          <w:sz w:val="9"/>
                          <w:szCs w:val="9"/>
                        </w:rPr>
                        <w:t>/</w:t>
                      </w:r>
                      <w:r w:rsidRPr="00B41773">
                        <w:rPr>
                          <w:i/>
                          <w:iCs/>
                          <w:sz w:val="9"/>
                          <w:szCs w:val="9"/>
                        </w:rPr>
                        <w:t>N</w:t>
                      </w:r>
                      <w:r w:rsidRPr="00C93267">
                        <w:rPr>
                          <w:sz w:val="9"/>
                          <w:szCs w:val="9"/>
                        </w:rPr>
                        <w:t>: –12,2 dB</w:t>
                      </w:r>
                    </w:p>
                    <w:p w14:paraId="5A7F6FC1" w14:textId="6B0DA290" w:rsidR="00146620" w:rsidRPr="00C93267" w:rsidRDefault="00146620" w:rsidP="00146620">
                      <w:pPr>
                        <w:spacing w:before="0" w:line="360" w:lineRule="auto"/>
                        <w:rPr>
                          <w:sz w:val="9"/>
                          <w:szCs w:val="9"/>
                        </w:rPr>
                      </w:pPr>
                      <w:r w:rsidRPr="00C93267">
                        <w:rPr>
                          <w:sz w:val="9"/>
                          <w:szCs w:val="9"/>
                        </w:rPr>
                        <w:t>60 cm dans la Rés</w:t>
                      </w:r>
                      <w:r w:rsidR="008F3B1A">
                        <w:rPr>
                          <w:sz w:val="9"/>
                          <w:szCs w:val="9"/>
                        </w:rPr>
                        <w:t xml:space="preserve">olution </w:t>
                      </w:r>
                      <w:r w:rsidRPr="00C93267">
                        <w:rPr>
                          <w:sz w:val="9"/>
                          <w:szCs w:val="9"/>
                        </w:rPr>
                        <w:t>76</w:t>
                      </w:r>
                    </w:p>
                    <w:p w14:paraId="65EF3832" w14:textId="69557276" w:rsidR="00146620" w:rsidRPr="00C93267" w:rsidRDefault="00146620" w:rsidP="00146620">
                      <w:pPr>
                        <w:spacing w:before="0" w:line="360" w:lineRule="auto"/>
                        <w:rPr>
                          <w:sz w:val="9"/>
                          <w:szCs w:val="9"/>
                        </w:rPr>
                      </w:pPr>
                      <w:r w:rsidRPr="00C93267">
                        <w:rPr>
                          <w:sz w:val="9"/>
                          <w:szCs w:val="9"/>
                        </w:rPr>
                        <w:t>1,2 m dans la Rés</w:t>
                      </w:r>
                      <w:r w:rsidR="008F3B1A">
                        <w:rPr>
                          <w:sz w:val="9"/>
                          <w:szCs w:val="9"/>
                        </w:rPr>
                        <w:t xml:space="preserve">olution </w:t>
                      </w:r>
                      <w:r w:rsidRPr="00C93267">
                        <w:rPr>
                          <w:sz w:val="9"/>
                          <w:szCs w:val="9"/>
                        </w:rPr>
                        <w:t>76</w:t>
                      </w:r>
                    </w:p>
                    <w:p w14:paraId="254BC463" w14:textId="74B1F02E" w:rsidR="00146620" w:rsidRPr="00C93267" w:rsidRDefault="00146620" w:rsidP="00146620">
                      <w:pPr>
                        <w:spacing w:before="0" w:line="360" w:lineRule="auto"/>
                        <w:rPr>
                          <w:sz w:val="9"/>
                          <w:szCs w:val="9"/>
                        </w:rPr>
                      </w:pPr>
                      <w:r w:rsidRPr="00C93267">
                        <w:rPr>
                          <w:sz w:val="9"/>
                          <w:szCs w:val="9"/>
                        </w:rPr>
                        <w:t>3 m dans la Rés</w:t>
                      </w:r>
                      <w:r w:rsidR="008F3B1A">
                        <w:rPr>
                          <w:sz w:val="9"/>
                          <w:szCs w:val="9"/>
                        </w:rPr>
                        <w:t xml:space="preserve">olution </w:t>
                      </w:r>
                      <w:r w:rsidRPr="00C93267">
                        <w:rPr>
                          <w:sz w:val="9"/>
                          <w:szCs w:val="9"/>
                        </w:rPr>
                        <w:t>76</w:t>
                      </w:r>
                    </w:p>
                    <w:p w14:paraId="66B9C4DB" w14:textId="01A1C300" w:rsidR="00146620" w:rsidRPr="000E198A" w:rsidRDefault="00146620" w:rsidP="00146620">
                      <w:pPr>
                        <w:spacing w:before="0" w:line="360" w:lineRule="auto"/>
                        <w:rPr>
                          <w:sz w:val="10"/>
                          <w:szCs w:val="8"/>
                        </w:rPr>
                      </w:pPr>
                      <w:r w:rsidRPr="00C93267">
                        <w:rPr>
                          <w:sz w:val="9"/>
                          <w:szCs w:val="9"/>
                        </w:rPr>
                        <w:t>10 m dans la Rés76</w:t>
                      </w:r>
                    </w:p>
                  </w:txbxContent>
                </v:textbox>
              </v:shape>
            </w:pict>
          </mc:Fallback>
        </mc:AlternateContent>
      </w:r>
      <w:r w:rsidR="00146620" w:rsidRPr="004A1033">
        <w:rPr>
          <w:lang w:eastAsia="ja-JP"/>
        </w:rPr>
        <w:drawing>
          <wp:inline distT="0" distB="0" distL="0" distR="0" wp14:anchorId="54E7A4D4" wp14:editId="55AB2F8F">
            <wp:extent cx="4051300" cy="2646853"/>
            <wp:effectExtent l="0" t="0" r="6350" b="1270"/>
            <wp:docPr id="5" name="Picture 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A graph of different colored line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70950" cy="2659691"/>
                    </a:xfrm>
                    <a:prstGeom prst="rect">
                      <a:avLst/>
                    </a:prstGeom>
                    <a:noFill/>
                    <a:ln>
                      <a:noFill/>
                    </a:ln>
                  </pic:spPr>
                </pic:pic>
              </a:graphicData>
            </a:graphic>
          </wp:inline>
        </w:drawing>
      </w:r>
    </w:p>
    <w:p w14:paraId="0F2D1E8C" w14:textId="3F51850D" w:rsidR="00146620" w:rsidRPr="004A1033" w:rsidRDefault="00146620" w:rsidP="0049321B">
      <w:pPr>
        <w:pStyle w:val="FigureNo"/>
      </w:pPr>
      <w:r w:rsidRPr="004A1033">
        <w:t>Figure 4</w:t>
      </w:r>
    </w:p>
    <w:p w14:paraId="356A16F8" w14:textId="2E69BDE0" w:rsidR="00146620" w:rsidRPr="004A1033" w:rsidRDefault="004A4716" w:rsidP="0049321B">
      <w:pPr>
        <w:pStyle w:val="Figuretitle"/>
      </w:pPr>
      <w:r w:rsidRPr="004A1033">
        <w:t>Limites d'epfd cumulative et pour une seule source de brouillage dans la bande de fréquences 11,7-12,7</w:t>
      </w:r>
      <w:r w:rsidR="0049321B" w:rsidRPr="004A1033">
        <w:t> </w:t>
      </w:r>
      <w:r w:rsidRPr="004A1033">
        <w:t>GHz du</w:t>
      </w:r>
      <w:r w:rsidR="0049321B" w:rsidRPr="004A1033">
        <w:t> </w:t>
      </w:r>
      <w:r w:rsidRPr="004A1033">
        <w:t xml:space="preserve">SRS exprimées sous forme de courbes </w:t>
      </w:r>
      <w:r w:rsidRPr="004A1033">
        <w:rPr>
          <w:i/>
          <w:iCs/>
        </w:rPr>
        <w:t>I/N</w:t>
      </w:r>
      <w:r w:rsidRPr="004A1033">
        <w:t xml:space="preserve"> en </w:t>
      </w:r>
      <w:r w:rsidR="00295E98" w:rsidRPr="004A1033">
        <w:t xml:space="preserve">prenant pour hypothèse les </w:t>
      </w:r>
      <w:r w:rsidRPr="004A1033">
        <w:t>température</w:t>
      </w:r>
      <w:r w:rsidR="00F3600C" w:rsidRPr="004A1033">
        <w:t>s</w:t>
      </w:r>
      <w:r w:rsidRPr="004A1033">
        <w:t xml:space="preserve"> </w:t>
      </w:r>
      <w:r w:rsidR="00B96587" w:rsidRPr="004A1033">
        <w:br/>
      </w:r>
      <w:r w:rsidRPr="004A1033">
        <w:t>de bruit</w:t>
      </w:r>
      <w:r w:rsidR="00F3600C" w:rsidRPr="004A1033">
        <w:t xml:space="preserve"> indiquées dans l'Annexe</w:t>
      </w:r>
      <w:r w:rsidR="0049321B" w:rsidRPr="004A1033">
        <w:t xml:space="preserve"> </w:t>
      </w:r>
      <w:r w:rsidR="00F3600C" w:rsidRPr="004A1033">
        <w:t>6 de l'Appendice</w:t>
      </w:r>
      <w:r w:rsidR="0049321B" w:rsidRPr="004A1033">
        <w:t xml:space="preserve"> </w:t>
      </w:r>
      <w:r w:rsidR="00F3600C" w:rsidRPr="004A1033">
        <w:t>30</w:t>
      </w:r>
    </w:p>
    <w:p w14:paraId="407F939F" w14:textId="365A7374" w:rsidR="00146620" w:rsidRPr="004A1033" w:rsidRDefault="008F3B1A" w:rsidP="0049321B">
      <w:pPr>
        <w:pStyle w:val="Figure"/>
      </w:pPr>
      <w:r w:rsidRPr="004A1033">
        <mc:AlternateContent>
          <mc:Choice Requires="wps">
            <w:drawing>
              <wp:anchor distT="45720" distB="45720" distL="114300" distR="114300" simplePos="0" relativeHeight="251673600" behindDoc="0" locked="0" layoutInCell="1" allowOverlap="1" wp14:anchorId="470C0AB2" wp14:editId="373DEE61">
                <wp:simplePos x="0" y="0"/>
                <wp:positionH relativeFrom="column">
                  <wp:posOffset>313689</wp:posOffset>
                </wp:positionH>
                <wp:positionV relativeFrom="paragraph">
                  <wp:posOffset>1335019</wp:posOffset>
                </wp:positionV>
                <wp:extent cx="1257134" cy="182384"/>
                <wp:effectExtent l="3810" t="0" r="4445" b="444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7134" cy="182384"/>
                        </a:xfrm>
                        <a:prstGeom prst="rect">
                          <a:avLst/>
                        </a:prstGeom>
                        <a:solidFill>
                          <a:srgbClr val="FFFFFF"/>
                        </a:solidFill>
                        <a:ln w="9525">
                          <a:noFill/>
                          <a:miter lim="800000"/>
                          <a:headEnd/>
                          <a:tailEnd/>
                        </a:ln>
                      </wps:spPr>
                      <wps:txbx>
                        <w:txbxContent>
                          <w:p w14:paraId="780D0C2D" w14:textId="77777777" w:rsidR="008F3B1A" w:rsidRPr="000E198A" w:rsidRDefault="008F3B1A" w:rsidP="008F3B1A">
                            <w:pPr>
                              <w:spacing w:before="0"/>
                              <w:rPr>
                                <w:sz w:val="12"/>
                                <w:szCs w:val="8"/>
                              </w:rPr>
                            </w:pPr>
                            <w:r>
                              <w:rPr>
                                <w:sz w:val="12"/>
                                <w:szCs w:val="8"/>
                              </w:rPr>
                              <w:t>% de temps, dépassement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C0AB2" id="_x0000_s1035" type="#_x0000_t202" style="position:absolute;left:0;text-align:left;margin-left:24.7pt;margin-top:105.1pt;width:99pt;height:14.3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" stroked="f">
                <v:textbox>
                  <w:txbxContent>
                    <w:p w14:paraId="780D0C2D" w14:textId="77777777" w:rsidR="008F3B1A" w:rsidRPr="000E198A" w:rsidRDefault="008F3B1A" w:rsidP="008F3B1A">
                      <w:pPr>
                        <w:spacing w:before="0"/>
                        <w:rPr>
                          <w:sz w:val="12"/>
                          <w:szCs w:val="8"/>
                        </w:rPr>
                      </w:pPr>
                      <w:r>
                        <w:rPr>
                          <w:sz w:val="12"/>
                          <w:szCs w:val="8"/>
                        </w:rPr>
                        <w:t>% de temps, dépassement possible</w:t>
                      </w:r>
                    </w:p>
                  </w:txbxContent>
                </v:textbox>
              </v:shape>
            </w:pict>
          </mc:Fallback>
        </mc:AlternateContent>
      </w:r>
      <w:r w:rsidR="0049321B" w:rsidRPr="004A1033">
        <mc:AlternateContent>
          <mc:Choice Requires="wps">
            <w:drawing>
              <wp:anchor distT="45720" distB="45720" distL="114300" distR="114300" simplePos="0" relativeHeight="251671552" behindDoc="0" locked="0" layoutInCell="1" allowOverlap="1" wp14:anchorId="06FAEBA2" wp14:editId="055D878E">
                <wp:simplePos x="0" y="0"/>
                <wp:positionH relativeFrom="column">
                  <wp:posOffset>4376171</wp:posOffset>
                </wp:positionH>
                <wp:positionV relativeFrom="paragraph">
                  <wp:posOffset>309880</wp:posOffset>
                </wp:positionV>
                <wp:extent cx="774700" cy="1693627"/>
                <wp:effectExtent l="0" t="0" r="6350" b="190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693627"/>
                        </a:xfrm>
                        <a:prstGeom prst="rect">
                          <a:avLst/>
                        </a:prstGeom>
                        <a:solidFill>
                          <a:srgbClr val="FFFFFF"/>
                        </a:solidFill>
                        <a:ln w="9525">
                          <a:noFill/>
                          <a:miter lim="800000"/>
                          <a:headEnd/>
                          <a:tailEnd/>
                        </a:ln>
                      </wps:spPr>
                      <wps:txbx>
                        <w:txbxContent>
                          <w:p w14:paraId="7D77706D" w14:textId="28EBD117" w:rsidR="0049321B" w:rsidRPr="00C93267" w:rsidRDefault="0049321B" w:rsidP="0049321B">
                            <w:pPr>
                              <w:spacing w:before="0" w:line="360" w:lineRule="auto"/>
                              <w:rPr>
                                <w:sz w:val="9"/>
                                <w:szCs w:val="9"/>
                              </w:rPr>
                            </w:pPr>
                            <w:r>
                              <w:rPr>
                                <w:sz w:val="9"/>
                                <w:szCs w:val="9"/>
                              </w:rPr>
                              <w:t>3</w:t>
                            </w:r>
                            <w:r w:rsidRPr="00C93267">
                              <w:rPr>
                                <w:sz w:val="9"/>
                                <w:szCs w:val="9"/>
                              </w:rPr>
                              <w:t>0 cm dans le Tableau 22-1</w:t>
                            </w:r>
                            <w:r>
                              <w:rPr>
                                <w:sz w:val="9"/>
                                <w:szCs w:val="9"/>
                              </w:rPr>
                              <w:t>D</w:t>
                            </w:r>
                          </w:p>
                          <w:p w14:paraId="6A210247" w14:textId="1A81BA98" w:rsidR="0049321B" w:rsidRPr="00C93267" w:rsidRDefault="0049321B" w:rsidP="0049321B">
                            <w:pPr>
                              <w:spacing w:before="0" w:line="360" w:lineRule="auto"/>
                              <w:rPr>
                                <w:sz w:val="9"/>
                                <w:szCs w:val="9"/>
                              </w:rPr>
                            </w:pPr>
                            <w:r>
                              <w:rPr>
                                <w:sz w:val="9"/>
                                <w:szCs w:val="9"/>
                              </w:rPr>
                              <w:t>45 cm</w:t>
                            </w:r>
                            <w:r w:rsidRPr="00C93267">
                              <w:rPr>
                                <w:sz w:val="9"/>
                                <w:szCs w:val="9"/>
                              </w:rPr>
                              <w:t xml:space="preserve"> dans le Tableau 22-1</w:t>
                            </w:r>
                            <w:r>
                              <w:rPr>
                                <w:sz w:val="9"/>
                                <w:szCs w:val="9"/>
                              </w:rPr>
                              <w:t>D</w:t>
                            </w:r>
                          </w:p>
                          <w:p w14:paraId="0F61413A" w14:textId="35FB5D3D" w:rsidR="0049321B" w:rsidRPr="00C93267" w:rsidRDefault="0049321B" w:rsidP="0049321B">
                            <w:pPr>
                              <w:spacing w:before="0" w:line="360" w:lineRule="auto"/>
                              <w:rPr>
                                <w:sz w:val="9"/>
                                <w:szCs w:val="9"/>
                              </w:rPr>
                            </w:pPr>
                            <w:r>
                              <w:rPr>
                                <w:sz w:val="9"/>
                                <w:szCs w:val="9"/>
                              </w:rPr>
                              <w:t>60</w:t>
                            </w:r>
                            <w:r w:rsidRPr="00C93267">
                              <w:rPr>
                                <w:sz w:val="9"/>
                                <w:szCs w:val="9"/>
                              </w:rPr>
                              <w:t xml:space="preserve"> </w:t>
                            </w:r>
                            <w:r>
                              <w:rPr>
                                <w:sz w:val="9"/>
                                <w:szCs w:val="9"/>
                              </w:rPr>
                              <w:t>c</w:t>
                            </w:r>
                            <w:r w:rsidRPr="00C93267">
                              <w:rPr>
                                <w:sz w:val="9"/>
                                <w:szCs w:val="9"/>
                              </w:rPr>
                              <w:t>m dans le Tableau 22-1</w:t>
                            </w:r>
                            <w:r>
                              <w:rPr>
                                <w:sz w:val="9"/>
                                <w:szCs w:val="9"/>
                              </w:rPr>
                              <w:t>D</w:t>
                            </w:r>
                          </w:p>
                          <w:p w14:paraId="211002F9" w14:textId="578695FA" w:rsidR="0049321B" w:rsidRDefault="0049321B" w:rsidP="0049321B">
                            <w:pPr>
                              <w:spacing w:before="0" w:line="360" w:lineRule="auto"/>
                              <w:rPr>
                                <w:sz w:val="9"/>
                                <w:szCs w:val="9"/>
                              </w:rPr>
                            </w:pPr>
                            <w:r>
                              <w:rPr>
                                <w:sz w:val="9"/>
                                <w:szCs w:val="9"/>
                              </w:rPr>
                              <w:t>90</w:t>
                            </w:r>
                            <w:r w:rsidRPr="00C93267">
                              <w:rPr>
                                <w:sz w:val="9"/>
                                <w:szCs w:val="9"/>
                              </w:rPr>
                              <w:t xml:space="preserve"> </w:t>
                            </w:r>
                            <w:r>
                              <w:rPr>
                                <w:sz w:val="9"/>
                                <w:szCs w:val="9"/>
                              </w:rPr>
                              <w:t>c</w:t>
                            </w:r>
                            <w:r w:rsidRPr="00C93267">
                              <w:rPr>
                                <w:sz w:val="9"/>
                                <w:szCs w:val="9"/>
                              </w:rPr>
                              <w:t>m dans le Tableau 22-1</w:t>
                            </w:r>
                            <w:r>
                              <w:rPr>
                                <w:sz w:val="9"/>
                                <w:szCs w:val="9"/>
                              </w:rPr>
                              <w:t>D</w:t>
                            </w:r>
                          </w:p>
                          <w:p w14:paraId="613483A4" w14:textId="4FF68F45" w:rsidR="0049321B" w:rsidRDefault="0049321B" w:rsidP="0049321B">
                            <w:pPr>
                              <w:spacing w:before="0" w:line="360" w:lineRule="auto"/>
                              <w:rPr>
                                <w:sz w:val="9"/>
                                <w:szCs w:val="9"/>
                              </w:rPr>
                            </w:pPr>
                            <w:r>
                              <w:rPr>
                                <w:sz w:val="9"/>
                                <w:szCs w:val="9"/>
                              </w:rPr>
                              <w:t xml:space="preserve">1,2 m </w:t>
                            </w:r>
                            <w:r w:rsidRPr="00C93267">
                              <w:rPr>
                                <w:sz w:val="9"/>
                                <w:szCs w:val="9"/>
                              </w:rPr>
                              <w:t>dans le Tableau 22-1</w:t>
                            </w:r>
                            <w:r>
                              <w:rPr>
                                <w:sz w:val="9"/>
                                <w:szCs w:val="9"/>
                              </w:rPr>
                              <w:t>D</w:t>
                            </w:r>
                          </w:p>
                          <w:p w14:paraId="40E33151" w14:textId="146649F4" w:rsidR="0049321B" w:rsidRDefault="0049321B" w:rsidP="0049321B">
                            <w:pPr>
                              <w:spacing w:before="0" w:line="360" w:lineRule="auto"/>
                              <w:rPr>
                                <w:sz w:val="9"/>
                                <w:szCs w:val="9"/>
                              </w:rPr>
                            </w:pPr>
                            <w:r>
                              <w:rPr>
                                <w:sz w:val="9"/>
                                <w:szCs w:val="9"/>
                              </w:rPr>
                              <w:t xml:space="preserve">1,8 m </w:t>
                            </w:r>
                            <w:r w:rsidRPr="00C93267">
                              <w:rPr>
                                <w:sz w:val="9"/>
                                <w:szCs w:val="9"/>
                              </w:rPr>
                              <w:t>dans le Tableau 22-1</w:t>
                            </w:r>
                            <w:r>
                              <w:rPr>
                                <w:sz w:val="9"/>
                                <w:szCs w:val="9"/>
                              </w:rPr>
                              <w:t>D</w:t>
                            </w:r>
                          </w:p>
                          <w:p w14:paraId="332FC885" w14:textId="2BCB4626" w:rsidR="0049321B" w:rsidRDefault="0049321B" w:rsidP="0049321B">
                            <w:pPr>
                              <w:spacing w:before="0" w:line="360" w:lineRule="auto"/>
                              <w:rPr>
                                <w:sz w:val="9"/>
                                <w:szCs w:val="9"/>
                              </w:rPr>
                            </w:pPr>
                            <w:r>
                              <w:rPr>
                                <w:sz w:val="9"/>
                                <w:szCs w:val="9"/>
                              </w:rPr>
                              <w:t xml:space="preserve">2,4 m </w:t>
                            </w:r>
                            <w:r w:rsidRPr="00C93267">
                              <w:rPr>
                                <w:sz w:val="9"/>
                                <w:szCs w:val="9"/>
                              </w:rPr>
                              <w:t>dans le Tableau 22-1</w:t>
                            </w:r>
                            <w:r>
                              <w:rPr>
                                <w:sz w:val="9"/>
                                <w:szCs w:val="9"/>
                              </w:rPr>
                              <w:t>D</w:t>
                            </w:r>
                          </w:p>
                          <w:p w14:paraId="304EE4F7" w14:textId="6C9A055A" w:rsidR="0049321B" w:rsidRDefault="0049321B" w:rsidP="0049321B">
                            <w:pPr>
                              <w:spacing w:before="0" w:line="360" w:lineRule="auto"/>
                              <w:rPr>
                                <w:sz w:val="9"/>
                                <w:szCs w:val="9"/>
                              </w:rPr>
                            </w:pPr>
                            <w:r>
                              <w:rPr>
                                <w:sz w:val="9"/>
                                <w:szCs w:val="9"/>
                              </w:rPr>
                              <w:t xml:space="preserve">3 m </w:t>
                            </w:r>
                            <w:r w:rsidRPr="00C93267">
                              <w:rPr>
                                <w:sz w:val="9"/>
                                <w:szCs w:val="9"/>
                              </w:rPr>
                              <w:t>dans le Tableau 22-1</w:t>
                            </w:r>
                            <w:r>
                              <w:rPr>
                                <w:sz w:val="9"/>
                                <w:szCs w:val="9"/>
                              </w:rPr>
                              <w:t>D</w:t>
                            </w:r>
                          </w:p>
                          <w:p w14:paraId="6BCC4F2B" w14:textId="021AFF18" w:rsidR="0049321B" w:rsidRPr="00C93267" w:rsidRDefault="0049321B" w:rsidP="0049321B">
                            <w:pPr>
                              <w:spacing w:before="0" w:line="360" w:lineRule="auto"/>
                              <w:rPr>
                                <w:sz w:val="9"/>
                                <w:szCs w:val="9"/>
                              </w:rPr>
                            </w:pPr>
                            <w:r>
                              <w:rPr>
                                <w:sz w:val="9"/>
                                <w:szCs w:val="9"/>
                              </w:rPr>
                              <w:t>30 cm dans la Rés</w:t>
                            </w:r>
                            <w:r w:rsidR="008F3B1A">
                              <w:rPr>
                                <w:sz w:val="9"/>
                                <w:szCs w:val="9"/>
                              </w:rPr>
                              <w:t>olution</w:t>
                            </w:r>
                            <w:r>
                              <w:rPr>
                                <w:sz w:val="9"/>
                                <w:szCs w:val="9"/>
                              </w:rPr>
                              <w:t xml:space="preserve"> 76</w:t>
                            </w:r>
                          </w:p>
                          <w:p w14:paraId="2F37FBB8" w14:textId="0097DAEB" w:rsidR="0049321B" w:rsidRPr="00C93267" w:rsidRDefault="0049321B" w:rsidP="0049321B">
                            <w:pPr>
                              <w:spacing w:before="0" w:line="360" w:lineRule="auto"/>
                              <w:rPr>
                                <w:sz w:val="9"/>
                                <w:szCs w:val="9"/>
                              </w:rPr>
                            </w:pPr>
                            <w:r>
                              <w:rPr>
                                <w:sz w:val="9"/>
                                <w:szCs w:val="9"/>
                              </w:rPr>
                              <w:t>45</w:t>
                            </w:r>
                            <w:r w:rsidRPr="00C93267">
                              <w:rPr>
                                <w:sz w:val="9"/>
                                <w:szCs w:val="9"/>
                              </w:rPr>
                              <w:t xml:space="preserve"> cm dans la Rés</w:t>
                            </w:r>
                            <w:r w:rsidR="008F3B1A">
                              <w:rPr>
                                <w:sz w:val="9"/>
                                <w:szCs w:val="9"/>
                              </w:rPr>
                              <w:t xml:space="preserve">olution </w:t>
                            </w:r>
                            <w:r w:rsidRPr="00C93267">
                              <w:rPr>
                                <w:sz w:val="9"/>
                                <w:szCs w:val="9"/>
                              </w:rPr>
                              <w:t>76</w:t>
                            </w:r>
                          </w:p>
                          <w:p w14:paraId="11C09731" w14:textId="2BDD5045" w:rsidR="0049321B" w:rsidRPr="00C93267" w:rsidRDefault="0049321B" w:rsidP="0049321B">
                            <w:pPr>
                              <w:spacing w:before="0" w:line="360" w:lineRule="auto"/>
                              <w:rPr>
                                <w:sz w:val="9"/>
                                <w:szCs w:val="9"/>
                              </w:rPr>
                            </w:pPr>
                            <w:r>
                              <w:rPr>
                                <w:sz w:val="9"/>
                                <w:szCs w:val="9"/>
                              </w:rPr>
                              <w:t>60</w:t>
                            </w:r>
                            <w:r w:rsidRPr="00C93267">
                              <w:rPr>
                                <w:sz w:val="9"/>
                                <w:szCs w:val="9"/>
                              </w:rPr>
                              <w:t xml:space="preserve"> </w:t>
                            </w:r>
                            <w:r>
                              <w:rPr>
                                <w:sz w:val="9"/>
                                <w:szCs w:val="9"/>
                              </w:rPr>
                              <w:t>c</w:t>
                            </w:r>
                            <w:r w:rsidRPr="00C93267">
                              <w:rPr>
                                <w:sz w:val="9"/>
                                <w:szCs w:val="9"/>
                              </w:rPr>
                              <w:t xml:space="preserve">m dans la </w:t>
                            </w:r>
                            <w:r w:rsidR="008F3B1A" w:rsidRPr="00C93267">
                              <w:rPr>
                                <w:sz w:val="9"/>
                                <w:szCs w:val="9"/>
                              </w:rPr>
                              <w:t>Rés</w:t>
                            </w:r>
                            <w:r w:rsidR="008F3B1A">
                              <w:rPr>
                                <w:sz w:val="9"/>
                                <w:szCs w:val="9"/>
                              </w:rPr>
                              <w:t xml:space="preserve">olution </w:t>
                            </w:r>
                            <w:r w:rsidR="008F3B1A" w:rsidRPr="00C93267">
                              <w:rPr>
                                <w:sz w:val="9"/>
                                <w:szCs w:val="9"/>
                              </w:rPr>
                              <w:t>76</w:t>
                            </w:r>
                          </w:p>
                          <w:p w14:paraId="2474E202" w14:textId="77251217" w:rsidR="0049321B" w:rsidRPr="00C93267" w:rsidRDefault="0049321B" w:rsidP="0049321B">
                            <w:pPr>
                              <w:spacing w:before="0" w:line="360" w:lineRule="auto"/>
                              <w:rPr>
                                <w:sz w:val="9"/>
                                <w:szCs w:val="9"/>
                              </w:rPr>
                            </w:pPr>
                            <w:r>
                              <w:rPr>
                                <w:sz w:val="9"/>
                                <w:szCs w:val="9"/>
                              </w:rPr>
                              <w:t>90</w:t>
                            </w:r>
                            <w:r w:rsidRPr="00C93267">
                              <w:rPr>
                                <w:sz w:val="9"/>
                                <w:szCs w:val="9"/>
                              </w:rPr>
                              <w:t xml:space="preserve"> </w:t>
                            </w:r>
                            <w:r>
                              <w:rPr>
                                <w:sz w:val="9"/>
                                <w:szCs w:val="9"/>
                              </w:rPr>
                              <w:t>c</w:t>
                            </w:r>
                            <w:r w:rsidRPr="00C93267">
                              <w:rPr>
                                <w:sz w:val="9"/>
                                <w:szCs w:val="9"/>
                              </w:rPr>
                              <w:t xml:space="preserve">m dans la </w:t>
                            </w:r>
                            <w:r w:rsidR="008F3B1A" w:rsidRPr="00C93267">
                              <w:rPr>
                                <w:sz w:val="9"/>
                                <w:szCs w:val="9"/>
                              </w:rPr>
                              <w:t>Rés</w:t>
                            </w:r>
                            <w:r w:rsidR="008F3B1A">
                              <w:rPr>
                                <w:sz w:val="9"/>
                                <w:szCs w:val="9"/>
                              </w:rPr>
                              <w:t xml:space="preserve">olution </w:t>
                            </w:r>
                            <w:r w:rsidR="008F3B1A" w:rsidRPr="00C93267">
                              <w:rPr>
                                <w:sz w:val="9"/>
                                <w:szCs w:val="9"/>
                              </w:rPr>
                              <w:t>76</w:t>
                            </w:r>
                          </w:p>
                          <w:p w14:paraId="330F2AD6" w14:textId="0DE9E931" w:rsidR="0049321B" w:rsidRDefault="0049321B" w:rsidP="0049321B">
                            <w:pPr>
                              <w:spacing w:before="0" w:line="360" w:lineRule="auto"/>
                              <w:rPr>
                                <w:sz w:val="9"/>
                                <w:szCs w:val="9"/>
                              </w:rPr>
                            </w:pPr>
                            <w:r w:rsidRPr="00C93267">
                              <w:rPr>
                                <w:sz w:val="9"/>
                                <w:szCs w:val="9"/>
                              </w:rPr>
                              <w:t>1</w:t>
                            </w:r>
                            <w:r>
                              <w:rPr>
                                <w:sz w:val="9"/>
                                <w:szCs w:val="9"/>
                              </w:rPr>
                              <w:t>,2</w:t>
                            </w:r>
                            <w:r w:rsidRPr="00C93267">
                              <w:rPr>
                                <w:sz w:val="9"/>
                                <w:szCs w:val="9"/>
                              </w:rPr>
                              <w:t xml:space="preserve"> m dans la </w:t>
                            </w:r>
                            <w:r w:rsidR="008F3B1A" w:rsidRPr="00C93267">
                              <w:rPr>
                                <w:sz w:val="9"/>
                                <w:szCs w:val="9"/>
                              </w:rPr>
                              <w:t>Rés</w:t>
                            </w:r>
                            <w:r w:rsidR="008F3B1A">
                              <w:rPr>
                                <w:sz w:val="9"/>
                                <w:szCs w:val="9"/>
                              </w:rPr>
                              <w:t xml:space="preserve">olution </w:t>
                            </w:r>
                            <w:r w:rsidR="008F3B1A" w:rsidRPr="00C93267">
                              <w:rPr>
                                <w:sz w:val="9"/>
                                <w:szCs w:val="9"/>
                              </w:rPr>
                              <w:t>76</w:t>
                            </w:r>
                          </w:p>
                          <w:p w14:paraId="6FE5A9EC" w14:textId="1B06B673" w:rsidR="0049321B" w:rsidRDefault="0049321B" w:rsidP="0049321B">
                            <w:pPr>
                              <w:spacing w:before="0" w:line="360" w:lineRule="auto"/>
                              <w:rPr>
                                <w:sz w:val="9"/>
                                <w:szCs w:val="9"/>
                              </w:rPr>
                            </w:pPr>
                            <w:r>
                              <w:rPr>
                                <w:sz w:val="9"/>
                                <w:szCs w:val="9"/>
                              </w:rPr>
                              <w:t xml:space="preserve">1,8 m dans la </w:t>
                            </w:r>
                            <w:r w:rsidR="008F3B1A" w:rsidRPr="00C93267">
                              <w:rPr>
                                <w:sz w:val="9"/>
                                <w:szCs w:val="9"/>
                              </w:rPr>
                              <w:t>Rés</w:t>
                            </w:r>
                            <w:r w:rsidR="008F3B1A">
                              <w:rPr>
                                <w:sz w:val="9"/>
                                <w:szCs w:val="9"/>
                              </w:rPr>
                              <w:t xml:space="preserve">olution </w:t>
                            </w:r>
                            <w:r w:rsidR="008F3B1A" w:rsidRPr="00C93267">
                              <w:rPr>
                                <w:sz w:val="9"/>
                                <w:szCs w:val="9"/>
                              </w:rPr>
                              <w:t>76</w:t>
                            </w:r>
                          </w:p>
                          <w:p w14:paraId="42FEEB4B" w14:textId="60C4FC9D" w:rsidR="0049321B" w:rsidRDefault="0049321B" w:rsidP="0049321B">
                            <w:pPr>
                              <w:spacing w:before="0" w:line="360" w:lineRule="auto"/>
                              <w:rPr>
                                <w:sz w:val="9"/>
                                <w:szCs w:val="9"/>
                              </w:rPr>
                            </w:pPr>
                            <w:r>
                              <w:rPr>
                                <w:sz w:val="9"/>
                                <w:szCs w:val="9"/>
                              </w:rPr>
                              <w:t xml:space="preserve">2,4 cm dans la </w:t>
                            </w:r>
                            <w:r w:rsidR="008F3B1A" w:rsidRPr="00C93267">
                              <w:rPr>
                                <w:sz w:val="9"/>
                                <w:szCs w:val="9"/>
                              </w:rPr>
                              <w:t>Rés</w:t>
                            </w:r>
                            <w:r w:rsidR="008F3B1A">
                              <w:rPr>
                                <w:sz w:val="9"/>
                                <w:szCs w:val="9"/>
                              </w:rPr>
                              <w:t xml:space="preserve">olution </w:t>
                            </w:r>
                            <w:r w:rsidR="008F3B1A" w:rsidRPr="00C93267">
                              <w:rPr>
                                <w:sz w:val="9"/>
                                <w:szCs w:val="9"/>
                              </w:rPr>
                              <w:t>76</w:t>
                            </w:r>
                          </w:p>
                          <w:p w14:paraId="4BF139A0" w14:textId="47BFCDEA" w:rsidR="0049321B" w:rsidRDefault="0049321B" w:rsidP="0049321B">
                            <w:pPr>
                              <w:spacing w:before="0" w:line="360" w:lineRule="auto"/>
                              <w:rPr>
                                <w:sz w:val="9"/>
                                <w:szCs w:val="9"/>
                              </w:rPr>
                            </w:pPr>
                            <w:r>
                              <w:rPr>
                                <w:sz w:val="9"/>
                                <w:szCs w:val="9"/>
                              </w:rPr>
                              <w:t xml:space="preserve">3 m dans la </w:t>
                            </w:r>
                            <w:r w:rsidR="008F3B1A" w:rsidRPr="00C93267">
                              <w:rPr>
                                <w:sz w:val="9"/>
                                <w:szCs w:val="9"/>
                              </w:rPr>
                              <w:t>Rés</w:t>
                            </w:r>
                            <w:r w:rsidR="008F3B1A">
                              <w:rPr>
                                <w:sz w:val="9"/>
                                <w:szCs w:val="9"/>
                              </w:rPr>
                              <w:t xml:space="preserve">olution </w:t>
                            </w:r>
                            <w:r w:rsidR="008F3B1A" w:rsidRPr="00C93267">
                              <w:rPr>
                                <w:sz w:val="9"/>
                                <w:szCs w:val="9"/>
                              </w:rPr>
                              <w:t>76</w:t>
                            </w:r>
                          </w:p>
                          <w:p w14:paraId="18AADD06" w14:textId="3E9C782A" w:rsidR="0049321B" w:rsidRPr="000E198A" w:rsidRDefault="0049321B" w:rsidP="0049321B">
                            <w:pPr>
                              <w:spacing w:before="0" w:line="360" w:lineRule="auto"/>
                              <w:rPr>
                                <w:sz w:val="10"/>
                                <w:szCs w:val="8"/>
                              </w:rPr>
                            </w:pPr>
                            <w:r w:rsidRPr="0049321B">
                              <w:rPr>
                                <w:i/>
                                <w:iCs/>
                                <w:sz w:val="9"/>
                                <w:szCs w:val="9"/>
                              </w:rPr>
                              <w:t>I</w:t>
                            </w:r>
                            <w:r w:rsidRPr="0049321B">
                              <w:rPr>
                                <w:sz w:val="9"/>
                                <w:szCs w:val="9"/>
                              </w:rPr>
                              <w:t>/</w:t>
                            </w:r>
                            <w:r w:rsidRPr="0049321B">
                              <w:rPr>
                                <w:i/>
                                <w:iCs/>
                                <w:sz w:val="9"/>
                                <w:szCs w:val="9"/>
                              </w:rPr>
                              <w:t>N</w:t>
                            </w:r>
                            <w:r w:rsidRPr="00C93267">
                              <w:rPr>
                                <w:sz w:val="9"/>
                                <w:szCs w:val="9"/>
                              </w:rPr>
                              <w:t>: –12,2 dB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AEBA2" id="_x0000_s1036" type="#_x0000_t202" style="position:absolute;left:0;text-align:left;margin-left:344.6pt;margin-top:24.4pt;width:61pt;height:13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" stroked="f">
                <v:textbox inset="0,0,0,0">
                  <w:txbxContent>
                    <w:p w14:paraId="7D77706D" w14:textId="28EBD117" w:rsidR="0049321B" w:rsidRPr="00C93267" w:rsidRDefault="0049321B" w:rsidP="0049321B">
                      <w:pPr>
                        <w:spacing w:before="0" w:line="360" w:lineRule="auto"/>
                        <w:rPr>
                          <w:sz w:val="9"/>
                          <w:szCs w:val="9"/>
                        </w:rPr>
                      </w:pPr>
                      <w:r>
                        <w:rPr>
                          <w:sz w:val="9"/>
                          <w:szCs w:val="9"/>
                        </w:rPr>
                        <w:t>3</w:t>
                      </w:r>
                      <w:r w:rsidRPr="00C93267">
                        <w:rPr>
                          <w:sz w:val="9"/>
                          <w:szCs w:val="9"/>
                        </w:rPr>
                        <w:t>0 cm dans le Tableau 22-1</w:t>
                      </w:r>
                      <w:r>
                        <w:rPr>
                          <w:sz w:val="9"/>
                          <w:szCs w:val="9"/>
                        </w:rPr>
                        <w:t>D</w:t>
                      </w:r>
                    </w:p>
                    <w:p w14:paraId="6A210247" w14:textId="1A81BA98" w:rsidR="0049321B" w:rsidRPr="00C93267" w:rsidRDefault="0049321B" w:rsidP="0049321B">
                      <w:pPr>
                        <w:spacing w:before="0" w:line="360" w:lineRule="auto"/>
                        <w:rPr>
                          <w:sz w:val="9"/>
                          <w:szCs w:val="9"/>
                        </w:rPr>
                      </w:pPr>
                      <w:r>
                        <w:rPr>
                          <w:sz w:val="9"/>
                          <w:szCs w:val="9"/>
                        </w:rPr>
                        <w:t>45 cm</w:t>
                      </w:r>
                      <w:r w:rsidRPr="00C93267">
                        <w:rPr>
                          <w:sz w:val="9"/>
                          <w:szCs w:val="9"/>
                        </w:rPr>
                        <w:t xml:space="preserve"> dans le Tableau 22-1</w:t>
                      </w:r>
                      <w:r>
                        <w:rPr>
                          <w:sz w:val="9"/>
                          <w:szCs w:val="9"/>
                        </w:rPr>
                        <w:t>D</w:t>
                      </w:r>
                    </w:p>
                    <w:p w14:paraId="0F61413A" w14:textId="35FB5D3D" w:rsidR="0049321B" w:rsidRPr="00C93267" w:rsidRDefault="0049321B" w:rsidP="0049321B">
                      <w:pPr>
                        <w:spacing w:before="0" w:line="360" w:lineRule="auto"/>
                        <w:rPr>
                          <w:sz w:val="9"/>
                          <w:szCs w:val="9"/>
                        </w:rPr>
                      </w:pPr>
                      <w:r>
                        <w:rPr>
                          <w:sz w:val="9"/>
                          <w:szCs w:val="9"/>
                        </w:rPr>
                        <w:t>60</w:t>
                      </w:r>
                      <w:r w:rsidRPr="00C93267">
                        <w:rPr>
                          <w:sz w:val="9"/>
                          <w:szCs w:val="9"/>
                        </w:rPr>
                        <w:t xml:space="preserve"> </w:t>
                      </w:r>
                      <w:r>
                        <w:rPr>
                          <w:sz w:val="9"/>
                          <w:szCs w:val="9"/>
                        </w:rPr>
                        <w:t>c</w:t>
                      </w:r>
                      <w:r w:rsidRPr="00C93267">
                        <w:rPr>
                          <w:sz w:val="9"/>
                          <w:szCs w:val="9"/>
                        </w:rPr>
                        <w:t>m dans le Tableau 22-1</w:t>
                      </w:r>
                      <w:r>
                        <w:rPr>
                          <w:sz w:val="9"/>
                          <w:szCs w:val="9"/>
                        </w:rPr>
                        <w:t>D</w:t>
                      </w:r>
                    </w:p>
                    <w:p w14:paraId="211002F9" w14:textId="578695FA" w:rsidR="0049321B" w:rsidRDefault="0049321B" w:rsidP="0049321B">
                      <w:pPr>
                        <w:spacing w:before="0" w:line="360" w:lineRule="auto"/>
                        <w:rPr>
                          <w:sz w:val="9"/>
                          <w:szCs w:val="9"/>
                        </w:rPr>
                      </w:pPr>
                      <w:r>
                        <w:rPr>
                          <w:sz w:val="9"/>
                          <w:szCs w:val="9"/>
                        </w:rPr>
                        <w:t>90</w:t>
                      </w:r>
                      <w:r w:rsidRPr="00C93267">
                        <w:rPr>
                          <w:sz w:val="9"/>
                          <w:szCs w:val="9"/>
                        </w:rPr>
                        <w:t xml:space="preserve"> </w:t>
                      </w:r>
                      <w:r>
                        <w:rPr>
                          <w:sz w:val="9"/>
                          <w:szCs w:val="9"/>
                        </w:rPr>
                        <w:t>c</w:t>
                      </w:r>
                      <w:r w:rsidRPr="00C93267">
                        <w:rPr>
                          <w:sz w:val="9"/>
                          <w:szCs w:val="9"/>
                        </w:rPr>
                        <w:t>m dans le Tableau 22-1</w:t>
                      </w:r>
                      <w:r>
                        <w:rPr>
                          <w:sz w:val="9"/>
                          <w:szCs w:val="9"/>
                        </w:rPr>
                        <w:t>D</w:t>
                      </w:r>
                    </w:p>
                    <w:p w14:paraId="613483A4" w14:textId="4FF68F45" w:rsidR="0049321B" w:rsidRDefault="0049321B" w:rsidP="0049321B">
                      <w:pPr>
                        <w:spacing w:before="0" w:line="360" w:lineRule="auto"/>
                        <w:rPr>
                          <w:sz w:val="9"/>
                          <w:szCs w:val="9"/>
                        </w:rPr>
                      </w:pPr>
                      <w:r>
                        <w:rPr>
                          <w:sz w:val="9"/>
                          <w:szCs w:val="9"/>
                        </w:rPr>
                        <w:t xml:space="preserve">1,2 m </w:t>
                      </w:r>
                      <w:r w:rsidRPr="00C93267">
                        <w:rPr>
                          <w:sz w:val="9"/>
                          <w:szCs w:val="9"/>
                        </w:rPr>
                        <w:t>dans le Tableau 22-1</w:t>
                      </w:r>
                      <w:r>
                        <w:rPr>
                          <w:sz w:val="9"/>
                          <w:szCs w:val="9"/>
                        </w:rPr>
                        <w:t>D</w:t>
                      </w:r>
                    </w:p>
                    <w:p w14:paraId="40E33151" w14:textId="146649F4" w:rsidR="0049321B" w:rsidRDefault="0049321B" w:rsidP="0049321B">
                      <w:pPr>
                        <w:spacing w:before="0" w:line="360" w:lineRule="auto"/>
                        <w:rPr>
                          <w:sz w:val="9"/>
                          <w:szCs w:val="9"/>
                        </w:rPr>
                      </w:pPr>
                      <w:r>
                        <w:rPr>
                          <w:sz w:val="9"/>
                          <w:szCs w:val="9"/>
                        </w:rPr>
                        <w:t xml:space="preserve">1,8 m </w:t>
                      </w:r>
                      <w:r w:rsidRPr="00C93267">
                        <w:rPr>
                          <w:sz w:val="9"/>
                          <w:szCs w:val="9"/>
                        </w:rPr>
                        <w:t>dans le Tableau 22-1</w:t>
                      </w:r>
                      <w:r>
                        <w:rPr>
                          <w:sz w:val="9"/>
                          <w:szCs w:val="9"/>
                        </w:rPr>
                        <w:t>D</w:t>
                      </w:r>
                    </w:p>
                    <w:p w14:paraId="332FC885" w14:textId="2BCB4626" w:rsidR="0049321B" w:rsidRDefault="0049321B" w:rsidP="0049321B">
                      <w:pPr>
                        <w:spacing w:before="0" w:line="360" w:lineRule="auto"/>
                        <w:rPr>
                          <w:sz w:val="9"/>
                          <w:szCs w:val="9"/>
                        </w:rPr>
                      </w:pPr>
                      <w:r>
                        <w:rPr>
                          <w:sz w:val="9"/>
                          <w:szCs w:val="9"/>
                        </w:rPr>
                        <w:t xml:space="preserve">2,4 m </w:t>
                      </w:r>
                      <w:r w:rsidRPr="00C93267">
                        <w:rPr>
                          <w:sz w:val="9"/>
                          <w:szCs w:val="9"/>
                        </w:rPr>
                        <w:t>dans le Tableau 22-1</w:t>
                      </w:r>
                      <w:r>
                        <w:rPr>
                          <w:sz w:val="9"/>
                          <w:szCs w:val="9"/>
                        </w:rPr>
                        <w:t>D</w:t>
                      </w:r>
                    </w:p>
                    <w:p w14:paraId="304EE4F7" w14:textId="6C9A055A" w:rsidR="0049321B" w:rsidRDefault="0049321B" w:rsidP="0049321B">
                      <w:pPr>
                        <w:spacing w:before="0" w:line="360" w:lineRule="auto"/>
                        <w:rPr>
                          <w:sz w:val="9"/>
                          <w:szCs w:val="9"/>
                        </w:rPr>
                      </w:pPr>
                      <w:r>
                        <w:rPr>
                          <w:sz w:val="9"/>
                          <w:szCs w:val="9"/>
                        </w:rPr>
                        <w:t xml:space="preserve">3 m </w:t>
                      </w:r>
                      <w:r w:rsidRPr="00C93267">
                        <w:rPr>
                          <w:sz w:val="9"/>
                          <w:szCs w:val="9"/>
                        </w:rPr>
                        <w:t>dans le Tableau 22-1</w:t>
                      </w:r>
                      <w:r>
                        <w:rPr>
                          <w:sz w:val="9"/>
                          <w:szCs w:val="9"/>
                        </w:rPr>
                        <w:t>D</w:t>
                      </w:r>
                    </w:p>
                    <w:p w14:paraId="6BCC4F2B" w14:textId="021AFF18" w:rsidR="0049321B" w:rsidRPr="00C93267" w:rsidRDefault="0049321B" w:rsidP="0049321B">
                      <w:pPr>
                        <w:spacing w:before="0" w:line="360" w:lineRule="auto"/>
                        <w:rPr>
                          <w:sz w:val="9"/>
                          <w:szCs w:val="9"/>
                        </w:rPr>
                      </w:pPr>
                      <w:r>
                        <w:rPr>
                          <w:sz w:val="9"/>
                          <w:szCs w:val="9"/>
                        </w:rPr>
                        <w:t>30 cm dans la Rés</w:t>
                      </w:r>
                      <w:r w:rsidR="008F3B1A">
                        <w:rPr>
                          <w:sz w:val="9"/>
                          <w:szCs w:val="9"/>
                        </w:rPr>
                        <w:t>olution</w:t>
                      </w:r>
                      <w:r>
                        <w:rPr>
                          <w:sz w:val="9"/>
                          <w:szCs w:val="9"/>
                        </w:rPr>
                        <w:t xml:space="preserve"> 76</w:t>
                      </w:r>
                    </w:p>
                    <w:p w14:paraId="2F37FBB8" w14:textId="0097DAEB" w:rsidR="0049321B" w:rsidRPr="00C93267" w:rsidRDefault="0049321B" w:rsidP="0049321B">
                      <w:pPr>
                        <w:spacing w:before="0" w:line="360" w:lineRule="auto"/>
                        <w:rPr>
                          <w:sz w:val="9"/>
                          <w:szCs w:val="9"/>
                        </w:rPr>
                      </w:pPr>
                      <w:r>
                        <w:rPr>
                          <w:sz w:val="9"/>
                          <w:szCs w:val="9"/>
                        </w:rPr>
                        <w:t>45</w:t>
                      </w:r>
                      <w:r w:rsidRPr="00C93267">
                        <w:rPr>
                          <w:sz w:val="9"/>
                          <w:szCs w:val="9"/>
                        </w:rPr>
                        <w:t xml:space="preserve"> cm dans la Rés</w:t>
                      </w:r>
                      <w:r w:rsidR="008F3B1A">
                        <w:rPr>
                          <w:sz w:val="9"/>
                          <w:szCs w:val="9"/>
                        </w:rPr>
                        <w:t xml:space="preserve">olution </w:t>
                      </w:r>
                      <w:r w:rsidRPr="00C93267">
                        <w:rPr>
                          <w:sz w:val="9"/>
                          <w:szCs w:val="9"/>
                        </w:rPr>
                        <w:t>76</w:t>
                      </w:r>
                    </w:p>
                    <w:p w14:paraId="11C09731" w14:textId="2BDD5045" w:rsidR="0049321B" w:rsidRPr="00C93267" w:rsidRDefault="0049321B" w:rsidP="0049321B">
                      <w:pPr>
                        <w:spacing w:before="0" w:line="360" w:lineRule="auto"/>
                        <w:rPr>
                          <w:sz w:val="9"/>
                          <w:szCs w:val="9"/>
                        </w:rPr>
                      </w:pPr>
                      <w:r>
                        <w:rPr>
                          <w:sz w:val="9"/>
                          <w:szCs w:val="9"/>
                        </w:rPr>
                        <w:t>60</w:t>
                      </w:r>
                      <w:r w:rsidRPr="00C93267">
                        <w:rPr>
                          <w:sz w:val="9"/>
                          <w:szCs w:val="9"/>
                        </w:rPr>
                        <w:t xml:space="preserve"> </w:t>
                      </w:r>
                      <w:r>
                        <w:rPr>
                          <w:sz w:val="9"/>
                          <w:szCs w:val="9"/>
                        </w:rPr>
                        <w:t>c</w:t>
                      </w:r>
                      <w:r w:rsidRPr="00C93267">
                        <w:rPr>
                          <w:sz w:val="9"/>
                          <w:szCs w:val="9"/>
                        </w:rPr>
                        <w:t xml:space="preserve">m dans la </w:t>
                      </w:r>
                      <w:r w:rsidR="008F3B1A" w:rsidRPr="00C93267">
                        <w:rPr>
                          <w:sz w:val="9"/>
                          <w:szCs w:val="9"/>
                        </w:rPr>
                        <w:t>Rés</w:t>
                      </w:r>
                      <w:r w:rsidR="008F3B1A">
                        <w:rPr>
                          <w:sz w:val="9"/>
                          <w:szCs w:val="9"/>
                        </w:rPr>
                        <w:t xml:space="preserve">olution </w:t>
                      </w:r>
                      <w:r w:rsidR="008F3B1A" w:rsidRPr="00C93267">
                        <w:rPr>
                          <w:sz w:val="9"/>
                          <w:szCs w:val="9"/>
                        </w:rPr>
                        <w:t>76</w:t>
                      </w:r>
                    </w:p>
                    <w:p w14:paraId="2474E202" w14:textId="77251217" w:rsidR="0049321B" w:rsidRPr="00C93267" w:rsidRDefault="0049321B" w:rsidP="0049321B">
                      <w:pPr>
                        <w:spacing w:before="0" w:line="360" w:lineRule="auto"/>
                        <w:rPr>
                          <w:sz w:val="9"/>
                          <w:szCs w:val="9"/>
                        </w:rPr>
                      </w:pPr>
                      <w:r>
                        <w:rPr>
                          <w:sz w:val="9"/>
                          <w:szCs w:val="9"/>
                        </w:rPr>
                        <w:t>90</w:t>
                      </w:r>
                      <w:r w:rsidRPr="00C93267">
                        <w:rPr>
                          <w:sz w:val="9"/>
                          <w:szCs w:val="9"/>
                        </w:rPr>
                        <w:t xml:space="preserve"> </w:t>
                      </w:r>
                      <w:r>
                        <w:rPr>
                          <w:sz w:val="9"/>
                          <w:szCs w:val="9"/>
                        </w:rPr>
                        <w:t>c</w:t>
                      </w:r>
                      <w:r w:rsidRPr="00C93267">
                        <w:rPr>
                          <w:sz w:val="9"/>
                          <w:szCs w:val="9"/>
                        </w:rPr>
                        <w:t xml:space="preserve">m dans la </w:t>
                      </w:r>
                      <w:r w:rsidR="008F3B1A" w:rsidRPr="00C93267">
                        <w:rPr>
                          <w:sz w:val="9"/>
                          <w:szCs w:val="9"/>
                        </w:rPr>
                        <w:t>Rés</w:t>
                      </w:r>
                      <w:r w:rsidR="008F3B1A">
                        <w:rPr>
                          <w:sz w:val="9"/>
                          <w:szCs w:val="9"/>
                        </w:rPr>
                        <w:t xml:space="preserve">olution </w:t>
                      </w:r>
                      <w:r w:rsidR="008F3B1A" w:rsidRPr="00C93267">
                        <w:rPr>
                          <w:sz w:val="9"/>
                          <w:szCs w:val="9"/>
                        </w:rPr>
                        <w:t>76</w:t>
                      </w:r>
                    </w:p>
                    <w:p w14:paraId="330F2AD6" w14:textId="0DE9E931" w:rsidR="0049321B" w:rsidRDefault="0049321B" w:rsidP="0049321B">
                      <w:pPr>
                        <w:spacing w:before="0" w:line="360" w:lineRule="auto"/>
                        <w:rPr>
                          <w:sz w:val="9"/>
                          <w:szCs w:val="9"/>
                        </w:rPr>
                      </w:pPr>
                      <w:r w:rsidRPr="00C93267">
                        <w:rPr>
                          <w:sz w:val="9"/>
                          <w:szCs w:val="9"/>
                        </w:rPr>
                        <w:t>1</w:t>
                      </w:r>
                      <w:r>
                        <w:rPr>
                          <w:sz w:val="9"/>
                          <w:szCs w:val="9"/>
                        </w:rPr>
                        <w:t>,2</w:t>
                      </w:r>
                      <w:r w:rsidRPr="00C93267">
                        <w:rPr>
                          <w:sz w:val="9"/>
                          <w:szCs w:val="9"/>
                        </w:rPr>
                        <w:t xml:space="preserve"> m dans la </w:t>
                      </w:r>
                      <w:r w:rsidR="008F3B1A" w:rsidRPr="00C93267">
                        <w:rPr>
                          <w:sz w:val="9"/>
                          <w:szCs w:val="9"/>
                        </w:rPr>
                        <w:t>Rés</w:t>
                      </w:r>
                      <w:r w:rsidR="008F3B1A">
                        <w:rPr>
                          <w:sz w:val="9"/>
                          <w:szCs w:val="9"/>
                        </w:rPr>
                        <w:t xml:space="preserve">olution </w:t>
                      </w:r>
                      <w:r w:rsidR="008F3B1A" w:rsidRPr="00C93267">
                        <w:rPr>
                          <w:sz w:val="9"/>
                          <w:szCs w:val="9"/>
                        </w:rPr>
                        <w:t>76</w:t>
                      </w:r>
                    </w:p>
                    <w:p w14:paraId="6FE5A9EC" w14:textId="1B06B673" w:rsidR="0049321B" w:rsidRDefault="0049321B" w:rsidP="0049321B">
                      <w:pPr>
                        <w:spacing w:before="0" w:line="360" w:lineRule="auto"/>
                        <w:rPr>
                          <w:sz w:val="9"/>
                          <w:szCs w:val="9"/>
                        </w:rPr>
                      </w:pPr>
                      <w:r>
                        <w:rPr>
                          <w:sz w:val="9"/>
                          <w:szCs w:val="9"/>
                        </w:rPr>
                        <w:t xml:space="preserve">1,8 m dans la </w:t>
                      </w:r>
                      <w:r w:rsidR="008F3B1A" w:rsidRPr="00C93267">
                        <w:rPr>
                          <w:sz w:val="9"/>
                          <w:szCs w:val="9"/>
                        </w:rPr>
                        <w:t>Rés</w:t>
                      </w:r>
                      <w:r w:rsidR="008F3B1A">
                        <w:rPr>
                          <w:sz w:val="9"/>
                          <w:szCs w:val="9"/>
                        </w:rPr>
                        <w:t xml:space="preserve">olution </w:t>
                      </w:r>
                      <w:r w:rsidR="008F3B1A" w:rsidRPr="00C93267">
                        <w:rPr>
                          <w:sz w:val="9"/>
                          <w:szCs w:val="9"/>
                        </w:rPr>
                        <w:t>76</w:t>
                      </w:r>
                    </w:p>
                    <w:p w14:paraId="42FEEB4B" w14:textId="60C4FC9D" w:rsidR="0049321B" w:rsidRDefault="0049321B" w:rsidP="0049321B">
                      <w:pPr>
                        <w:spacing w:before="0" w:line="360" w:lineRule="auto"/>
                        <w:rPr>
                          <w:sz w:val="9"/>
                          <w:szCs w:val="9"/>
                        </w:rPr>
                      </w:pPr>
                      <w:r>
                        <w:rPr>
                          <w:sz w:val="9"/>
                          <w:szCs w:val="9"/>
                        </w:rPr>
                        <w:t xml:space="preserve">2,4 cm dans la </w:t>
                      </w:r>
                      <w:r w:rsidR="008F3B1A" w:rsidRPr="00C93267">
                        <w:rPr>
                          <w:sz w:val="9"/>
                          <w:szCs w:val="9"/>
                        </w:rPr>
                        <w:t>Rés</w:t>
                      </w:r>
                      <w:r w:rsidR="008F3B1A">
                        <w:rPr>
                          <w:sz w:val="9"/>
                          <w:szCs w:val="9"/>
                        </w:rPr>
                        <w:t xml:space="preserve">olution </w:t>
                      </w:r>
                      <w:r w:rsidR="008F3B1A" w:rsidRPr="00C93267">
                        <w:rPr>
                          <w:sz w:val="9"/>
                          <w:szCs w:val="9"/>
                        </w:rPr>
                        <w:t>76</w:t>
                      </w:r>
                    </w:p>
                    <w:p w14:paraId="4BF139A0" w14:textId="47BFCDEA" w:rsidR="0049321B" w:rsidRDefault="0049321B" w:rsidP="0049321B">
                      <w:pPr>
                        <w:spacing w:before="0" w:line="360" w:lineRule="auto"/>
                        <w:rPr>
                          <w:sz w:val="9"/>
                          <w:szCs w:val="9"/>
                        </w:rPr>
                      </w:pPr>
                      <w:r>
                        <w:rPr>
                          <w:sz w:val="9"/>
                          <w:szCs w:val="9"/>
                        </w:rPr>
                        <w:t xml:space="preserve">3 m dans la </w:t>
                      </w:r>
                      <w:r w:rsidR="008F3B1A" w:rsidRPr="00C93267">
                        <w:rPr>
                          <w:sz w:val="9"/>
                          <w:szCs w:val="9"/>
                        </w:rPr>
                        <w:t>Rés</w:t>
                      </w:r>
                      <w:r w:rsidR="008F3B1A">
                        <w:rPr>
                          <w:sz w:val="9"/>
                          <w:szCs w:val="9"/>
                        </w:rPr>
                        <w:t xml:space="preserve">olution </w:t>
                      </w:r>
                      <w:r w:rsidR="008F3B1A" w:rsidRPr="00C93267">
                        <w:rPr>
                          <w:sz w:val="9"/>
                          <w:szCs w:val="9"/>
                        </w:rPr>
                        <w:t>76</w:t>
                      </w:r>
                    </w:p>
                    <w:p w14:paraId="18AADD06" w14:textId="3E9C782A" w:rsidR="0049321B" w:rsidRPr="000E198A" w:rsidRDefault="0049321B" w:rsidP="0049321B">
                      <w:pPr>
                        <w:spacing w:before="0" w:line="360" w:lineRule="auto"/>
                        <w:rPr>
                          <w:sz w:val="10"/>
                          <w:szCs w:val="8"/>
                        </w:rPr>
                      </w:pPr>
                      <w:r w:rsidRPr="0049321B">
                        <w:rPr>
                          <w:i/>
                          <w:iCs/>
                          <w:sz w:val="9"/>
                          <w:szCs w:val="9"/>
                        </w:rPr>
                        <w:t>I</w:t>
                      </w:r>
                      <w:r w:rsidRPr="0049321B">
                        <w:rPr>
                          <w:sz w:val="9"/>
                          <w:szCs w:val="9"/>
                        </w:rPr>
                        <w:t>/</w:t>
                      </w:r>
                      <w:r w:rsidRPr="0049321B">
                        <w:rPr>
                          <w:i/>
                          <w:iCs/>
                          <w:sz w:val="9"/>
                          <w:szCs w:val="9"/>
                        </w:rPr>
                        <w:t>N</w:t>
                      </w:r>
                      <w:r w:rsidRPr="00C93267">
                        <w:rPr>
                          <w:sz w:val="9"/>
                          <w:szCs w:val="9"/>
                        </w:rPr>
                        <w:t>: –12,2 dB</w:t>
                      </w:r>
                    </w:p>
                  </w:txbxContent>
                </v:textbox>
              </v:shape>
            </w:pict>
          </mc:Fallback>
        </mc:AlternateContent>
      </w:r>
      <w:r w:rsidR="0049321B" w:rsidRPr="004A1033">
        <mc:AlternateContent>
          <mc:Choice Requires="wps">
            <w:drawing>
              <wp:anchor distT="45720" distB="45720" distL="114300" distR="114300" simplePos="0" relativeHeight="251669504" behindDoc="0" locked="0" layoutInCell="1" allowOverlap="1" wp14:anchorId="66F5619D" wp14:editId="30B8C3E9">
                <wp:simplePos x="0" y="0"/>
                <wp:positionH relativeFrom="column">
                  <wp:posOffset>2504146</wp:posOffset>
                </wp:positionH>
                <wp:positionV relativeFrom="paragraph">
                  <wp:posOffset>39551</wp:posOffset>
                </wp:positionV>
                <wp:extent cx="1356432" cy="138309"/>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432" cy="138309"/>
                        </a:xfrm>
                        <a:prstGeom prst="rect">
                          <a:avLst/>
                        </a:prstGeom>
                        <a:solidFill>
                          <a:srgbClr val="FFFFFF"/>
                        </a:solidFill>
                        <a:ln w="9525">
                          <a:noFill/>
                          <a:miter lim="800000"/>
                          <a:headEnd/>
                          <a:tailEnd/>
                        </a:ln>
                      </wps:spPr>
                      <wps:txbx>
                        <w:txbxContent>
                          <w:p w14:paraId="4A471561" w14:textId="77777777" w:rsidR="0049321B" w:rsidRPr="000E198A" w:rsidRDefault="0049321B" w:rsidP="0049321B">
                            <w:pPr>
                              <w:spacing w:before="0"/>
                              <w:rPr>
                                <w:sz w:val="12"/>
                                <w:szCs w:val="8"/>
                              </w:rPr>
                            </w:pPr>
                            <w:r w:rsidRPr="0049321B">
                              <w:rPr>
                                <w:i/>
                                <w:iCs/>
                                <w:sz w:val="12"/>
                                <w:szCs w:val="8"/>
                              </w:rPr>
                              <w:t>I</w:t>
                            </w:r>
                            <w:r w:rsidRPr="0049321B">
                              <w:rPr>
                                <w:sz w:val="12"/>
                                <w:szCs w:val="8"/>
                              </w:rPr>
                              <w:t>/</w:t>
                            </w:r>
                            <w:r w:rsidRPr="0049321B">
                              <w:rPr>
                                <w:i/>
                                <w:iCs/>
                                <w:sz w:val="12"/>
                                <w:szCs w:val="8"/>
                              </w:rPr>
                              <w:t>N</w:t>
                            </w:r>
                            <w:r w:rsidRPr="000E198A">
                              <w:rPr>
                                <w:sz w:val="12"/>
                                <w:szCs w:val="8"/>
                              </w:rPr>
                              <w:t xml:space="preserve"> en fonction du temps de dépassement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5619D" id="_x0000_s1037" type="#_x0000_t202" style="position:absolute;left:0;text-align:left;margin-left:197.2pt;margin-top:3.1pt;width:106.8pt;height:10.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" stroked="f">
                <v:textbox inset="0,0,0,0">
                  <w:txbxContent>
                    <w:p w14:paraId="4A471561" w14:textId="77777777" w:rsidR="0049321B" w:rsidRPr="000E198A" w:rsidRDefault="0049321B" w:rsidP="0049321B">
                      <w:pPr>
                        <w:spacing w:before="0"/>
                        <w:rPr>
                          <w:sz w:val="12"/>
                          <w:szCs w:val="8"/>
                        </w:rPr>
                      </w:pPr>
                      <w:r w:rsidRPr="0049321B">
                        <w:rPr>
                          <w:i/>
                          <w:iCs/>
                          <w:sz w:val="12"/>
                          <w:szCs w:val="8"/>
                        </w:rPr>
                        <w:t>I</w:t>
                      </w:r>
                      <w:r w:rsidRPr="0049321B">
                        <w:rPr>
                          <w:sz w:val="12"/>
                          <w:szCs w:val="8"/>
                        </w:rPr>
                        <w:t>/</w:t>
                      </w:r>
                      <w:r w:rsidRPr="0049321B">
                        <w:rPr>
                          <w:i/>
                          <w:iCs/>
                          <w:sz w:val="12"/>
                          <w:szCs w:val="8"/>
                        </w:rPr>
                        <w:t>N</w:t>
                      </w:r>
                      <w:r w:rsidRPr="000E198A">
                        <w:rPr>
                          <w:sz w:val="12"/>
                          <w:szCs w:val="8"/>
                        </w:rPr>
                        <w:t xml:space="preserve"> en fonction du temps de dépassement</w:t>
                      </w:r>
                    </w:p>
                  </w:txbxContent>
                </v:textbox>
              </v:shape>
            </w:pict>
          </mc:Fallback>
        </mc:AlternateContent>
      </w:r>
      <w:r w:rsidR="00146620" w:rsidRPr="004A1033">
        <w:drawing>
          <wp:inline distT="0" distB="0" distL="0" distR="0" wp14:anchorId="01927813" wp14:editId="6463D60B">
            <wp:extent cx="4279900" cy="2798445"/>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9900" cy="2798445"/>
                    </a:xfrm>
                    <a:prstGeom prst="rect">
                      <a:avLst/>
                    </a:prstGeom>
                    <a:noFill/>
                  </pic:spPr>
                </pic:pic>
              </a:graphicData>
            </a:graphic>
          </wp:inline>
        </w:drawing>
      </w:r>
    </w:p>
    <w:p w14:paraId="5DEE2D56" w14:textId="010AAEF5" w:rsidR="00146620" w:rsidRPr="004A1033" w:rsidRDefault="00146620" w:rsidP="0049321B">
      <w:pPr>
        <w:pStyle w:val="Normalaftertitle"/>
        <w:rPr>
          <w:lang w:eastAsia="ja-JP"/>
        </w:rPr>
      </w:pPr>
      <w:r w:rsidRPr="004A1033">
        <w:rPr>
          <w:lang w:eastAsia="ja-JP"/>
        </w:rPr>
        <w:t xml:space="preserve">Comme expliqué ci-dessus, l'UIT-R et ses États Membres, au titre du point 1.13 de l'ordre du jour de la CMR-2000, sont convenus de définir les limites d'epfd au motif </w:t>
      </w:r>
      <w:r w:rsidRPr="004A1033">
        <w:rPr>
          <w:u w:val="single"/>
          <w:lang w:eastAsia="ja-JP"/>
        </w:rPr>
        <w:t>qu'il fallait prévoir un mécanisme réglementaire propre à garantir la protection des réseaux OSG du SFS/SRS vis</w:t>
      </w:r>
      <w:r w:rsidR="00B41773" w:rsidRPr="004A1033">
        <w:rPr>
          <w:u w:val="single"/>
          <w:lang w:eastAsia="ja-JP"/>
        </w:rPr>
        <w:noBreakHyphen/>
      </w:r>
      <w:r w:rsidRPr="004A1033">
        <w:rPr>
          <w:u w:val="single"/>
          <w:lang w:eastAsia="ja-JP"/>
        </w:rPr>
        <w:t>à</w:t>
      </w:r>
      <w:r w:rsidR="00B41773" w:rsidRPr="004A1033">
        <w:rPr>
          <w:u w:val="single"/>
          <w:lang w:eastAsia="ja-JP"/>
        </w:rPr>
        <w:noBreakHyphen/>
      </w:r>
      <w:r w:rsidRPr="004A1033">
        <w:rPr>
          <w:u w:val="single"/>
          <w:lang w:eastAsia="ja-JP"/>
        </w:rPr>
        <w:t xml:space="preserve">vis des brouillages cumulatifs maximaux </w:t>
      </w:r>
      <w:r w:rsidR="00295E98" w:rsidRPr="004A1033">
        <w:rPr>
          <w:u w:val="single"/>
          <w:lang w:eastAsia="ja-JP"/>
        </w:rPr>
        <w:t xml:space="preserve">causés </w:t>
      </w:r>
      <w:r w:rsidRPr="004A1033">
        <w:rPr>
          <w:u w:val="single"/>
          <w:lang w:eastAsia="ja-JP"/>
        </w:rPr>
        <w:t>par plusieurs systèmes du SFS non OSG dans les bandes de fréquences où des limites d'epfd avaient été adoptées</w:t>
      </w:r>
      <w:r w:rsidRPr="004A1033">
        <w:rPr>
          <w:lang w:eastAsia="ja-JP"/>
        </w:rPr>
        <w:t>. Il n'est donc pas judicieux de se contenter de comparer les gabarits des limites d'epfd↓ pour une seule source de brouillage avec certains critères de protection couramment utilisés pour les réseaux OSG du</w:t>
      </w:r>
      <w:r w:rsidR="008F3B1A" w:rsidRPr="004A1033">
        <w:rPr>
          <w:lang w:eastAsia="ja-JP"/>
        </w:rPr>
        <w:t xml:space="preserve"> </w:t>
      </w:r>
      <w:r w:rsidRPr="004A1033">
        <w:rPr>
          <w:lang w:eastAsia="ja-JP"/>
        </w:rPr>
        <w:t>SFS/SRS, comme dans la Recommandation UIT-R S.1432. À cet égard, les limites d'epfd actuelles indiquées dans la Résolution</w:t>
      </w:r>
      <w:r w:rsidR="008F3B1A" w:rsidRPr="004A1033">
        <w:rPr>
          <w:lang w:eastAsia="ja-JP"/>
        </w:rPr>
        <w:t> </w:t>
      </w:r>
      <w:r w:rsidRPr="004A1033">
        <w:rPr>
          <w:b/>
          <w:bCs/>
          <w:lang w:eastAsia="ja-JP"/>
        </w:rPr>
        <w:t>76 (Rév.CMR-15)</w:t>
      </w:r>
      <w:r w:rsidRPr="004A1033">
        <w:rPr>
          <w:lang w:eastAsia="ja-JP"/>
        </w:rPr>
        <w:t xml:space="preserve"> et dans l'Article </w:t>
      </w:r>
      <w:r w:rsidRPr="004A1033">
        <w:rPr>
          <w:b/>
          <w:bCs/>
          <w:lang w:eastAsia="ja-JP"/>
        </w:rPr>
        <w:t>22</w:t>
      </w:r>
      <w:r w:rsidRPr="004A1033">
        <w:rPr>
          <w:lang w:eastAsia="ja-JP"/>
        </w:rPr>
        <w:t xml:space="preserve"> du RR sont incontestablement suffisantes pour protéger comme il se doit les réseaux à satellite OSG du</w:t>
      </w:r>
      <w:r w:rsidR="008F3B1A" w:rsidRPr="004A1033">
        <w:rPr>
          <w:lang w:eastAsia="ja-JP"/>
        </w:rPr>
        <w:t xml:space="preserve"> </w:t>
      </w:r>
      <w:r w:rsidRPr="004A1033">
        <w:rPr>
          <w:lang w:eastAsia="ja-JP"/>
        </w:rPr>
        <w:t>SFS/SRS vis-à-vis de tous les systèmes du</w:t>
      </w:r>
      <w:r w:rsidR="008F3B1A" w:rsidRPr="004A1033">
        <w:rPr>
          <w:lang w:eastAsia="ja-JP"/>
        </w:rPr>
        <w:t> </w:t>
      </w:r>
      <w:r w:rsidRPr="004A1033">
        <w:rPr>
          <w:lang w:eastAsia="ja-JP"/>
        </w:rPr>
        <w:t>SFS non OSG, lesquels pris individuellement doivent respecter les limites indiquées dans l'Article</w:t>
      </w:r>
      <w:r w:rsidR="008F3B1A" w:rsidRPr="004A1033">
        <w:rPr>
          <w:lang w:eastAsia="ja-JP"/>
        </w:rPr>
        <w:t> </w:t>
      </w:r>
      <w:r w:rsidRPr="004A1033">
        <w:rPr>
          <w:b/>
          <w:bCs/>
          <w:lang w:eastAsia="ja-JP"/>
        </w:rPr>
        <w:t>22</w:t>
      </w:r>
      <w:r w:rsidRPr="004A1033">
        <w:rPr>
          <w:lang w:eastAsia="ja-JP"/>
        </w:rPr>
        <w:t xml:space="preserve"> du RR, en particulier dans le numéro </w:t>
      </w:r>
      <w:r w:rsidRPr="004A1033">
        <w:rPr>
          <w:b/>
          <w:bCs/>
          <w:lang w:eastAsia="ja-JP"/>
        </w:rPr>
        <w:t>22.2</w:t>
      </w:r>
      <w:r w:rsidRPr="004A1033">
        <w:rPr>
          <w:lang w:eastAsia="ja-JP"/>
        </w:rPr>
        <w:t xml:space="preserve"> du RR en principe, tout en accordant une souplesse raisonnable aux systèmes du SFS non OSG.</w:t>
      </w:r>
    </w:p>
    <w:p w14:paraId="154E24D8" w14:textId="60D2F123" w:rsidR="00146620" w:rsidRPr="004A1033" w:rsidRDefault="00146620" w:rsidP="0049321B">
      <w:pPr>
        <w:rPr>
          <w:lang w:eastAsia="ja-JP"/>
        </w:rPr>
      </w:pPr>
      <w:r w:rsidRPr="004A1033">
        <w:rPr>
          <w:lang w:eastAsia="ja-JP"/>
        </w:rPr>
        <w:t>Bien que la CMR-19 ait élaboré un cadre de partage quelque peu différent pour les bandes</w:t>
      </w:r>
      <w:r w:rsidR="008F3B1A" w:rsidRPr="004A1033">
        <w:rPr>
          <w:lang w:eastAsia="ja-JP"/>
        </w:rPr>
        <w:t> </w:t>
      </w:r>
      <w:r w:rsidRPr="004A1033">
        <w:rPr>
          <w:lang w:eastAsia="ja-JP"/>
        </w:rPr>
        <w:t xml:space="preserve">Q/V, comme le montrent les numéros </w:t>
      </w:r>
      <w:r w:rsidRPr="004A1033">
        <w:rPr>
          <w:b/>
          <w:bCs/>
          <w:lang w:eastAsia="ja-JP"/>
        </w:rPr>
        <w:t>22.5L</w:t>
      </w:r>
      <w:r w:rsidRPr="004A1033">
        <w:rPr>
          <w:lang w:eastAsia="ja-JP"/>
        </w:rPr>
        <w:t xml:space="preserve"> et </w:t>
      </w:r>
      <w:r w:rsidRPr="004A1033">
        <w:rPr>
          <w:b/>
          <w:bCs/>
          <w:lang w:eastAsia="ja-JP"/>
        </w:rPr>
        <w:t>22.5M</w:t>
      </w:r>
      <w:r w:rsidRPr="004A1033">
        <w:rPr>
          <w:lang w:eastAsia="ja-JP"/>
        </w:rPr>
        <w:t xml:space="preserve"> du RR et les Résolutions </w:t>
      </w:r>
      <w:r w:rsidRPr="004A1033">
        <w:rPr>
          <w:b/>
          <w:bCs/>
          <w:lang w:eastAsia="ja-JP"/>
        </w:rPr>
        <w:t>770 (CMR-19)</w:t>
      </w:r>
      <w:r w:rsidRPr="004A1033">
        <w:rPr>
          <w:lang w:eastAsia="ja-JP"/>
        </w:rPr>
        <w:t xml:space="preserve"> et</w:t>
      </w:r>
      <w:r w:rsidR="00B96587" w:rsidRPr="004A1033">
        <w:rPr>
          <w:lang w:eastAsia="ja-JP"/>
        </w:rPr>
        <w:t xml:space="preserve"> </w:t>
      </w:r>
      <w:r w:rsidRPr="004A1033">
        <w:rPr>
          <w:b/>
          <w:bCs/>
          <w:lang w:eastAsia="ja-JP"/>
        </w:rPr>
        <w:t>769 (CMR-19)</w:t>
      </w:r>
      <w:r w:rsidRPr="004A1033">
        <w:rPr>
          <w:lang w:eastAsia="ja-JP"/>
        </w:rPr>
        <w:t xml:space="preserve"> qui leur sont associées, il est également indiqué ce qui suit dans le § 3.2.4 («Fréquences en dehors de la gamme 10-30 GHz») du Rapport final de la RPC à la CMR-2000:</w:t>
      </w:r>
    </w:p>
    <w:p w14:paraId="71E83BD2" w14:textId="77777777" w:rsidR="00146620" w:rsidRPr="004A1033" w:rsidRDefault="00146620" w:rsidP="0049321B">
      <w:pPr>
        <w:jc w:val="both"/>
        <w:rPr>
          <w:lang w:eastAsia="ja-JP"/>
        </w:rPr>
      </w:pPr>
      <w:r w:rsidRPr="004A1033">
        <w:rPr>
          <w:lang w:eastAsia="ja-JP"/>
        </w:rPr>
        <w:t>(</w:t>
      </w:r>
      <w:r w:rsidRPr="004A1033">
        <w:rPr>
          <w:i/>
          <w:iCs/>
          <w:lang w:eastAsia="ja-JP"/>
        </w:rPr>
        <w:t>Début de citation</w:t>
      </w:r>
      <w:r w:rsidRPr="004A1033">
        <w:rPr>
          <w:lang w:eastAsia="ja-JP"/>
        </w:rPr>
        <w:t>)</w:t>
      </w:r>
    </w:p>
    <w:p w14:paraId="754BE0D2" w14:textId="03B88302" w:rsidR="00146620" w:rsidRPr="004A1033" w:rsidRDefault="00146620" w:rsidP="0049321B">
      <w:pPr>
        <w:rPr>
          <w:i/>
          <w:iCs/>
        </w:rPr>
      </w:pPr>
      <w:r w:rsidRPr="004A1033">
        <w:rPr>
          <w:i/>
          <w:iCs/>
        </w:rPr>
        <w:t>Il y a des différences fondamentales entre la situation dans les bandes du SFS à 10</w:t>
      </w:r>
      <w:r w:rsidR="008F3B1A" w:rsidRPr="004A1033">
        <w:rPr>
          <w:i/>
          <w:iCs/>
        </w:rPr>
        <w:noBreakHyphen/>
      </w:r>
      <w:r w:rsidRPr="004A1033">
        <w:rPr>
          <w:i/>
          <w:iCs/>
        </w:rPr>
        <w:t>30</w:t>
      </w:r>
      <w:r w:rsidR="008F3B1A" w:rsidRPr="004A1033">
        <w:rPr>
          <w:i/>
          <w:iCs/>
        </w:rPr>
        <w:t> </w:t>
      </w:r>
      <w:r w:rsidRPr="004A1033">
        <w:rPr>
          <w:i/>
          <w:iCs/>
        </w:rPr>
        <w:t xml:space="preserve">GHz identifiées dans la Résolution </w:t>
      </w:r>
      <w:r w:rsidRPr="004A1033">
        <w:rPr>
          <w:b/>
          <w:bCs/>
          <w:i/>
          <w:iCs/>
        </w:rPr>
        <w:t>130 (CMR-97)</w:t>
      </w:r>
      <w:r w:rsidRPr="004A1033">
        <w:rPr>
          <w:i/>
          <w:iCs/>
        </w:rPr>
        <w:t xml:space="preserve">, où un service du SFS non OSG est superposé à un service du SFS OSG existant et/ou imminent et dans d'autres bandes où des systèmes OSG et non OSG du SFS commencent tout juste à être exploités. </w:t>
      </w:r>
      <w:r w:rsidRPr="004A1033">
        <w:rPr>
          <w:i/>
          <w:iCs/>
          <w:u w:val="single"/>
        </w:rPr>
        <w:t xml:space="preserve">Dans ces bandes (10-30 GHz), les systèmes OSG exploités sont très nombreux et les opérateurs de ces systèmes n'ont guère de souplesse pour s'adapter à l'introduction de systèmes non OSG. Dans ces bandes, les systèmes non OSG doivent donc assumer une grande partie ou la totalité de la charge de mise en œuvre des critères techniques pour protéger l'arc OSG. </w:t>
      </w:r>
      <w:r w:rsidRPr="004A1033">
        <w:rPr>
          <w:i/>
          <w:iCs/>
        </w:rPr>
        <w:t>Dans les bandes où il y a peu, voire pas du tout, de systèmes à satellites et où des réseaux à satellite (OSG ou non OSG) commencent seulement à être notifiés à l'UIT-R, le fait que des systèmes OSG ou non OSG du SFS n'utilisent pas ou ne prévoient pas d'utiliser de façon imminente ces bandes signifie que les deux types d'opérateur devraient faire preuve d'une plus grande souplesse pour parvenir à l'équilibre nécessaire entre les considérations techniques, réglementaires et de politique qui affecteront leur environnement de partage.</w:t>
      </w:r>
    </w:p>
    <w:p w14:paraId="7AFCCA1A" w14:textId="77777777" w:rsidR="00146620" w:rsidRPr="004A1033" w:rsidRDefault="00146620" w:rsidP="0049321B">
      <w:pPr>
        <w:rPr>
          <w:i/>
          <w:iCs/>
          <w:lang w:eastAsia="ja-JP"/>
        </w:rPr>
      </w:pPr>
      <w:r w:rsidRPr="004A1033">
        <w:rPr>
          <w:lang w:eastAsia="ja-JP"/>
        </w:rPr>
        <w:t>(</w:t>
      </w:r>
      <w:r w:rsidRPr="004A1033">
        <w:rPr>
          <w:i/>
          <w:iCs/>
          <w:lang w:eastAsia="ja-JP"/>
        </w:rPr>
        <w:t>Fin de citation</w:t>
      </w:r>
      <w:r w:rsidRPr="004A1033">
        <w:rPr>
          <w:lang w:eastAsia="ja-JP"/>
        </w:rPr>
        <w:t>)</w:t>
      </w:r>
    </w:p>
    <w:p w14:paraId="4EE2445A" w14:textId="77777777" w:rsidR="00146620" w:rsidRPr="004A1033" w:rsidRDefault="00146620" w:rsidP="0049321B">
      <w:pPr>
        <w:rPr>
          <w:lang w:eastAsia="ja-JP"/>
        </w:rPr>
      </w:pPr>
      <w:r w:rsidRPr="004A1033">
        <w:rPr>
          <w:lang w:eastAsia="ja-JP"/>
        </w:rPr>
        <w:t>Le Japon estime que cette situation est toujours d'actualité.</w:t>
      </w:r>
    </w:p>
    <w:p w14:paraId="596502BE" w14:textId="77777777" w:rsidR="00146620" w:rsidRPr="004A1033" w:rsidRDefault="00146620" w:rsidP="0049321B">
      <w:pPr>
        <w:rPr>
          <w:lang w:eastAsia="ja-JP"/>
        </w:rPr>
      </w:pPr>
      <w:r w:rsidRPr="004A1033">
        <w:rPr>
          <w:rFonts w:eastAsia="MS Mincho"/>
          <w:lang w:eastAsia="ja-JP"/>
        </w:rPr>
        <w:t>Outre</w:t>
      </w:r>
      <w:r w:rsidRPr="004A1033">
        <w:rPr>
          <w:lang w:eastAsia="ja-JP"/>
        </w:rPr>
        <w:t xml:space="preserve"> les points soulevés ci-dessus, l'UIT-R a reconnu certains problèmes fondamentaux concernant l'application correcte des limites d'epfd cumulative définies dans la Résolution </w:t>
      </w:r>
      <w:r w:rsidRPr="004A1033">
        <w:rPr>
          <w:b/>
          <w:bCs/>
          <w:lang w:eastAsia="ja-JP"/>
        </w:rPr>
        <w:t xml:space="preserve">76 (Rév.CMR-15) </w:t>
      </w:r>
      <w:r w:rsidRPr="004A1033">
        <w:rPr>
          <w:lang w:eastAsia="ja-JP"/>
        </w:rPr>
        <w:t xml:space="preserve">et des limites d'epfd pour une seule source de brouillage définies dans l'Article </w:t>
      </w:r>
      <w:r w:rsidRPr="004A1033">
        <w:rPr>
          <w:b/>
          <w:bCs/>
          <w:lang w:eastAsia="ja-JP"/>
        </w:rPr>
        <w:t>22</w:t>
      </w:r>
      <w:r w:rsidRPr="004A1033">
        <w:rPr>
          <w:lang w:eastAsia="ja-JP"/>
        </w:rPr>
        <w:t xml:space="preserve"> du RR, qui sont les suivants:</w:t>
      </w:r>
    </w:p>
    <w:p w14:paraId="132708E5" w14:textId="3DDBCA61" w:rsidR="00146620" w:rsidRPr="004A1033" w:rsidRDefault="00146620" w:rsidP="0049321B">
      <w:pPr>
        <w:pStyle w:val="enumlev1"/>
        <w:rPr>
          <w:lang w:eastAsia="ja-JP"/>
        </w:rPr>
      </w:pPr>
      <w:r w:rsidRPr="004A1033">
        <w:rPr>
          <w:lang w:eastAsia="ja-JP"/>
        </w:rPr>
        <w:t>–</w:t>
      </w:r>
      <w:r w:rsidRPr="004A1033">
        <w:rPr>
          <w:lang w:eastAsia="ja-JP"/>
        </w:rPr>
        <w:tab/>
        <w:t xml:space="preserve">Les limites d'epfd cumulative obligatoires sont indiquées dans la </w:t>
      </w:r>
      <w:r w:rsidRPr="004A1033">
        <w:rPr>
          <w:spacing w:val="-4"/>
          <w:lang w:eastAsia="ja-JP"/>
        </w:rPr>
        <w:t>Résolution</w:t>
      </w:r>
      <w:r w:rsidR="008F3B1A" w:rsidRPr="004A1033">
        <w:rPr>
          <w:spacing w:val="-4"/>
          <w:lang w:eastAsia="ja-JP"/>
        </w:rPr>
        <w:t> </w:t>
      </w:r>
      <w:r w:rsidRPr="004A1033">
        <w:rPr>
          <w:b/>
          <w:bCs/>
          <w:spacing w:val="-4"/>
          <w:lang w:eastAsia="ja-JP"/>
        </w:rPr>
        <w:t>76 (Rév.CMR-15)</w:t>
      </w:r>
      <w:r w:rsidRPr="004A1033">
        <w:rPr>
          <w:lang w:eastAsia="ja-JP"/>
        </w:rPr>
        <w:t xml:space="preserve">, mais cette Résolution ne décrit aucune méthode précise ni aucune procédure permettant aux administrations concernées de déterminer de concert si ces niveaux cumulatifs sont dépassés. Autrement dit, à l'heure actuelle, personne n'est en mesure de valider officiellement la conformité à la Résolution </w:t>
      </w:r>
      <w:r w:rsidRPr="004A1033">
        <w:rPr>
          <w:b/>
          <w:bCs/>
          <w:spacing w:val="-4"/>
          <w:lang w:eastAsia="ja-JP"/>
        </w:rPr>
        <w:t>76 (Rév.CMR-15)</w:t>
      </w:r>
      <w:r w:rsidRPr="004A1033">
        <w:rPr>
          <w:lang w:eastAsia="ja-JP"/>
        </w:rPr>
        <w:t>, alors que plusieurs systèmes du SFS non OSG à grande échelle ont déjà été mis en service. Ce sujet sera examiné au titre du point 7 de l'ordre du jour de la CMR-23, Question J.</w:t>
      </w:r>
    </w:p>
    <w:p w14:paraId="5B8CF2CF" w14:textId="2591EEB9" w:rsidR="00146620" w:rsidRPr="004A1033" w:rsidRDefault="00146620" w:rsidP="0049321B">
      <w:pPr>
        <w:pStyle w:val="enumlev1"/>
        <w:rPr>
          <w:lang w:eastAsia="ja-JP"/>
        </w:rPr>
      </w:pPr>
      <w:r w:rsidRPr="004A1033">
        <w:rPr>
          <w:lang w:eastAsia="ja-JP"/>
        </w:rPr>
        <w:t>–</w:t>
      </w:r>
      <w:r w:rsidRPr="004A1033">
        <w:rPr>
          <w:lang w:eastAsia="ja-JP"/>
        </w:rPr>
        <w:tab/>
        <w:t xml:space="preserve">La pratique consistant à scinder un système à satellites non géostationnaires en plusieurs systèmes notifiés, qui risque de nuire à l'efficacité des limites d'epfd pour une seule source de brouillage définies dans l'Article </w:t>
      </w:r>
      <w:r w:rsidRPr="004A1033">
        <w:rPr>
          <w:b/>
          <w:bCs/>
          <w:lang w:eastAsia="ja-JP"/>
        </w:rPr>
        <w:t>22</w:t>
      </w:r>
      <w:r w:rsidRPr="004A1033">
        <w:rPr>
          <w:lang w:eastAsia="ja-JP"/>
        </w:rPr>
        <w:t xml:space="preserve"> du RR pour protéger les systèmes à satellites géostationnaires ou d'avoir des incidences sur la mise en œuvre de la Résolution</w:t>
      </w:r>
      <w:r w:rsidR="008F3B1A" w:rsidRPr="004A1033">
        <w:rPr>
          <w:lang w:eastAsia="ja-JP"/>
        </w:rPr>
        <w:t> </w:t>
      </w:r>
      <w:r w:rsidRPr="004A1033">
        <w:rPr>
          <w:b/>
          <w:bCs/>
          <w:lang w:eastAsia="ja-JP"/>
        </w:rPr>
        <w:t>76 (Rév.CMR-15)</w:t>
      </w:r>
      <w:r w:rsidRPr="004A1033">
        <w:rPr>
          <w:lang w:eastAsia="ja-JP"/>
        </w:rPr>
        <w:t>, est remise en question. La seule raison pour appliquer de façon incorrecte ces limites d'epfd pour une seule source de brouillage en scindant ou en regroupant artificiellement des systèmes non OSG du SFS, serait d'abaisser les niveaux d'epfd et, par voie de conséquence, d'obtenir une conclusion favorable à l'issue de l'examen réglementaire qui sera effectué par le Bureau des radiocommunications au titre du numéro</w:t>
      </w:r>
      <w:r w:rsidR="008F3B1A" w:rsidRPr="004A1033">
        <w:rPr>
          <w:lang w:eastAsia="ja-JP"/>
        </w:rPr>
        <w:t> </w:t>
      </w:r>
      <w:r w:rsidRPr="004A1033">
        <w:rPr>
          <w:b/>
          <w:bCs/>
          <w:lang w:eastAsia="ja-JP"/>
        </w:rPr>
        <w:t>11.31</w:t>
      </w:r>
      <w:r w:rsidRPr="004A1033">
        <w:rPr>
          <w:lang w:eastAsia="ja-JP"/>
        </w:rPr>
        <w:t xml:space="preserve"> du RR. Ce problème a été soulevé par le Directeur du Bureau des radiocommunications dans son Rapport à la CMR-23 (§ 3.1.4 de l'</w:t>
      </w:r>
      <w:hyperlink r:id="rId22" w:history="1">
        <w:r w:rsidRPr="004A1033">
          <w:rPr>
            <w:rStyle w:val="Hyperlink"/>
            <w:lang w:eastAsia="ja-JP"/>
          </w:rPr>
          <w:t>Addendum 2 au Document 4</w:t>
        </w:r>
      </w:hyperlink>
      <w:r w:rsidRPr="004A1033">
        <w:rPr>
          <w:lang w:eastAsia="ja-JP"/>
        </w:rPr>
        <w:t>).</w:t>
      </w:r>
    </w:p>
    <w:p w14:paraId="494BE330" w14:textId="77777777" w:rsidR="00146620" w:rsidRPr="004A1033" w:rsidRDefault="00146620" w:rsidP="0049321B">
      <w:pPr>
        <w:rPr>
          <w:lang w:eastAsia="ja-JP"/>
        </w:rPr>
      </w:pPr>
      <w:r w:rsidRPr="004A1033">
        <w:rPr>
          <w:lang w:eastAsia="ja-JP"/>
        </w:rPr>
        <w:t xml:space="preserve">Par conséquent, le Japon est également d'avis que, dans ces circonstances, il est totalement déraisonnable de modifier la limite d'epfd en tant que telle, sans remédier aux éventuelles applications incorrectes de la Résolution </w:t>
      </w:r>
      <w:r w:rsidRPr="004A1033">
        <w:rPr>
          <w:b/>
          <w:bCs/>
          <w:lang w:eastAsia="ja-JP"/>
        </w:rPr>
        <w:t>76 (Rév.CMR-15)</w:t>
      </w:r>
      <w:r w:rsidRPr="004A1033">
        <w:rPr>
          <w:lang w:eastAsia="ja-JP"/>
        </w:rPr>
        <w:t xml:space="preserve"> et de l'Article </w:t>
      </w:r>
      <w:r w:rsidRPr="004A1033">
        <w:rPr>
          <w:b/>
          <w:bCs/>
          <w:lang w:eastAsia="ja-JP"/>
        </w:rPr>
        <w:t>22</w:t>
      </w:r>
      <w:r w:rsidRPr="004A1033">
        <w:rPr>
          <w:lang w:eastAsia="ja-JP"/>
        </w:rPr>
        <w:t xml:space="preserve"> du RR par certaines administrations notificatrices de systèmes du SFS non OSG.</w:t>
      </w:r>
    </w:p>
    <w:p w14:paraId="7F57892B" w14:textId="77777777" w:rsidR="00146620" w:rsidRPr="004A1033" w:rsidRDefault="00146620" w:rsidP="0049321B">
      <w:r w:rsidRPr="004A1033">
        <w:rPr>
          <w:lang w:eastAsia="ja-JP"/>
        </w:rPr>
        <w:t xml:space="preserve">Enfin, le Japon devrait souligner un autre aspect important, à savoir que le GT 4A de l'UIT-R, lors de sa réunion de juin et juillet 2023, a élaboré un programme de travail (Document </w:t>
      </w:r>
      <w:hyperlink r:id="rId23" w:history="1">
        <w:r w:rsidRPr="004A1033">
          <w:rPr>
            <w:rStyle w:val="Hyperlink"/>
          </w:rPr>
          <w:t>4A/978, Annexe 9</w:t>
        </w:r>
      </w:hyperlink>
      <w:r w:rsidRPr="004A1033">
        <w:t xml:space="preserve">) en vue de réviser la Recommandation UIT-R S.1503 afin d'améliorer la précision de la modélisation des systèmes à satellites non OSG dans le cadre de la Recommandation de manière à continuer de protéger les réseaux à satellite OSG, tout en facilitant le développement des systèmes à satellites non OSG. Toute révision des limites d'epfd définies dans l'Article </w:t>
      </w:r>
      <w:r w:rsidRPr="004A1033">
        <w:rPr>
          <w:b/>
          <w:bCs/>
        </w:rPr>
        <w:t xml:space="preserve">22 </w:t>
      </w:r>
      <w:r w:rsidRPr="004A1033">
        <w:t>du RR qui serait effectuée en parallèle pourrait nuire aux travaux du GT 4A, car cela reviendrait à modifier «l'objectif» de l'étude prévue, dont les résultats doivent être comparables.</w:t>
      </w:r>
    </w:p>
    <w:p w14:paraId="5C362391" w14:textId="77777777" w:rsidR="00146620" w:rsidRPr="004A1033" w:rsidRDefault="00146620" w:rsidP="0049321B">
      <w:pPr>
        <w:pStyle w:val="Headingb"/>
      </w:pPr>
      <w:r w:rsidRPr="004A1033">
        <w:t>Points de vue et propositions</w:t>
      </w:r>
    </w:p>
    <w:p w14:paraId="1083ABE4" w14:textId="77777777" w:rsidR="00C71343" w:rsidRPr="004A1033" w:rsidRDefault="00864F65" w:rsidP="0049321B">
      <w:pPr>
        <w:pStyle w:val="Proposal"/>
      </w:pPr>
      <w:r w:rsidRPr="004A1033">
        <w:tab/>
        <w:t>J/99A27A3/1</w:t>
      </w:r>
    </w:p>
    <w:p w14:paraId="0D6CC5E5" w14:textId="77777777" w:rsidR="00146620" w:rsidRPr="004A1033" w:rsidRDefault="00146620" w:rsidP="0049321B">
      <w:r w:rsidRPr="004A1033">
        <w:t>Compte tenu de ce qui précède et de l'importance de conserver les limites d'epfd cumulative et pour une seule source de brouillage qui sont largement appliquées en tant qu'objectifs de conception d'un grand nombre de réseaux à satellite OSG du SFS/SRS opérationnels, le Japon estime qu'il n'est pas approprié de réviser et de mettre à jour les dispositions réglementaires relatives à ces limites d'epfd dans les parties des bandes de fréquences des 14/11 GHz et des 30/20 GHz, et s'oppose par conséquent à tout nouveau point de l'ordre du jour des futures CMR sur ce sujet.</w:t>
      </w:r>
    </w:p>
    <w:p w14:paraId="20F08C4E" w14:textId="7C648ECF" w:rsidR="00146620" w:rsidRPr="004A1033" w:rsidRDefault="00146620" w:rsidP="0049321B">
      <w:r w:rsidRPr="004A1033">
        <w:rPr>
          <w:lang w:eastAsia="ja-JP"/>
        </w:rPr>
        <w:t>Bien qu'il ne soit pas favorable à la poursuite des discussions sur cette question au sein de l'UIT</w:t>
      </w:r>
      <w:r w:rsidR="008F3B1A" w:rsidRPr="004A1033">
        <w:rPr>
          <w:lang w:eastAsia="ja-JP"/>
        </w:rPr>
        <w:noBreakHyphen/>
      </w:r>
      <w:r w:rsidRPr="004A1033">
        <w:rPr>
          <w:lang w:eastAsia="ja-JP"/>
        </w:rPr>
        <w:t>R, le Japon considère que si les auteurs des propositions sur ce sujet insistent pour que de nouveaux points soient inscrits à l'ordre du jour des futures CMR, ces discussions pourraient également porter sur les aspects suivants:</w:t>
      </w:r>
    </w:p>
    <w:p w14:paraId="474342F5" w14:textId="77777777" w:rsidR="00146620" w:rsidRPr="004A1033" w:rsidRDefault="00146620" w:rsidP="0049321B">
      <w:pPr>
        <w:pStyle w:val="enumlev1"/>
      </w:pPr>
      <w:r w:rsidRPr="004A1033">
        <w:t>–</w:t>
      </w:r>
      <w:r w:rsidRPr="004A1033">
        <w:tab/>
        <w:t xml:space="preserve">Les critères de protection des systèmes du SFS OSG utilisant le codage adaptatif devraient être dûment pris en compte dans les limites d'epfd↓ qui pourraient être mises à jour, comme dans le Tableau </w:t>
      </w:r>
      <w:r w:rsidRPr="004A1033">
        <w:rPr>
          <w:b/>
          <w:bCs/>
        </w:rPr>
        <w:t>22-1C</w:t>
      </w:r>
      <w:r w:rsidRPr="004A1033">
        <w:t xml:space="preserve"> de l'Article </w:t>
      </w:r>
      <w:r w:rsidRPr="004A1033">
        <w:rPr>
          <w:b/>
          <w:bCs/>
        </w:rPr>
        <w:t>22</w:t>
      </w:r>
      <w:r w:rsidRPr="004A1033">
        <w:t xml:space="preserve"> du RR en vigueur, y compris dans la bande Ku et dans une partie de la bande Ka où les limites d'epfd↓ actuelles, telles qu'elles figurent dans les Tableaux </w:t>
      </w:r>
      <w:r w:rsidRPr="004A1033">
        <w:rPr>
          <w:b/>
          <w:bCs/>
        </w:rPr>
        <w:t>22-1A</w:t>
      </w:r>
      <w:r w:rsidRPr="004A1033">
        <w:t xml:space="preserve"> et </w:t>
      </w:r>
      <w:r w:rsidRPr="004A1033">
        <w:rPr>
          <w:b/>
          <w:bCs/>
        </w:rPr>
        <w:t>22-1B</w:t>
      </w:r>
      <w:r w:rsidRPr="004A1033">
        <w:t>, sont uniquement fondées sur les besoins de protection des systèmes à bilan de liaison fixe, compte tenu du fait qu'aujourd'hui les systèmes de codage adaptatif sont plus couramment déployés dans les réseaux du SFS OSG dans la totalité de la bande Ku et de la bande Ka.</w:t>
      </w:r>
    </w:p>
    <w:p w14:paraId="7A6C9ACD" w14:textId="54E1995F" w:rsidR="00146620" w:rsidRPr="004A1033" w:rsidRDefault="00146620" w:rsidP="0049321B">
      <w:pPr>
        <w:pStyle w:val="enumlev1"/>
      </w:pPr>
      <w:r w:rsidRPr="004A1033">
        <w:t>–</w:t>
      </w:r>
      <w:r w:rsidRPr="004A1033">
        <w:tab/>
        <w:t xml:space="preserve">En ce qui concerne la protection des réseaux à satellite OSG figurant dans le Plan/la Liste pour le SRS dans les Appendices </w:t>
      </w:r>
      <w:r w:rsidRPr="004A1033">
        <w:rPr>
          <w:b/>
          <w:bCs/>
        </w:rPr>
        <w:t>30/30A</w:t>
      </w:r>
      <w:r w:rsidRPr="004A1033">
        <w:t xml:space="preserve"> du RR, étant donné qu'aucun brouillage causé par des systèmes non OSG exploités en conformité avec le numéro </w:t>
      </w:r>
      <w:r w:rsidRPr="004A1033">
        <w:rPr>
          <w:b/>
          <w:bCs/>
        </w:rPr>
        <w:t>5.</w:t>
      </w:r>
      <w:r w:rsidRPr="004A1033">
        <w:rPr>
          <w:b/>
          <w:bCs/>
          <w:lang w:eastAsia="ja-JP"/>
        </w:rPr>
        <w:t>487A</w:t>
      </w:r>
      <w:r w:rsidRPr="004A1033">
        <w:rPr>
          <w:lang w:eastAsia="ja-JP"/>
        </w:rPr>
        <w:t xml:space="preserve"> </w:t>
      </w:r>
      <w:r w:rsidRPr="004A1033">
        <w:t>du</w:t>
      </w:r>
      <w:r w:rsidR="008F3B1A" w:rsidRPr="004A1033">
        <w:t> </w:t>
      </w:r>
      <w:r w:rsidRPr="004A1033">
        <w:t>RR dans les bandes de fréquences concernées n'est pris en considération dans le calcul de la marge de protection équivalente (MPE) de ces réseaux à satellite OSG du SRS, mais que les assignations de fréquence correspondantes à ces systèmes non OSG peuvent en fin de compte être inscrites dans le Fichier de référence international des fréquences, il convient de prévoir des mesures techniques appropriées pour vérifier les conséquences des dégradations de la MPE dues aux brouillages cumulatifs causés par les systèmes non OSG, en particulier les «méga-constellations» qui se composent de milliers (voire de dizaines de milliers) de satellites exploités dans la même zone de service que les réseaux à satellite OSG figurant dans le Plan/la Liste pour le SRS.</w:t>
      </w:r>
    </w:p>
    <w:p w14:paraId="337B9698" w14:textId="690D1CA5" w:rsidR="00146620" w:rsidRPr="004A1033" w:rsidRDefault="00146620" w:rsidP="0049321B">
      <w:pPr>
        <w:ind w:left="1134" w:hanging="1134"/>
        <w:rPr>
          <w:lang w:eastAsia="ja-JP"/>
        </w:rPr>
      </w:pPr>
      <w:r w:rsidRPr="004A1033">
        <w:t>–</w:t>
      </w:r>
      <w:r w:rsidRPr="004A1033">
        <w:tab/>
      </w:r>
      <w:r w:rsidRPr="004A1033">
        <w:rPr>
          <w:lang w:eastAsia="ja-JP"/>
        </w:rPr>
        <w:t xml:space="preserve">En ce qui concerne la protection des réseaux à satellite figurant dans le Plan/la Liste pour le SFS de l'Appendice </w:t>
      </w:r>
      <w:r w:rsidRPr="004A1033">
        <w:rPr>
          <w:b/>
          <w:bCs/>
          <w:lang w:eastAsia="ja-JP"/>
        </w:rPr>
        <w:t>30B</w:t>
      </w:r>
      <w:r w:rsidRPr="004A1033">
        <w:rPr>
          <w:lang w:eastAsia="ja-JP"/>
        </w:rPr>
        <w:t xml:space="preserve"> du RR, de la même manière que pour les réseaux à satellite figurant dans le Plan/la Liste pour le SRS, il conviendrait également de prévoir des mesures techniques appropriées pour étudier la manière dont les brouillages causés par les systèmes non OSG peuvent être pris en considération dans les situations de référence qui, à l'heure actuelle, tiennent seulement compte des effets cumulatifs des brouillages causés par les réseaux à satellite OSG du SFS relevant de l'Appendice</w:t>
      </w:r>
      <w:r w:rsidR="008F3B1A" w:rsidRPr="004A1033">
        <w:rPr>
          <w:lang w:eastAsia="ja-JP"/>
        </w:rPr>
        <w:t> </w:t>
      </w:r>
      <w:r w:rsidRPr="004A1033">
        <w:rPr>
          <w:b/>
          <w:bCs/>
          <w:lang w:eastAsia="ja-JP"/>
        </w:rPr>
        <w:t>30B</w:t>
      </w:r>
      <w:r w:rsidRPr="004A1033">
        <w:rPr>
          <w:lang w:eastAsia="ja-JP"/>
        </w:rPr>
        <w:t xml:space="preserve"> du</w:t>
      </w:r>
      <w:r w:rsidR="008F3B1A" w:rsidRPr="004A1033">
        <w:rPr>
          <w:lang w:eastAsia="ja-JP"/>
        </w:rPr>
        <w:t> </w:t>
      </w:r>
      <w:r w:rsidRPr="004A1033">
        <w:rPr>
          <w:lang w:eastAsia="ja-JP"/>
        </w:rPr>
        <w:t xml:space="preserve">RR. Plus particulièrement, afin que ces situations de référence restent gérables, des procédures similaires à celles prévues aux numéros </w:t>
      </w:r>
      <w:r w:rsidRPr="004A1033">
        <w:rPr>
          <w:b/>
          <w:bCs/>
          <w:lang w:eastAsia="ja-JP"/>
        </w:rPr>
        <w:t>6.6</w:t>
      </w:r>
      <w:r w:rsidRPr="004A1033">
        <w:rPr>
          <w:lang w:eastAsia="ja-JP"/>
        </w:rPr>
        <w:t xml:space="preserve"> ou </w:t>
      </w:r>
      <w:r w:rsidRPr="004A1033">
        <w:rPr>
          <w:b/>
          <w:bCs/>
          <w:lang w:eastAsia="ja-JP"/>
        </w:rPr>
        <w:t>6.16</w:t>
      </w:r>
      <w:r w:rsidRPr="004A1033">
        <w:rPr>
          <w:lang w:eastAsia="ja-JP"/>
        </w:rPr>
        <w:t xml:space="preserve"> de l'Appendice</w:t>
      </w:r>
      <w:r w:rsidR="008F3B1A" w:rsidRPr="004A1033">
        <w:rPr>
          <w:lang w:eastAsia="ja-JP"/>
        </w:rPr>
        <w:t> </w:t>
      </w:r>
      <w:r w:rsidRPr="004A1033">
        <w:rPr>
          <w:b/>
          <w:bCs/>
          <w:lang w:eastAsia="ja-JP"/>
        </w:rPr>
        <w:t>30B</w:t>
      </w:r>
      <w:r w:rsidRPr="004A1033">
        <w:rPr>
          <w:lang w:eastAsia="ja-JP"/>
        </w:rPr>
        <w:t xml:space="preserve"> du RR pourraient être envisagées en ce qui concerne l'utilisation des assignations de fréquence aux systèmes du SFS non OSG, qui sont actuellement considérées comme des assignations non planifiées, alors que les bandes de fréquences utilisées sont les mêmes que les bandes figurant dans le Plan de l'Appendice </w:t>
      </w:r>
      <w:r w:rsidRPr="004A1033">
        <w:rPr>
          <w:b/>
          <w:bCs/>
          <w:lang w:eastAsia="ja-JP"/>
        </w:rPr>
        <w:t>30B</w:t>
      </w:r>
      <w:r w:rsidRPr="004A1033">
        <w:rPr>
          <w:lang w:eastAsia="ja-JP"/>
        </w:rPr>
        <w:t xml:space="preserve"> du RR dont les zones de service peuvent être étendues à tout moment, partout où les administrations notificatrices le souhaitent (c'est-à-dire même en dehors de leurs juridictions) sans avoir à obtenir un «accord explicite», du moins dans le cadre actuel du Règlement des radiocommunications.</w:t>
      </w:r>
    </w:p>
    <w:p w14:paraId="188C5739" w14:textId="77777777" w:rsidR="00146620" w:rsidRPr="004A1033" w:rsidRDefault="00146620" w:rsidP="0049321B">
      <w:pPr>
        <w:pStyle w:val="Reasons"/>
      </w:pPr>
    </w:p>
    <w:p w14:paraId="5AFAD1C3" w14:textId="77777777" w:rsidR="00146620" w:rsidRPr="004A1033" w:rsidRDefault="00146620" w:rsidP="0049321B">
      <w:pPr>
        <w:jc w:val="center"/>
      </w:pPr>
      <w:r w:rsidRPr="004A1033">
        <w:t>______________</w:t>
      </w:r>
    </w:p>
    <w:sectPr w:rsidR="00146620" w:rsidRPr="004A1033">
      <w:headerReference w:type="default" r:id="rId24"/>
      <w:footerReference w:type="even" r:id="rId25"/>
      <w:footerReference w:type="default" r:id="rId26"/>
      <w:footerReference w:type="first" r:id="rId2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5493" w14:textId="77777777" w:rsidR="00CB685A" w:rsidRDefault="00CB685A">
      <w:r>
        <w:separator/>
      </w:r>
    </w:p>
  </w:endnote>
  <w:endnote w:type="continuationSeparator" w:id="0">
    <w:p w14:paraId="3A5E49C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5ED5" w14:textId="68C135F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96587">
      <w:rPr>
        <w:noProof/>
      </w:rPr>
      <w:t>24.11.23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CE" w14:textId="7C979E51" w:rsidR="00936D25" w:rsidRPr="00146620" w:rsidRDefault="00936D25" w:rsidP="007B2C34">
    <w:pPr>
      <w:pStyle w:val="Footer"/>
      <w:rPr>
        <w:lang w:val="en-US"/>
      </w:rPr>
    </w:pPr>
    <w:r>
      <w:fldChar w:fldCharType="begin"/>
    </w:r>
    <w:r>
      <w:rPr>
        <w:lang w:val="en-US"/>
      </w:rPr>
      <w:instrText xml:space="preserve"> FILENAME \p  \* MERGEFORMAT </w:instrText>
    </w:r>
    <w:r>
      <w:fldChar w:fldCharType="separate"/>
    </w:r>
    <w:r w:rsidR="008D4508">
      <w:rPr>
        <w:lang w:val="en-US"/>
      </w:rPr>
      <w:t>P:\FRA\ITU-R\CONF-R\CMR23\000\099ADD27ADD03REV1F.docx</w:t>
    </w:r>
    <w:r>
      <w:fldChar w:fldCharType="end"/>
    </w:r>
    <w:r w:rsidR="00146620" w:rsidRPr="00146620">
      <w:rPr>
        <w:lang w:val="en-US"/>
      </w:rPr>
      <w:t xml:space="preserve"> </w:t>
    </w:r>
    <w:r w:rsidR="00146620">
      <w:rPr>
        <w:lang w:val="en-US"/>
      </w:rPr>
      <w:t>(531885)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F4F3" w14:textId="04CA53B9" w:rsidR="00936D25" w:rsidRPr="00146620" w:rsidRDefault="00936D25" w:rsidP="001A11F6">
    <w:pPr>
      <w:pStyle w:val="Footer"/>
      <w:rPr>
        <w:lang w:val="en-US"/>
      </w:rPr>
    </w:pPr>
    <w:r>
      <w:fldChar w:fldCharType="begin"/>
    </w:r>
    <w:r>
      <w:rPr>
        <w:lang w:val="en-US"/>
      </w:rPr>
      <w:instrText xml:space="preserve"> FILENAME \p  \* MERGEFORMAT </w:instrText>
    </w:r>
    <w:r>
      <w:fldChar w:fldCharType="separate"/>
    </w:r>
    <w:r w:rsidR="008D4508">
      <w:rPr>
        <w:lang w:val="en-US"/>
      </w:rPr>
      <w:t>P:\FRA\ITU-R\CONF-R\CMR23\000\099ADD27ADD03REV1F.docx</w:t>
    </w:r>
    <w:r>
      <w:fldChar w:fldCharType="end"/>
    </w:r>
    <w:r w:rsidR="00146620" w:rsidRPr="00146620">
      <w:rPr>
        <w:lang w:val="en-US"/>
      </w:rPr>
      <w:t xml:space="preserve"> </w:t>
    </w:r>
    <w:r w:rsidR="00146620">
      <w:rPr>
        <w:lang w:val="en-US"/>
      </w:rPr>
      <w:t>(531885)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A9C1" w14:textId="77777777" w:rsidR="00CB685A" w:rsidRDefault="00CB685A">
      <w:r>
        <w:rPr>
          <w:b/>
        </w:rPr>
        <w:t>_______________</w:t>
      </w:r>
    </w:p>
  </w:footnote>
  <w:footnote w:type="continuationSeparator" w:id="0">
    <w:p w14:paraId="72491320"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998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2D35F23" w14:textId="443B1618" w:rsidR="004F1F8E" w:rsidRDefault="00225CF2" w:rsidP="00FD7AA3">
    <w:pPr>
      <w:pStyle w:val="Header"/>
    </w:pPr>
    <w:r>
      <w:t>WRC</w:t>
    </w:r>
    <w:r w:rsidR="00D3426F">
      <w:t>23</w:t>
    </w:r>
    <w:r w:rsidR="004F1F8E">
      <w:t>/</w:t>
    </w:r>
    <w:r w:rsidR="006A4B45">
      <w:t>99(Add.27)(Add.3)(R</w:t>
    </w:r>
    <w:r w:rsidR="00146620">
      <w:t>é</w:t>
    </w:r>
    <w:r w:rsidR="006A4B45">
      <w:t>v.1)-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2197741">
    <w:abstractNumId w:val="0"/>
  </w:num>
  <w:num w:numId="2" w16cid:durableId="5612164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1709"/>
    <w:rsid w:val="000B2E0C"/>
    <w:rsid w:val="000B3D0C"/>
    <w:rsid w:val="001167B9"/>
    <w:rsid w:val="001267A0"/>
    <w:rsid w:val="00146620"/>
    <w:rsid w:val="0015203F"/>
    <w:rsid w:val="00160C64"/>
    <w:rsid w:val="0018169B"/>
    <w:rsid w:val="0019352B"/>
    <w:rsid w:val="001960D0"/>
    <w:rsid w:val="001A11F6"/>
    <w:rsid w:val="001F17E8"/>
    <w:rsid w:val="00204306"/>
    <w:rsid w:val="00225CF2"/>
    <w:rsid w:val="00232FD2"/>
    <w:rsid w:val="0026554E"/>
    <w:rsid w:val="00295E98"/>
    <w:rsid w:val="002A4622"/>
    <w:rsid w:val="002A6F8F"/>
    <w:rsid w:val="002B17E5"/>
    <w:rsid w:val="002C0EBF"/>
    <w:rsid w:val="002C28A4"/>
    <w:rsid w:val="002D7E0A"/>
    <w:rsid w:val="002F123F"/>
    <w:rsid w:val="002F6CBD"/>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9321B"/>
    <w:rsid w:val="004A1033"/>
    <w:rsid w:val="004A4716"/>
    <w:rsid w:val="004D01FC"/>
    <w:rsid w:val="004E28C3"/>
    <w:rsid w:val="004F1F8E"/>
    <w:rsid w:val="00512A32"/>
    <w:rsid w:val="005343DA"/>
    <w:rsid w:val="00560874"/>
    <w:rsid w:val="00586CF2"/>
    <w:rsid w:val="00591111"/>
    <w:rsid w:val="005A6D07"/>
    <w:rsid w:val="005A7C75"/>
    <w:rsid w:val="005C3768"/>
    <w:rsid w:val="005C6C3F"/>
    <w:rsid w:val="00613635"/>
    <w:rsid w:val="0062093D"/>
    <w:rsid w:val="00637ECF"/>
    <w:rsid w:val="00647B59"/>
    <w:rsid w:val="006762D4"/>
    <w:rsid w:val="00690C7B"/>
    <w:rsid w:val="006A4B45"/>
    <w:rsid w:val="006D4724"/>
    <w:rsid w:val="006F5FA2"/>
    <w:rsid w:val="0070076C"/>
    <w:rsid w:val="00701BAE"/>
    <w:rsid w:val="00721F04"/>
    <w:rsid w:val="0072506D"/>
    <w:rsid w:val="00730E95"/>
    <w:rsid w:val="007426B9"/>
    <w:rsid w:val="00764342"/>
    <w:rsid w:val="00774362"/>
    <w:rsid w:val="00786598"/>
    <w:rsid w:val="00790C74"/>
    <w:rsid w:val="007A04E8"/>
    <w:rsid w:val="007B2C34"/>
    <w:rsid w:val="007F1ED5"/>
    <w:rsid w:val="007F282B"/>
    <w:rsid w:val="00830086"/>
    <w:rsid w:val="00851625"/>
    <w:rsid w:val="00851826"/>
    <w:rsid w:val="00863C0A"/>
    <w:rsid w:val="00864F65"/>
    <w:rsid w:val="0087730E"/>
    <w:rsid w:val="008A3120"/>
    <w:rsid w:val="008A4B97"/>
    <w:rsid w:val="008C5B8E"/>
    <w:rsid w:val="008C5DD5"/>
    <w:rsid w:val="008C7123"/>
    <w:rsid w:val="008D41BE"/>
    <w:rsid w:val="008D4508"/>
    <w:rsid w:val="008D58D3"/>
    <w:rsid w:val="008E3250"/>
    <w:rsid w:val="008E3BC9"/>
    <w:rsid w:val="008F3B1A"/>
    <w:rsid w:val="00923064"/>
    <w:rsid w:val="00930FFD"/>
    <w:rsid w:val="00936D25"/>
    <w:rsid w:val="00941EA5"/>
    <w:rsid w:val="00964700"/>
    <w:rsid w:val="00966C16"/>
    <w:rsid w:val="0098732F"/>
    <w:rsid w:val="009A045F"/>
    <w:rsid w:val="009A6A2B"/>
    <w:rsid w:val="009C7E7C"/>
    <w:rsid w:val="00A00473"/>
    <w:rsid w:val="00A03C9B"/>
    <w:rsid w:val="00A32762"/>
    <w:rsid w:val="00A37105"/>
    <w:rsid w:val="00A606C3"/>
    <w:rsid w:val="00A83B09"/>
    <w:rsid w:val="00A84541"/>
    <w:rsid w:val="00A964EC"/>
    <w:rsid w:val="00AA5754"/>
    <w:rsid w:val="00AE36A0"/>
    <w:rsid w:val="00B00294"/>
    <w:rsid w:val="00B3749C"/>
    <w:rsid w:val="00B41773"/>
    <w:rsid w:val="00B64FD0"/>
    <w:rsid w:val="00B96587"/>
    <w:rsid w:val="00BA5BD0"/>
    <w:rsid w:val="00BB1D82"/>
    <w:rsid w:val="00BC217E"/>
    <w:rsid w:val="00BD51C5"/>
    <w:rsid w:val="00BF26E7"/>
    <w:rsid w:val="00C03501"/>
    <w:rsid w:val="00C1305F"/>
    <w:rsid w:val="00C34226"/>
    <w:rsid w:val="00C53FCA"/>
    <w:rsid w:val="00C65A33"/>
    <w:rsid w:val="00C71343"/>
    <w:rsid w:val="00C71DEB"/>
    <w:rsid w:val="00C76BAF"/>
    <w:rsid w:val="00C814B9"/>
    <w:rsid w:val="00CB685A"/>
    <w:rsid w:val="00CD516F"/>
    <w:rsid w:val="00D07F5E"/>
    <w:rsid w:val="00D119A7"/>
    <w:rsid w:val="00D25FBA"/>
    <w:rsid w:val="00D32B28"/>
    <w:rsid w:val="00D3426F"/>
    <w:rsid w:val="00D42954"/>
    <w:rsid w:val="00D66EAC"/>
    <w:rsid w:val="00D730DF"/>
    <w:rsid w:val="00D772F0"/>
    <w:rsid w:val="00D77BDC"/>
    <w:rsid w:val="00DC402B"/>
    <w:rsid w:val="00DC4248"/>
    <w:rsid w:val="00DE0932"/>
    <w:rsid w:val="00DF15E8"/>
    <w:rsid w:val="00E03A27"/>
    <w:rsid w:val="00E049F1"/>
    <w:rsid w:val="00E37A25"/>
    <w:rsid w:val="00E537FF"/>
    <w:rsid w:val="00E60CB2"/>
    <w:rsid w:val="00E6539B"/>
    <w:rsid w:val="00E70A31"/>
    <w:rsid w:val="00E723A7"/>
    <w:rsid w:val="00E7628B"/>
    <w:rsid w:val="00EA3F38"/>
    <w:rsid w:val="00EA5AB6"/>
    <w:rsid w:val="00EC7615"/>
    <w:rsid w:val="00ED16AA"/>
    <w:rsid w:val="00ED6B8D"/>
    <w:rsid w:val="00EE3D7B"/>
    <w:rsid w:val="00EF0046"/>
    <w:rsid w:val="00EF662E"/>
    <w:rsid w:val="00F10064"/>
    <w:rsid w:val="00F148F1"/>
    <w:rsid w:val="00F3600C"/>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AE886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aliases w:val="ECC Hyperlink,CEO_Hyperlink,超级链接"/>
    <w:basedOn w:val="DefaultParagraphFont"/>
    <w:uiPriority w:val="99"/>
    <w:unhideWhenUsed/>
    <w:qFormat/>
    <w:rPr>
      <w:color w:val="0000FF" w:themeColor="hyperlink"/>
      <w:u w:val="single"/>
    </w:rPr>
  </w:style>
  <w:style w:type="paragraph" w:styleId="Revision">
    <w:name w:val="Revision"/>
    <w:hidden/>
    <w:uiPriority w:val="99"/>
    <w:semiHidden/>
    <w:rsid w:val="0087730E"/>
    <w:rPr>
      <w:rFonts w:ascii="Times New Roman" w:hAnsi="Times New Roman"/>
      <w:sz w:val="24"/>
      <w:lang w:val="fr-FR" w:eastAsia="en-US"/>
    </w:rPr>
  </w:style>
  <w:style w:type="character" w:styleId="FollowedHyperlink">
    <w:name w:val="FollowedHyperlink"/>
    <w:basedOn w:val="DefaultParagraphFont"/>
    <w:semiHidden/>
    <w:unhideWhenUsed/>
    <w:rsid w:val="008D4508"/>
    <w:rPr>
      <w:color w:val="800080" w:themeColor="followedHyperlink"/>
      <w:u w:val="single"/>
    </w:rPr>
  </w:style>
  <w:style w:type="character" w:styleId="UnresolvedMention">
    <w:name w:val="Unresolved Mention"/>
    <w:basedOn w:val="DefaultParagraphFont"/>
    <w:uiPriority w:val="99"/>
    <w:semiHidden/>
    <w:unhideWhenUsed/>
    <w:rsid w:val="008D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t.int/sites/default/files/2023/02/APG23-5-INP-85_Tonga-WP5-Preliminary_View_on_WRC-23_Agenda_Item_10.docx"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itudoc/itu-r/archives/rsg/1998-00/report99/cpmrep-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19-WP4A-C-0971/fr" TargetMode="External"/><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t.int/sites/default/files/2023/08/APG23-6-INP-125_Multicountry_WP5_PACP_WRC-23_Agenda_Item_10.docx" TargetMode="External"/><Relationship Id="rId23" Type="http://schemas.openxmlformats.org/officeDocument/2006/relationships/hyperlink" Target="https://www.itu.int/dms_ties/itu-r/md/19/wp4a/c/R19-WP4A-C-0978!N09!MSW-E.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t.int/sites/default/files/2023/07/APG23-6-INP-12_Kiribati_AI_10.docx" TargetMode="External"/><Relationship Id="rId22" Type="http://schemas.openxmlformats.org/officeDocument/2006/relationships/hyperlink" Target="https://www.itu.int/dms_pub/itu-r/md/23/wrc23/c/R23-WRC23-C-0004!A2!MSW-E.docx"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R23-WRC23-C-0099!A27-A3-R1!MSW-F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D78A2D70-1A6B-4B43-959D-249C3083F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B7272-8D00-4DBE-83AD-169DDE352E48}">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8E4DE4C4-82A7-4EA2-802E-08E3CF77385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3427</Words>
  <Characters>18678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R23-WRC23-C-0099!A27-A3-R1!MSW-F</vt:lpstr>
    </vt:vector>
  </TitlesOfParts>
  <Manager>Secrétariat général - Pool</Manager>
  <Company>Union internationale des télécommunications (UIT)</Company>
  <LinksUpToDate>false</LinksUpToDate>
  <CharactersWithSpaces>22061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R23-WRC23-C-0099!A27-A3-R1!MSW-F</dc:title>
  <dc:subject>Conférence mondiale des radiocommunications - 2019</dc:subject>
  <dc:creator>Documents Proposals Manager (DPM)</dc:creator>
  <cp:keywords>DPM_v2023.11.23.1_prod</cp:keywords>
  <dc:description/>
  <cp:lastModifiedBy>French.</cp:lastModifiedBy>
  <cp:revision>6</cp:revision>
  <cp:lastPrinted>2003-06-05T19:34:00Z</cp:lastPrinted>
  <dcterms:created xsi:type="dcterms:W3CDTF">2023-11-24T18:05:00Z</dcterms:created>
  <dcterms:modified xsi:type="dcterms:W3CDTF">2023-11-24T19:19:00Z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