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97670E" w14:paraId="3E1938A7" w14:textId="77777777" w:rsidTr="004C6D0B">
        <w:trPr>
          <w:cantSplit/>
        </w:trPr>
        <w:tc>
          <w:tcPr>
            <w:tcW w:w="1418" w:type="dxa"/>
            <w:vAlign w:val="center"/>
          </w:tcPr>
          <w:p w14:paraId="6AFFCB95" w14:textId="77777777" w:rsidR="004C6D0B" w:rsidRPr="0097670E" w:rsidRDefault="004C6D0B" w:rsidP="004C6D0B">
            <w:pPr>
              <w:spacing w:before="0" w:line="240" w:lineRule="atLeast"/>
              <w:rPr>
                <w:rFonts w:ascii="Verdana" w:hAnsi="Verdana"/>
                <w:b/>
                <w:bCs/>
                <w:position w:val="6"/>
              </w:rPr>
            </w:pPr>
            <w:r w:rsidRPr="0097670E">
              <w:drawing>
                <wp:inline distT="0" distB="0" distL="0" distR="0" wp14:anchorId="213434B7" wp14:editId="6AD71AF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72321294" w14:textId="77777777" w:rsidR="004C6D0B" w:rsidRPr="0097670E" w:rsidRDefault="004C6D0B" w:rsidP="009D3D63">
            <w:pPr>
              <w:spacing w:before="400" w:after="48" w:line="240" w:lineRule="atLeast"/>
              <w:rPr>
                <w:rFonts w:ascii="Verdana" w:hAnsi="Verdana"/>
                <w:b/>
                <w:bCs/>
                <w:position w:val="6"/>
              </w:rPr>
            </w:pPr>
            <w:bookmarkStart w:id="0" w:name="dtemplate"/>
            <w:bookmarkEnd w:id="0"/>
            <w:r w:rsidRPr="0097670E">
              <w:rPr>
                <w:rFonts w:ascii="Verdana" w:hAnsi="Verdana"/>
                <w:b/>
                <w:bCs/>
                <w:szCs w:val="22"/>
              </w:rPr>
              <w:t>Всемирная конференция радиосвязи (ВКР-23)</w:t>
            </w:r>
            <w:r w:rsidRPr="0097670E">
              <w:rPr>
                <w:rFonts w:ascii="Verdana" w:hAnsi="Verdana"/>
                <w:b/>
                <w:bCs/>
                <w:sz w:val="18"/>
                <w:szCs w:val="18"/>
              </w:rPr>
              <w:br/>
              <w:t>Дубай, 20 ноября – 15 декабря 2023 года</w:t>
            </w:r>
          </w:p>
        </w:tc>
        <w:tc>
          <w:tcPr>
            <w:tcW w:w="2234" w:type="dxa"/>
            <w:vAlign w:val="center"/>
          </w:tcPr>
          <w:p w14:paraId="05FFB6EC" w14:textId="77777777" w:rsidR="004C6D0B" w:rsidRPr="0097670E" w:rsidRDefault="004C6D0B" w:rsidP="004C6D0B">
            <w:pPr>
              <w:spacing w:before="0" w:line="240" w:lineRule="atLeast"/>
            </w:pPr>
            <w:bookmarkStart w:id="1" w:name="ditulogo"/>
            <w:bookmarkEnd w:id="1"/>
            <w:r w:rsidRPr="0097670E">
              <w:drawing>
                <wp:inline distT="0" distB="0" distL="0" distR="0" wp14:anchorId="593217F9" wp14:editId="71CE85BE">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97670E" w14:paraId="4A9ED134" w14:textId="77777777" w:rsidTr="001226EC">
        <w:trPr>
          <w:cantSplit/>
        </w:trPr>
        <w:tc>
          <w:tcPr>
            <w:tcW w:w="6771" w:type="dxa"/>
            <w:gridSpan w:val="2"/>
            <w:tcBorders>
              <w:bottom w:val="single" w:sz="12" w:space="0" w:color="auto"/>
            </w:tcBorders>
          </w:tcPr>
          <w:p w14:paraId="689F2BFE" w14:textId="77777777" w:rsidR="005651C9" w:rsidRPr="0097670E" w:rsidRDefault="005651C9">
            <w:pPr>
              <w:spacing w:after="48" w:line="240" w:lineRule="atLeast"/>
              <w:rPr>
                <w:b/>
                <w:smallCaps/>
                <w:szCs w:val="22"/>
              </w:rPr>
            </w:pPr>
            <w:bookmarkStart w:id="2" w:name="dhead"/>
          </w:p>
        </w:tc>
        <w:tc>
          <w:tcPr>
            <w:tcW w:w="3260" w:type="dxa"/>
            <w:gridSpan w:val="2"/>
            <w:tcBorders>
              <w:bottom w:val="single" w:sz="12" w:space="0" w:color="auto"/>
            </w:tcBorders>
          </w:tcPr>
          <w:p w14:paraId="3D679A7F" w14:textId="77777777" w:rsidR="005651C9" w:rsidRPr="0097670E" w:rsidRDefault="005651C9">
            <w:pPr>
              <w:spacing w:line="240" w:lineRule="atLeast"/>
              <w:rPr>
                <w:rFonts w:ascii="Verdana" w:hAnsi="Verdana"/>
                <w:szCs w:val="22"/>
              </w:rPr>
            </w:pPr>
          </w:p>
        </w:tc>
      </w:tr>
      <w:tr w:rsidR="005651C9" w:rsidRPr="0097670E" w14:paraId="55E917FB" w14:textId="77777777" w:rsidTr="001226EC">
        <w:trPr>
          <w:cantSplit/>
        </w:trPr>
        <w:tc>
          <w:tcPr>
            <w:tcW w:w="6771" w:type="dxa"/>
            <w:gridSpan w:val="2"/>
            <w:tcBorders>
              <w:top w:val="single" w:sz="12" w:space="0" w:color="auto"/>
            </w:tcBorders>
          </w:tcPr>
          <w:p w14:paraId="49CC9447" w14:textId="77777777" w:rsidR="005651C9" w:rsidRPr="0097670E" w:rsidRDefault="005651C9" w:rsidP="005651C9">
            <w:pPr>
              <w:spacing w:before="0" w:after="48" w:line="240" w:lineRule="atLeast"/>
              <w:rPr>
                <w:rFonts w:ascii="Verdana" w:hAnsi="Verdana"/>
                <w:b/>
                <w:smallCaps/>
                <w:sz w:val="18"/>
                <w:szCs w:val="22"/>
              </w:rPr>
            </w:pPr>
            <w:bookmarkStart w:id="3" w:name="dspace"/>
          </w:p>
        </w:tc>
        <w:tc>
          <w:tcPr>
            <w:tcW w:w="3260" w:type="dxa"/>
            <w:gridSpan w:val="2"/>
            <w:tcBorders>
              <w:top w:val="single" w:sz="12" w:space="0" w:color="auto"/>
            </w:tcBorders>
          </w:tcPr>
          <w:p w14:paraId="48614035" w14:textId="77777777" w:rsidR="005651C9" w:rsidRPr="0097670E" w:rsidRDefault="005651C9" w:rsidP="005651C9">
            <w:pPr>
              <w:spacing w:before="0" w:line="240" w:lineRule="atLeast"/>
              <w:rPr>
                <w:rFonts w:ascii="Verdana" w:hAnsi="Verdana"/>
                <w:sz w:val="18"/>
                <w:szCs w:val="22"/>
              </w:rPr>
            </w:pPr>
          </w:p>
        </w:tc>
      </w:tr>
      <w:bookmarkEnd w:id="2"/>
      <w:bookmarkEnd w:id="3"/>
      <w:tr w:rsidR="005651C9" w:rsidRPr="0097670E" w14:paraId="107315F3" w14:textId="77777777" w:rsidTr="001226EC">
        <w:trPr>
          <w:cantSplit/>
        </w:trPr>
        <w:tc>
          <w:tcPr>
            <w:tcW w:w="6771" w:type="dxa"/>
            <w:gridSpan w:val="2"/>
          </w:tcPr>
          <w:p w14:paraId="6A49D325" w14:textId="77777777" w:rsidR="005651C9" w:rsidRPr="0097670E" w:rsidRDefault="005A295E" w:rsidP="00C266F4">
            <w:pPr>
              <w:spacing w:before="0"/>
              <w:rPr>
                <w:rFonts w:ascii="Verdana" w:hAnsi="Verdana"/>
                <w:b/>
                <w:smallCaps/>
                <w:sz w:val="18"/>
                <w:szCs w:val="22"/>
              </w:rPr>
            </w:pPr>
            <w:r w:rsidRPr="0097670E">
              <w:rPr>
                <w:rFonts w:ascii="Verdana" w:hAnsi="Verdana"/>
                <w:b/>
                <w:smallCaps/>
                <w:sz w:val="18"/>
                <w:szCs w:val="22"/>
              </w:rPr>
              <w:t>ПЛЕНАРНОЕ ЗАСЕДАНИЕ</w:t>
            </w:r>
          </w:p>
        </w:tc>
        <w:tc>
          <w:tcPr>
            <w:tcW w:w="3260" w:type="dxa"/>
            <w:gridSpan w:val="2"/>
          </w:tcPr>
          <w:p w14:paraId="2D361FEA" w14:textId="77777777" w:rsidR="005651C9" w:rsidRPr="0097670E" w:rsidRDefault="005A295E" w:rsidP="00C266F4">
            <w:pPr>
              <w:tabs>
                <w:tab w:val="left" w:pos="851"/>
              </w:tabs>
              <w:spacing w:before="0"/>
              <w:rPr>
                <w:rFonts w:ascii="Verdana" w:hAnsi="Verdana"/>
                <w:b/>
                <w:sz w:val="18"/>
                <w:szCs w:val="18"/>
              </w:rPr>
            </w:pPr>
            <w:r w:rsidRPr="0097670E">
              <w:rPr>
                <w:rFonts w:ascii="Verdana" w:hAnsi="Verdana"/>
                <w:b/>
                <w:bCs/>
                <w:sz w:val="18"/>
                <w:szCs w:val="18"/>
              </w:rPr>
              <w:t>Дополнительный документ 1</w:t>
            </w:r>
            <w:r w:rsidRPr="0097670E">
              <w:rPr>
                <w:rFonts w:ascii="Verdana" w:hAnsi="Verdana"/>
                <w:b/>
                <w:bCs/>
                <w:sz w:val="18"/>
                <w:szCs w:val="18"/>
              </w:rPr>
              <w:br/>
              <w:t>к Документу 99(Add.27)</w:t>
            </w:r>
            <w:r w:rsidR="005651C9" w:rsidRPr="0097670E">
              <w:rPr>
                <w:rFonts w:ascii="Verdana" w:hAnsi="Verdana"/>
                <w:b/>
                <w:bCs/>
                <w:sz w:val="18"/>
                <w:szCs w:val="18"/>
              </w:rPr>
              <w:t>-</w:t>
            </w:r>
            <w:r w:rsidRPr="0097670E">
              <w:rPr>
                <w:rFonts w:ascii="Verdana" w:hAnsi="Verdana"/>
                <w:b/>
                <w:bCs/>
                <w:sz w:val="18"/>
                <w:szCs w:val="18"/>
              </w:rPr>
              <w:t>R</w:t>
            </w:r>
          </w:p>
        </w:tc>
      </w:tr>
      <w:tr w:rsidR="000F33D8" w:rsidRPr="0097670E" w14:paraId="7E01B827" w14:textId="77777777" w:rsidTr="001226EC">
        <w:trPr>
          <w:cantSplit/>
        </w:trPr>
        <w:tc>
          <w:tcPr>
            <w:tcW w:w="6771" w:type="dxa"/>
            <w:gridSpan w:val="2"/>
          </w:tcPr>
          <w:p w14:paraId="2A1DB8C3" w14:textId="77777777" w:rsidR="000F33D8" w:rsidRPr="0097670E" w:rsidRDefault="000F33D8" w:rsidP="00C266F4">
            <w:pPr>
              <w:spacing w:before="0"/>
              <w:rPr>
                <w:rFonts w:ascii="Verdana" w:hAnsi="Verdana"/>
                <w:b/>
                <w:smallCaps/>
                <w:sz w:val="18"/>
                <w:szCs w:val="22"/>
              </w:rPr>
            </w:pPr>
          </w:p>
        </w:tc>
        <w:tc>
          <w:tcPr>
            <w:tcW w:w="3260" w:type="dxa"/>
            <w:gridSpan w:val="2"/>
          </w:tcPr>
          <w:p w14:paraId="5145CE21" w14:textId="77777777" w:rsidR="000F33D8" w:rsidRPr="0097670E" w:rsidRDefault="000F33D8" w:rsidP="00C266F4">
            <w:pPr>
              <w:spacing w:before="0"/>
              <w:rPr>
                <w:rFonts w:ascii="Verdana" w:hAnsi="Verdana"/>
                <w:sz w:val="18"/>
                <w:szCs w:val="22"/>
              </w:rPr>
            </w:pPr>
            <w:r w:rsidRPr="0097670E">
              <w:rPr>
                <w:rFonts w:ascii="Verdana" w:hAnsi="Verdana"/>
                <w:b/>
                <w:bCs/>
                <w:sz w:val="18"/>
                <w:szCs w:val="18"/>
              </w:rPr>
              <w:t>27 октября 2023 года</w:t>
            </w:r>
          </w:p>
        </w:tc>
      </w:tr>
      <w:tr w:rsidR="000F33D8" w:rsidRPr="0097670E" w14:paraId="3B34612A" w14:textId="77777777" w:rsidTr="001226EC">
        <w:trPr>
          <w:cantSplit/>
        </w:trPr>
        <w:tc>
          <w:tcPr>
            <w:tcW w:w="6771" w:type="dxa"/>
            <w:gridSpan w:val="2"/>
          </w:tcPr>
          <w:p w14:paraId="2302AD27" w14:textId="77777777" w:rsidR="000F33D8" w:rsidRPr="0097670E" w:rsidRDefault="000F33D8" w:rsidP="00C266F4">
            <w:pPr>
              <w:spacing w:before="0"/>
              <w:rPr>
                <w:rFonts w:ascii="Verdana" w:hAnsi="Verdana"/>
                <w:b/>
                <w:smallCaps/>
                <w:sz w:val="18"/>
                <w:szCs w:val="22"/>
              </w:rPr>
            </w:pPr>
          </w:p>
        </w:tc>
        <w:tc>
          <w:tcPr>
            <w:tcW w:w="3260" w:type="dxa"/>
            <w:gridSpan w:val="2"/>
          </w:tcPr>
          <w:p w14:paraId="38B963BF" w14:textId="77777777" w:rsidR="000F33D8" w:rsidRPr="0097670E" w:rsidRDefault="000F33D8" w:rsidP="00C266F4">
            <w:pPr>
              <w:spacing w:before="0"/>
              <w:rPr>
                <w:rFonts w:ascii="Verdana" w:hAnsi="Verdana"/>
                <w:sz w:val="18"/>
                <w:szCs w:val="22"/>
              </w:rPr>
            </w:pPr>
            <w:r w:rsidRPr="0097670E">
              <w:rPr>
                <w:rFonts w:ascii="Verdana" w:hAnsi="Verdana"/>
                <w:b/>
                <w:bCs/>
                <w:sz w:val="18"/>
                <w:szCs w:val="22"/>
              </w:rPr>
              <w:t>Оригинал: английский</w:t>
            </w:r>
          </w:p>
        </w:tc>
      </w:tr>
      <w:tr w:rsidR="000F33D8" w:rsidRPr="0097670E" w14:paraId="50D85864" w14:textId="77777777" w:rsidTr="009546EA">
        <w:trPr>
          <w:cantSplit/>
        </w:trPr>
        <w:tc>
          <w:tcPr>
            <w:tcW w:w="10031" w:type="dxa"/>
            <w:gridSpan w:val="4"/>
          </w:tcPr>
          <w:p w14:paraId="63806CBC" w14:textId="77777777" w:rsidR="000F33D8" w:rsidRPr="0097670E" w:rsidRDefault="000F33D8" w:rsidP="004B716F">
            <w:pPr>
              <w:spacing w:before="0"/>
              <w:rPr>
                <w:rFonts w:ascii="Verdana" w:hAnsi="Verdana"/>
                <w:b/>
                <w:bCs/>
                <w:sz w:val="18"/>
                <w:szCs w:val="22"/>
              </w:rPr>
            </w:pPr>
          </w:p>
        </w:tc>
      </w:tr>
      <w:tr w:rsidR="000F33D8" w:rsidRPr="0097670E" w14:paraId="6F422AE1" w14:textId="77777777">
        <w:trPr>
          <w:cantSplit/>
        </w:trPr>
        <w:tc>
          <w:tcPr>
            <w:tcW w:w="10031" w:type="dxa"/>
            <w:gridSpan w:val="4"/>
          </w:tcPr>
          <w:p w14:paraId="16C3C3FB" w14:textId="77777777" w:rsidR="000F33D8" w:rsidRPr="0097670E" w:rsidRDefault="000F33D8" w:rsidP="000F33D8">
            <w:pPr>
              <w:pStyle w:val="Source"/>
              <w:rPr>
                <w:szCs w:val="26"/>
              </w:rPr>
            </w:pPr>
            <w:bookmarkStart w:id="4" w:name="dsource" w:colFirst="0" w:colLast="0"/>
            <w:r w:rsidRPr="0097670E">
              <w:rPr>
                <w:szCs w:val="26"/>
              </w:rPr>
              <w:t>Япония</w:t>
            </w:r>
          </w:p>
        </w:tc>
      </w:tr>
      <w:tr w:rsidR="000F33D8" w:rsidRPr="0097670E" w14:paraId="71F83EF0" w14:textId="77777777">
        <w:trPr>
          <w:cantSplit/>
        </w:trPr>
        <w:tc>
          <w:tcPr>
            <w:tcW w:w="10031" w:type="dxa"/>
            <w:gridSpan w:val="4"/>
          </w:tcPr>
          <w:p w14:paraId="5873EA81" w14:textId="14F09127" w:rsidR="000F33D8" w:rsidRPr="0097670E" w:rsidRDefault="00D81168" w:rsidP="000F33D8">
            <w:pPr>
              <w:pStyle w:val="Title1"/>
              <w:rPr>
                <w:szCs w:val="26"/>
              </w:rPr>
            </w:pPr>
            <w:bookmarkStart w:id="5" w:name="dtitle1" w:colFirst="0" w:colLast="0"/>
            <w:bookmarkEnd w:id="4"/>
            <w:r w:rsidRPr="0097670E">
              <w:rPr>
                <w:szCs w:val="26"/>
              </w:rPr>
              <w:t>предложения для работы конференции</w:t>
            </w:r>
          </w:p>
        </w:tc>
      </w:tr>
      <w:tr w:rsidR="000F33D8" w:rsidRPr="0097670E" w14:paraId="4036456E" w14:textId="77777777">
        <w:trPr>
          <w:cantSplit/>
        </w:trPr>
        <w:tc>
          <w:tcPr>
            <w:tcW w:w="10031" w:type="dxa"/>
            <w:gridSpan w:val="4"/>
          </w:tcPr>
          <w:p w14:paraId="5B93627D" w14:textId="77777777" w:rsidR="000F33D8" w:rsidRPr="0097670E" w:rsidRDefault="000F33D8" w:rsidP="000F33D8">
            <w:pPr>
              <w:pStyle w:val="Title2"/>
              <w:rPr>
                <w:szCs w:val="26"/>
              </w:rPr>
            </w:pPr>
            <w:bookmarkStart w:id="6" w:name="dtitle2" w:colFirst="0" w:colLast="0"/>
            <w:bookmarkEnd w:id="5"/>
          </w:p>
        </w:tc>
      </w:tr>
      <w:tr w:rsidR="000F33D8" w:rsidRPr="0097670E" w14:paraId="436C55C3" w14:textId="77777777">
        <w:trPr>
          <w:cantSplit/>
        </w:trPr>
        <w:tc>
          <w:tcPr>
            <w:tcW w:w="10031" w:type="dxa"/>
            <w:gridSpan w:val="4"/>
          </w:tcPr>
          <w:p w14:paraId="7D1255A3" w14:textId="77777777" w:rsidR="000F33D8" w:rsidRPr="0097670E" w:rsidRDefault="000F33D8" w:rsidP="000F33D8">
            <w:pPr>
              <w:pStyle w:val="Agendaitem"/>
              <w:rPr>
                <w:lang w:val="ru-RU"/>
              </w:rPr>
            </w:pPr>
            <w:bookmarkStart w:id="7" w:name="dtitle3" w:colFirst="0" w:colLast="0"/>
            <w:bookmarkEnd w:id="6"/>
            <w:r w:rsidRPr="0097670E">
              <w:rPr>
                <w:lang w:val="ru-RU"/>
              </w:rPr>
              <w:t>Пункт 10 повестки дня</w:t>
            </w:r>
          </w:p>
        </w:tc>
      </w:tr>
    </w:tbl>
    <w:bookmarkEnd w:id="7"/>
    <w:p w14:paraId="2E22E3F2" w14:textId="77777777" w:rsidR="00DB55AE" w:rsidRPr="0097670E" w:rsidRDefault="00AD0668" w:rsidP="00AE133A">
      <w:r w:rsidRPr="0097670E">
        <w:t>10</w:t>
      </w:r>
      <w:r w:rsidRPr="0097670E">
        <w:tab/>
        <w:t xml:space="preserve">рекомендовать Совету МСЭ пункты для включения в повестку дня следующей всемирной конференции радиосвязи и пункты для предварительной повестки дня будущих конференций в соответствии со Статьей 7 Конвенции МСЭ и Резолюцией </w:t>
      </w:r>
      <w:r w:rsidRPr="0097670E">
        <w:rPr>
          <w:b/>
          <w:bCs/>
          <w:iCs/>
        </w:rPr>
        <w:t>804 (</w:t>
      </w:r>
      <w:r w:rsidRPr="0097670E">
        <w:rPr>
          <w:b/>
          <w:bCs/>
        </w:rPr>
        <w:t>Пересм. ВКР-</w:t>
      </w:r>
      <w:r w:rsidRPr="0097670E">
        <w:rPr>
          <w:b/>
          <w:bCs/>
          <w:iCs/>
        </w:rPr>
        <w:t>19)</w:t>
      </w:r>
      <w:r w:rsidRPr="0097670E">
        <w:t>,</w:t>
      </w:r>
    </w:p>
    <w:p w14:paraId="0B8F870B" w14:textId="471FCA91" w:rsidR="00DF33CC" w:rsidRPr="0097670E" w:rsidRDefault="00D81168" w:rsidP="00DF33CC">
      <w:pPr>
        <w:pStyle w:val="Headingb0"/>
        <w:rPr>
          <w:lang w:val="ru-RU"/>
        </w:rPr>
      </w:pPr>
      <w:r w:rsidRPr="0097670E">
        <w:rPr>
          <w:lang w:val="ru-RU"/>
        </w:rPr>
        <w:t>Введение</w:t>
      </w:r>
    </w:p>
    <w:p w14:paraId="1C3C7974" w14:textId="287116C4" w:rsidR="00DF33CC" w:rsidRPr="0097670E" w:rsidRDefault="009F7D8F" w:rsidP="00DF33CC">
      <w:r w:rsidRPr="0097670E">
        <w:t xml:space="preserve">Япония предлагает новый пункт повестки дня ВКР-27 </w:t>
      </w:r>
      <w:r w:rsidR="00703A28" w:rsidRPr="0097670E">
        <w:t>в целях</w:t>
      </w:r>
      <w:r w:rsidRPr="0097670E">
        <w:t xml:space="preserve"> рассмотрения новых распределений подвижной спутниковой службе (ПСС), котор</w:t>
      </w:r>
      <w:r w:rsidR="00D85FAE" w:rsidRPr="0097670E">
        <w:t>ую</w:t>
      </w:r>
      <w:r w:rsidRPr="0097670E">
        <w:t xml:space="preserve"> предполагается использовать только для </w:t>
      </w:r>
      <w:r w:rsidR="00A84BC8" w:rsidRPr="0097670E">
        <w:t xml:space="preserve">обеспечения </w:t>
      </w:r>
      <w:r w:rsidRPr="0097670E">
        <w:t xml:space="preserve">прямых соединений между спутником НГСО и оборудованием </w:t>
      </w:r>
      <w:r w:rsidR="00EA50EF" w:rsidRPr="0097670E">
        <w:t xml:space="preserve">пользователей </w:t>
      </w:r>
      <w:r w:rsidRPr="0097670E">
        <w:t xml:space="preserve">IMT в наземных системах IMT, </w:t>
      </w:r>
      <w:bookmarkStart w:id="8" w:name="_Hlk149821617"/>
      <w:r w:rsidRPr="0097670E">
        <w:t xml:space="preserve">с тем чтобы обеспечить защиту служб, которым полосы частот распределены на первичной основе, в полосах частот 698−960 МГц, 1427−1518 МГц, 1710−1980 МГц, 2010−2025 МГц и 2110−2170 МГц, определенных </w:t>
      </w:r>
      <w:r w:rsidR="008B23D3" w:rsidRPr="0097670E">
        <w:t xml:space="preserve">для наземного </w:t>
      </w:r>
      <w:r w:rsidR="00A13A9F" w:rsidRPr="0097670E">
        <w:t>сегмента</w:t>
      </w:r>
      <w:r w:rsidR="008B23D3" w:rsidRPr="0097670E">
        <w:t xml:space="preserve"> IMT, при условии что новые распределения ПСС не будут создавать вредных помех станциям других служб, имеющим распределения на первичной основе, включая наземные системы IMT в соседних странах, и требовать защиты от них.</w:t>
      </w:r>
      <w:bookmarkEnd w:id="8"/>
    </w:p>
    <w:p w14:paraId="570C236B" w14:textId="4EB8D234" w:rsidR="0003535B" w:rsidRPr="0097670E" w:rsidRDefault="00D81168" w:rsidP="00DF33CC">
      <w:pPr>
        <w:pStyle w:val="Headingb0"/>
        <w:rPr>
          <w:lang w:val="ru-RU"/>
        </w:rPr>
      </w:pPr>
      <w:r w:rsidRPr="0097670E">
        <w:rPr>
          <w:lang w:val="ru-RU"/>
        </w:rPr>
        <w:t>Предложение</w:t>
      </w:r>
    </w:p>
    <w:p w14:paraId="07B79644" w14:textId="77777777" w:rsidR="009B5CC2" w:rsidRPr="0097670E" w:rsidRDefault="009B5CC2" w:rsidP="009B5CC2">
      <w:pPr>
        <w:tabs>
          <w:tab w:val="clear" w:pos="1134"/>
          <w:tab w:val="clear" w:pos="1871"/>
          <w:tab w:val="clear" w:pos="2268"/>
        </w:tabs>
        <w:overflowPunct/>
        <w:autoSpaceDE/>
        <w:autoSpaceDN/>
        <w:adjustRightInd/>
        <w:spacing w:before="0"/>
        <w:textAlignment w:val="auto"/>
      </w:pPr>
      <w:r w:rsidRPr="0097670E">
        <w:br w:type="page"/>
      </w:r>
    </w:p>
    <w:p w14:paraId="290C72BD" w14:textId="77777777" w:rsidR="00044EEC" w:rsidRPr="0097670E" w:rsidRDefault="00AD0668">
      <w:pPr>
        <w:pStyle w:val="Proposal"/>
      </w:pPr>
      <w:r w:rsidRPr="0097670E">
        <w:lastRenderedPageBreak/>
        <w:t>ADD</w:t>
      </w:r>
      <w:r w:rsidRPr="0097670E">
        <w:tab/>
        <w:t>J/99A27A1/1</w:t>
      </w:r>
    </w:p>
    <w:p w14:paraId="5D9A93CD" w14:textId="22063BB6" w:rsidR="00044EEC" w:rsidRPr="0097670E" w:rsidRDefault="00401A98">
      <w:pPr>
        <w:pStyle w:val="ResNo"/>
      </w:pPr>
      <w:bookmarkStart w:id="9" w:name="_Toc450048854"/>
      <w:r w:rsidRPr="0097670E">
        <w:t>резолюция</w:t>
      </w:r>
      <w:r w:rsidR="002E7595" w:rsidRPr="0097670E">
        <w:t xml:space="preserve"> </w:t>
      </w:r>
      <w:r w:rsidR="00AD0668" w:rsidRPr="0097670E">
        <w:t>[below 2.2 GHz MSS for IMT] (ВКР</w:t>
      </w:r>
      <w:r w:rsidR="002E7595" w:rsidRPr="0097670E">
        <w:t>-23)</w:t>
      </w:r>
      <w:bookmarkEnd w:id="9"/>
    </w:p>
    <w:p w14:paraId="0E2502D5" w14:textId="28D6BB59" w:rsidR="00044EEC" w:rsidRPr="0097670E" w:rsidRDefault="00A13A9F">
      <w:pPr>
        <w:pStyle w:val="Restitle"/>
      </w:pPr>
      <w:bookmarkStart w:id="10" w:name="_Toc319401924"/>
      <w:bookmarkStart w:id="11" w:name="_Toc450048855"/>
      <w:r w:rsidRPr="0097670E">
        <w:rPr>
          <w:rFonts w:ascii="Times New Roman"/>
        </w:rPr>
        <w:t>Исследования</w:t>
      </w:r>
      <w:r w:rsidRPr="0097670E">
        <w:rPr>
          <w:rFonts w:ascii="Times New Roman"/>
        </w:rPr>
        <w:t xml:space="preserve"> </w:t>
      </w:r>
      <w:r w:rsidRPr="0097670E">
        <w:rPr>
          <w:rFonts w:ascii="Times New Roman"/>
        </w:rPr>
        <w:t>по</w:t>
      </w:r>
      <w:r w:rsidRPr="0097670E">
        <w:rPr>
          <w:rFonts w:ascii="Times New Roman"/>
        </w:rPr>
        <w:t xml:space="preserve"> </w:t>
      </w:r>
      <w:r w:rsidRPr="0097670E">
        <w:rPr>
          <w:rFonts w:ascii="Times New Roman"/>
        </w:rPr>
        <w:t>вопросам</w:t>
      </w:r>
      <w:r w:rsidRPr="0097670E">
        <w:rPr>
          <w:rFonts w:ascii="Times New Roman"/>
        </w:rPr>
        <w:t xml:space="preserve">, </w:t>
      </w:r>
      <w:r w:rsidRPr="0097670E">
        <w:rPr>
          <w:rFonts w:ascii="Times New Roman"/>
        </w:rPr>
        <w:t>связанным</w:t>
      </w:r>
      <w:r w:rsidRPr="0097670E">
        <w:rPr>
          <w:rFonts w:ascii="Times New Roman"/>
        </w:rPr>
        <w:t xml:space="preserve"> </w:t>
      </w:r>
      <w:r w:rsidRPr="0097670E">
        <w:rPr>
          <w:rFonts w:ascii="Times New Roman"/>
        </w:rPr>
        <w:t>с</w:t>
      </w:r>
      <w:r w:rsidRPr="0097670E">
        <w:rPr>
          <w:rFonts w:ascii="Times New Roman"/>
        </w:rPr>
        <w:t xml:space="preserve"> </w:t>
      </w:r>
      <w:r w:rsidRPr="0097670E">
        <w:rPr>
          <w:rFonts w:ascii="Times New Roman"/>
        </w:rPr>
        <w:t>частотами</w:t>
      </w:r>
      <w:r w:rsidRPr="0097670E">
        <w:rPr>
          <w:rFonts w:ascii="Times New Roman"/>
        </w:rPr>
        <w:t xml:space="preserve">, </w:t>
      </w:r>
      <w:r w:rsidRPr="0097670E">
        <w:rPr>
          <w:rFonts w:ascii="Times New Roman"/>
        </w:rPr>
        <w:t>в</w:t>
      </w:r>
      <w:r w:rsidRPr="0097670E">
        <w:rPr>
          <w:rFonts w:ascii="Times New Roman"/>
        </w:rPr>
        <w:t xml:space="preserve"> </w:t>
      </w:r>
      <w:r w:rsidRPr="0097670E">
        <w:rPr>
          <w:rFonts w:ascii="Times New Roman"/>
        </w:rPr>
        <w:t>полосах</w:t>
      </w:r>
      <w:r w:rsidRPr="0097670E">
        <w:rPr>
          <w:rFonts w:ascii="Times New Roman"/>
        </w:rPr>
        <w:t xml:space="preserve"> </w:t>
      </w:r>
      <w:r w:rsidRPr="0097670E">
        <w:rPr>
          <w:rFonts w:ascii="Times New Roman"/>
        </w:rPr>
        <w:t>частот</w:t>
      </w:r>
      <w:r w:rsidRPr="0097670E">
        <w:rPr>
          <w:rFonts w:ascii="Times New Roman"/>
        </w:rPr>
        <w:t xml:space="preserve"> </w:t>
      </w:r>
      <w:r w:rsidRPr="0097670E">
        <w:rPr>
          <w:rFonts w:ascii="Times New Roman"/>
        </w:rPr>
        <w:t>ниже</w:t>
      </w:r>
      <w:r w:rsidRPr="0097670E">
        <w:rPr>
          <w:rFonts w:ascii="Times New Roman"/>
        </w:rPr>
        <w:t xml:space="preserve"> 2,2</w:t>
      </w:r>
      <w:r w:rsidRPr="0097670E">
        <w:rPr>
          <w:rFonts w:ascii="Times New Roman"/>
        </w:rPr>
        <w:t> ГГц</w:t>
      </w:r>
      <w:r w:rsidRPr="0097670E">
        <w:rPr>
          <w:rFonts w:ascii="Times New Roman"/>
        </w:rPr>
        <w:t xml:space="preserve">, </w:t>
      </w:r>
      <w:r w:rsidRPr="0097670E">
        <w:rPr>
          <w:rFonts w:ascii="Times New Roman"/>
        </w:rPr>
        <w:t>определенных</w:t>
      </w:r>
      <w:r w:rsidRPr="0097670E">
        <w:rPr>
          <w:rFonts w:ascii="Times New Roman"/>
        </w:rPr>
        <w:t xml:space="preserve"> </w:t>
      </w:r>
      <w:r w:rsidRPr="0097670E">
        <w:rPr>
          <w:rFonts w:ascii="Times New Roman"/>
        </w:rPr>
        <w:t>для</w:t>
      </w:r>
      <w:r w:rsidRPr="0097670E">
        <w:rPr>
          <w:rFonts w:ascii="Times New Roman"/>
        </w:rPr>
        <w:t xml:space="preserve"> IMT </w:t>
      </w:r>
      <w:r w:rsidRPr="0097670E">
        <w:rPr>
          <w:rFonts w:ascii="Times New Roman"/>
        </w:rPr>
        <w:t>в</w:t>
      </w:r>
      <w:r w:rsidRPr="0097670E">
        <w:rPr>
          <w:rFonts w:ascii="Times New Roman"/>
        </w:rPr>
        <w:t xml:space="preserve"> </w:t>
      </w:r>
      <w:r w:rsidRPr="0097670E">
        <w:rPr>
          <w:rFonts w:ascii="Times New Roman"/>
        </w:rPr>
        <w:t>целях</w:t>
      </w:r>
      <w:r w:rsidRPr="0097670E">
        <w:rPr>
          <w:rFonts w:ascii="Times New Roman"/>
        </w:rPr>
        <w:t xml:space="preserve"> </w:t>
      </w:r>
      <w:r w:rsidRPr="0097670E">
        <w:rPr>
          <w:rFonts w:ascii="Times New Roman"/>
        </w:rPr>
        <w:t>будущего</w:t>
      </w:r>
      <w:r w:rsidRPr="0097670E">
        <w:rPr>
          <w:rFonts w:ascii="Times New Roman"/>
        </w:rPr>
        <w:t xml:space="preserve"> </w:t>
      </w:r>
      <w:r w:rsidRPr="0097670E">
        <w:rPr>
          <w:rFonts w:ascii="Times New Roman"/>
        </w:rPr>
        <w:t>развития</w:t>
      </w:r>
      <w:r w:rsidRPr="0097670E">
        <w:rPr>
          <w:rFonts w:ascii="Times New Roman"/>
        </w:rPr>
        <w:t xml:space="preserve"> </w:t>
      </w:r>
      <w:r w:rsidRPr="0097670E">
        <w:rPr>
          <w:rFonts w:ascii="Times New Roman"/>
        </w:rPr>
        <w:t>систем</w:t>
      </w:r>
      <w:r w:rsidR="00BA0FC5" w:rsidRPr="0097670E">
        <w:rPr>
          <w:rFonts w:ascii="Times New Roman"/>
        </w:rPr>
        <w:t> </w:t>
      </w:r>
      <w:r w:rsidRPr="0097670E">
        <w:rPr>
          <w:rFonts w:ascii="Times New Roman"/>
        </w:rPr>
        <w:t>подвижной</w:t>
      </w:r>
      <w:r w:rsidR="00BA0FC5" w:rsidRPr="0097670E">
        <w:rPr>
          <w:rFonts w:ascii="Times New Roman"/>
        </w:rPr>
        <w:t> </w:t>
      </w:r>
      <w:r w:rsidRPr="0097670E">
        <w:rPr>
          <w:rFonts w:ascii="Times New Roman"/>
        </w:rPr>
        <w:t>спутниковой</w:t>
      </w:r>
      <w:r w:rsidRPr="0097670E">
        <w:rPr>
          <w:rFonts w:ascii="Times New Roman"/>
        </w:rPr>
        <w:t xml:space="preserve"> </w:t>
      </w:r>
      <w:r w:rsidRPr="0097670E">
        <w:rPr>
          <w:rFonts w:ascii="Times New Roman"/>
        </w:rPr>
        <w:t>связи</w:t>
      </w:r>
      <w:bookmarkEnd w:id="10"/>
      <w:bookmarkEnd w:id="11"/>
    </w:p>
    <w:p w14:paraId="3CEA534F" w14:textId="77777777" w:rsidR="002E7595" w:rsidRPr="0097670E" w:rsidRDefault="005F234E" w:rsidP="002E7595">
      <w:pPr>
        <w:pStyle w:val="Normalaftertitle"/>
      </w:pPr>
      <w:r w:rsidRPr="0097670E">
        <w:t>Всемирная конференция радиосвязи (Дубай, 2023 г.),</w:t>
      </w:r>
    </w:p>
    <w:p w14:paraId="048AE4CE" w14:textId="662B0013" w:rsidR="002E7595" w:rsidRPr="00525F47" w:rsidRDefault="000E63F4" w:rsidP="002E7595">
      <w:pPr>
        <w:pStyle w:val="Call"/>
        <w:rPr>
          <w:i w:val="0"/>
          <w:iCs/>
        </w:rPr>
      </w:pPr>
      <w:r w:rsidRPr="0097670E">
        <w:t>учитывая</w:t>
      </w:r>
      <w:r w:rsidRPr="00525F47">
        <w:rPr>
          <w:i w:val="0"/>
          <w:iCs/>
        </w:rPr>
        <w:t>,</w:t>
      </w:r>
    </w:p>
    <w:p w14:paraId="5F7863EA" w14:textId="33884343" w:rsidR="002E7595" w:rsidRPr="0097670E" w:rsidRDefault="002E7595" w:rsidP="002E7595">
      <w:r w:rsidRPr="0097670E">
        <w:rPr>
          <w:i/>
          <w:iCs/>
        </w:rPr>
        <w:t>a)</w:t>
      </w:r>
      <w:r w:rsidRPr="0097670E">
        <w:tab/>
      </w:r>
      <w:r w:rsidR="000E63F4" w:rsidRPr="0097670E">
        <w:t xml:space="preserve">что может возникнуть необходимость в </w:t>
      </w:r>
      <w:r w:rsidR="00CA2A15" w:rsidRPr="0097670E">
        <w:t>дополнительном распределении</w:t>
      </w:r>
      <w:r w:rsidR="000E63F4" w:rsidRPr="0097670E">
        <w:t xml:space="preserve"> полос частот ниже 2,2 ГГц</w:t>
      </w:r>
      <w:r w:rsidR="00CA2A15" w:rsidRPr="0097670E">
        <w:t xml:space="preserve"> </w:t>
      </w:r>
      <w:r w:rsidR="000E63F4" w:rsidRPr="0097670E">
        <w:t>подвижной спутниковой службе (ПСС)</w:t>
      </w:r>
      <w:r w:rsidR="00CA2A15" w:rsidRPr="0097670E">
        <w:t xml:space="preserve"> в целях </w:t>
      </w:r>
      <w:r w:rsidR="00703A28" w:rsidRPr="0097670E">
        <w:t>поддержания</w:t>
      </w:r>
      <w:r w:rsidR="00CA2A15" w:rsidRPr="0097670E">
        <w:t xml:space="preserve"> работы наземного сегмента IMT в интересах пользователей подвижной связи </w:t>
      </w:r>
      <w:r w:rsidR="00913C66" w:rsidRPr="0097670E">
        <w:t>в глобальном масштабе</w:t>
      </w:r>
      <w:r w:rsidR="00CA2A15" w:rsidRPr="0097670E">
        <w:t xml:space="preserve">; </w:t>
      </w:r>
    </w:p>
    <w:p w14:paraId="289DE0E0" w14:textId="0A8543E9" w:rsidR="002E7595" w:rsidRPr="0097670E" w:rsidRDefault="002E7595" w:rsidP="002E7595">
      <w:r w:rsidRPr="0097670E">
        <w:rPr>
          <w:i/>
          <w:iCs/>
        </w:rPr>
        <w:t>b)</w:t>
      </w:r>
      <w:r w:rsidRPr="0097670E">
        <w:tab/>
      </w:r>
      <w:r w:rsidR="00CA2A15" w:rsidRPr="0097670E">
        <w:t xml:space="preserve">что некоторые операторы спутниковых сетей сотрудничают с операторами наземных сетей IMT во всем мире в целях создания сети, которая обеспечит </w:t>
      </w:r>
      <w:r w:rsidR="00703A28" w:rsidRPr="0097670E">
        <w:t>возможность прямых</w:t>
      </w:r>
      <w:r w:rsidR="00CA2A15" w:rsidRPr="0097670E">
        <w:t xml:space="preserve"> соединени</w:t>
      </w:r>
      <w:r w:rsidR="00703A28" w:rsidRPr="0097670E">
        <w:t>й</w:t>
      </w:r>
      <w:r w:rsidR="00CA2A15" w:rsidRPr="0097670E">
        <w:t xml:space="preserve"> между системой подвижной спутниковой связи и существующим оборудованием </w:t>
      </w:r>
      <w:r w:rsidR="00EA50EF" w:rsidRPr="0097670E">
        <w:t xml:space="preserve">пользователей </w:t>
      </w:r>
      <w:r w:rsidR="00CA2A15" w:rsidRPr="0097670E">
        <w:t>(</w:t>
      </w:r>
      <w:r w:rsidR="00EA50EF" w:rsidRPr="0097670E">
        <w:t>ОП</w:t>
      </w:r>
      <w:r w:rsidR="00CA2A15" w:rsidRPr="0097670E">
        <w:t xml:space="preserve">) IMT c использованием полос частот, определенных в Регламенте радиосвязи (РР) для IMT; </w:t>
      </w:r>
    </w:p>
    <w:p w14:paraId="4BC8B52F" w14:textId="3103FFC0" w:rsidR="002E7595" w:rsidRPr="0097670E" w:rsidRDefault="002E7595" w:rsidP="002E7595">
      <w:r w:rsidRPr="0097670E">
        <w:rPr>
          <w:i/>
          <w:iCs/>
        </w:rPr>
        <w:t>c)</w:t>
      </w:r>
      <w:r w:rsidRPr="0097670E">
        <w:tab/>
      </w:r>
      <w:r w:rsidR="00913C66" w:rsidRPr="0097670E">
        <w:t>что систем</w:t>
      </w:r>
      <w:r w:rsidR="00BD2B36" w:rsidRPr="0097670E">
        <w:t>а</w:t>
      </w:r>
      <w:r w:rsidR="00913C66" w:rsidRPr="0097670E">
        <w:t xml:space="preserve"> подвижной спутниковой связи способн</w:t>
      </w:r>
      <w:r w:rsidR="00BD2B36" w:rsidRPr="0097670E">
        <w:t>а</w:t>
      </w:r>
      <w:r w:rsidR="00913C66" w:rsidRPr="0097670E">
        <w:t xml:space="preserve"> обеспечить дополнительное покрытие для установления соединений подвижной связи из космоса в рамках систем IMT в таких районах, как высокогорье, отдаленные острова и пустыни, где существует дефицит надежных источников энергии, а также другой инфраструктуры для развертывания наземных базовых станций;</w:t>
      </w:r>
    </w:p>
    <w:p w14:paraId="6DDBB4AC" w14:textId="42C6812C" w:rsidR="002E7595" w:rsidRPr="0097670E" w:rsidRDefault="002E7595" w:rsidP="002E7595">
      <w:r w:rsidRPr="0097670E">
        <w:rPr>
          <w:i/>
          <w:iCs/>
        </w:rPr>
        <w:t>d)</w:t>
      </w:r>
      <w:r w:rsidRPr="0097670E">
        <w:tab/>
      </w:r>
      <w:r w:rsidR="00BD2B36" w:rsidRPr="0097670E">
        <w:t>что система подвижной спутниковой связи позволит создать альтернативные пути обеспечения устойчивости сетей на случай отказа наземных базовых станций IMT из-за неожиданных инцидентов</w:t>
      </w:r>
      <w:r w:rsidR="00AF7B8B" w:rsidRPr="0097670E">
        <w:t>, например стихийных бедствий или выхода сетей из строя;</w:t>
      </w:r>
    </w:p>
    <w:p w14:paraId="20AF1A34" w14:textId="77777777" w:rsidR="002E7595" w:rsidRPr="0097670E" w:rsidRDefault="002E7595" w:rsidP="002E7595">
      <w:r w:rsidRPr="0097670E">
        <w:rPr>
          <w:i/>
          <w:iCs/>
        </w:rPr>
        <w:t>e)</w:t>
      </w:r>
      <w:r w:rsidRPr="0097670E">
        <w:tab/>
      </w:r>
      <w:r w:rsidR="005F234E" w:rsidRPr="0097670E">
        <w:t>что в результате стандартизации IMT-Advanced и IMT-2020 произошло значительное развитие систем IMT в части определения спектра, развертывания сетей и технологии радиодоступа</w:t>
      </w:r>
      <w:r w:rsidRPr="0097670E">
        <w:t>;</w:t>
      </w:r>
    </w:p>
    <w:p w14:paraId="788D1022" w14:textId="77777777" w:rsidR="002E7595" w:rsidRPr="0097670E" w:rsidRDefault="002E7595" w:rsidP="002E7595">
      <w:r w:rsidRPr="0097670E">
        <w:rPr>
          <w:i/>
          <w:iCs/>
        </w:rPr>
        <w:t>f)</w:t>
      </w:r>
      <w:r w:rsidRPr="0097670E">
        <w:tab/>
      </w:r>
      <w:r w:rsidR="005F234E" w:rsidRPr="0097670E">
        <w:t>что исследования новых топологий сетей IMT могут обеспечить более высокую спектральную эффективность в полосах частот, уже определенных для IMT</w:t>
      </w:r>
      <w:r w:rsidRPr="0097670E">
        <w:t>;</w:t>
      </w:r>
    </w:p>
    <w:p w14:paraId="56B0E0FC" w14:textId="54564262" w:rsidR="002E7595" w:rsidRPr="0097670E" w:rsidRDefault="002E7595" w:rsidP="002E7595">
      <w:r w:rsidRPr="0097670E">
        <w:rPr>
          <w:i/>
          <w:iCs/>
        </w:rPr>
        <w:t>g)</w:t>
      </w:r>
      <w:r w:rsidRPr="0097670E">
        <w:tab/>
      </w:r>
      <w:r w:rsidR="00EA50EF" w:rsidRPr="0097670E">
        <w:t xml:space="preserve">что, как ожидается, неназемная сеть (NTN) станет одним из проводников технологий, которые послужат расширению наземной сети IMT-2030; </w:t>
      </w:r>
    </w:p>
    <w:p w14:paraId="5AB40E78" w14:textId="0C3D9BCC" w:rsidR="002E7595" w:rsidRPr="0097670E" w:rsidRDefault="002E7595" w:rsidP="002E7595">
      <w:r w:rsidRPr="0097670E">
        <w:rPr>
          <w:i/>
          <w:iCs/>
        </w:rPr>
        <w:t>h)</w:t>
      </w:r>
      <w:r w:rsidRPr="0097670E">
        <w:tab/>
      </w:r>
      <w:r w:rsidR="00EA50EF" w:rsidRPr="0097670E">
        <w:t xml:space="preserve">что система подвижной спутниковой связи способна обеспечить возможности установления соединений подвижной связи в недостаточно обслуживаемых сообществах, а также в сельских и отдаленных районах; </w:t>
      </w:r>
    </w:p>
    <w:p w14:paraId="489BF326" w14:textId="77777777" w:rsidR="002E7595" w:rsidRPr="0097670E" w:rsidRDefault="002E7595" w:rsidP="002E7595">
      <w:r w:rsidRPr="0097670E">
        <w:rPr>
          <w:i/>
          <w:iCs/>
        </w:rPr>
        <w:t>i)</w:t>
      </w:r>
      <w:r w:rsidRPr="0097670E">
        <w:tab/>
      </w:r>
      <w:r w:rsidR="005F234E" w:rsidRPr="0097670E">
        <w:t>что МСЭ-R провел исследования в отношении интегрированных систем ПСС и наземного сегмента и что некоторые администрации уже осуществляют такое использование</w:t>
      </w:r>
      <w:r w:rsidRPr="0097670E">
        <w:t>;</w:t>
      </w:r>
    </w:p>
    <w:p w14:paraId="21CBE5AD" w14:textId="7F38F611" w:rsidR="002E7595" w:rsidRPr="0097670E" w:rsidRDefault="002E7595" w:rsidP="002E7595">
      <w:r w:rsidRPr="0097670E">
        <w:rPr>
          <w:i/>
          <w:iCs/>
        </w:rPr>
        <w:t>j)</w:t>
      </w:r>
      <w:r w:rsidRPr="0097670E">
        <w:tab/>
      </w:r>
      <w:r w:rsidR="00EA50EF" w:rsidRPr="0097670E">
        <w:t xml:space="preserve">что благодаря развитию технологий при применении определенного технического метода и определенных условиях может быть обеспечена совместимость </w:t>
      </w:r>
      <w:r w:rsidR="00346AD0" w:rsidRPr="0097670E">
        <w:t>системы подвижной спутниковой связи</w:t>
      </w:r>
      <w:r w:rsidR="00EA50EF" w:rsidRPr="0097670E">
        <w:t xml:space="preserve"> и ее использование в одних частотах с другими с существующими службами в </w:t>
      </w:r>
      <w:r w:rsidR="00886302" w:rsidRPr="0097670E">
        <w:t>полосах частот</w:t>
      </w:r>
      <w:r w:rsidR="00EA50EF" w:rsidRPr="0097670E">
        <w:t xml:space="preserve"> ниже </w:t>
      </w:r>
      <w:r w:rsidR="00346AD0" w:rsidRPr="0097670E">
        <w:t>2,2 </w:t>
      </w:r>
      <w:r w:rsidR="00EA50EF" w:rsidRPr="0097670E">
        <w:t xml:space="preserve">ГГц; </w:t>
      </w:r>
    </w:p>
    <w:p w14:paraId="2636F4C4" w14:textId="1F96A917" w:rsidR="002E7595" w:rsidRPr="0097670E" w:rsidRDefault="002E7595" w:rsidP="002E7595">
      <w:r w:rsidRPr="0097670E">
        <w:rPr>
          <w:i/>
          <w:iCs/>
        </w:rPr>
        <w:t>k)</w:t>
      </w:r>
      <w:r w:rsidRPr="0097670E">
        <w:tab/>
      </w:r>
      <w:r w:rsidR="005F234E" w:rsidRPr="0097670E">
        <w:t xml:space="preserve">что при рассмотрении возможного нового распределения ПСС в полосе частот ниже 2,2 ГГц необходимо определить условия и регламентарные положения в отношении сосуществования совместно использующих </w:t>
      </w:r>
      <w:r w:rsidR="00346AD0" w:rsidRPr="0097670E">
        <w:t>эту</w:t>
      </w:r>
      <w:r w:rsidR="005F234E" w:rsidRPr="0097670E">
        <w:t xml:space="preserve"> полосу служб</w:t>
      </w:r>
      <w:r w:rsidRPr="0097670E">
        <w:t>,</w:t>
      </w:r>
    </w:p>
    <w:p w14:paraId="2558D1A8" w14:textId="42660E99" w:rsidR="002E7595" w:rsidRPr="00525F47" w:rsidRDefault="00346AD0" w:rsidP="002E7595">
      <w:pPr>
        <w:pStyle w:val="Call"/>
        <w:rPr>
          <w:i w:val="0"/>
          <w:iCs/>
        </w:rPr>
      </w:pPr>
      <w:r w:rsidRPr="0097670E">
        <w:t>признавая</w:t>
      </w:r>
      <w:r w:rsidRPr="00525F47">
        <w:rPr>
          <w:i w:val="0"/>
          <w:iCs/>
        </w:rPr>
        <w:t>,</w:t>
      </w:r>
    </w:p>
    <w:p w14:paraId="5B6FD453" w14:textId="3AE8D116" w:rsidR="002E7595" w:rsidRPr="0097670E" w:rsidRDefault="002E7595" w:rsidP="002E7595">
      <w:r w:rsidRPr="0097670E">
        <w:rPr>
          <w:i/>
          <w:iCs/>
        </w:rPr>
        <w:t>a)</w:t>
      </w:r>
      <w:r w:rsidRPr="0097670E">
        <w:tab/>
      </w:r>
      <w:r w:rsidR="00346AD0" w:rsidRPr="0097670E">
        <w:t>что полоса частот</w:t>
      </w:r>
      <w:r w:rsidR="00AB58E8" w:rsidRPr="0097670E">
        <w:t xml:space="preserve"> 698−960 МГц</w:t>
      </w:r>
      <w:r w:rsidR="00346AD0" w:rsidRPr="0097670E">
        <w:t xml:space="preserve"> определена для IMT в соответствии с пп. </w:t>
      </w:r>
      <w:r w:rsidR="00346AD0" w:rsidRPr="0097670E">
        <w:rPr>
          <w:b/>
          <w:bCs/>
        </w:rPr>
        <w:t>5.313A</w:t>
      </w:r>
      <w:r w:rsidR="00346AD0" w:rsidRPr="0097670E">
        <w:t xml:space="preserve"> и </w:t>
      </w:r>
      <w:r w:rsidR="00346AD0" w:rsidRPr="0097670E">
        <w:rPr>
          <w:b/>
          <w:bCs/>
        </w:rPr>
        <w:t>5.317A</w:t>
      </w:r>
      <w:r w:rsidRPr="0097670E">
        <w:t>;</w:t>
      </w:r>
    </w:p>
    <w:p w14:paraId="6C315A21" w14:textId="7E118269" w:rsidR="002E7595" w:rsidRPr="0097670E" w:rsidRDefault="002E7595" w:rsidP="002E7595">
      <w:r w:rsidRPr="0097670E">
        <w:rPr>
          <w:i/>
          <w:iCs/>
        </w:rPr>
        <w:t>b)</w:t>
      </w:r>
      <w:r w:rsidRPr="0097670E">
        <w:tab/>
      </w:r>
      <w:r w:rsidR="00346AD0" w:rsidRPr="0097670E">
        <w:t>что полосы частот</w:t>
      </w:r>
      <w:r w:rsidRPr="0097670E">
        <w:t xml:space="preserve"> 1</w:t>
      </w:r>
      <w:r w:rsidR="00AB58E8" w:rsidRPr="0097670E">
        <w:t>427−</w:t>
      </w:r>
      <w:r w:rsidRPr="0097670E">
        <w:t>1</w:t>
      </w:r>
      <w:r w:rsidR="00AB58E8" w:rsidRPr="0097670E">
        <w:t>452 МГц</w:t>
      </w:r>
      <w:r w:rsidRPr="0097670E">
        <w:t>, 1</w:t>
      </w:r>
      <w:r w:rsidR="00AB58E8" w:rsidRPr="0097670E">
        <w:t>452−</w:t>
      </w:r>
      <w:r w:rsidRPr="0097670E">
        <w:t>1</w:t>
      </w:r>
      <w:r w:rsidR="00AB58E8" w:rsidRPr="0097670E">
        <w:t>492 МГц</w:t>
      </w:r>
      <w:r w:rsidRPr="0097670E">
        <w:t xml:space="preserve"> </w:t>
      </w:r>
      <w:r w:rsidR="00346AD0" w:rsidRPr="0097670E">
        <w:t>и</w:t>
      </w:r>
      <w:r w:rsidRPr="0097670E">
        <w:t xml:space="preserve"> 1</w:t>
      </w:r>
      <w:r w:rsidR="00AB58E8" w:rsidRPr="0097670E">
        <w:t>492−</w:t>
      </w:r>
      <w:r w:rsidRPr="0097670E">
        <w:t>1</w:t>
      </w:r>
      <w:r w:rsidR="00AB58E8" w:rsidRPr="0097670E">
        <w:t>518 МГц</w:t>
      </w:r>
      <w:r w:rsidR="00346AD0" w:rsidRPr="0097670E">
        <w:t xml:space="preserve"> определены для IMT в соответствии с пп.</w:t>
      </w:r>
      <w:r w:rsidRPr="0097670E">
        <w:t xml:space="preserve"> </w:t>
      </w:r>
      <w:r w:rsidRPr="0097670E">
        <w:rPr>
          <w:b/>
          <w:bCs/>
        </w:rPr>
        <w:t>5.341A</w:t>
      </w:r>
      <w:r w:rsidRPr="0097670E">
        <w:t xml:space="preserve">, </w:t>
      </w:r>
      <w:r w:rsidRPr="0097670E">
        <w:rPr>
          <w:b/>
          <w:bCs/>
        </w:rPr>
        <w:t>5.341B</w:t>
      </w:r>
      <w:r w:rsidRPr="0097670E">
        <w:t xml:space="preserve">, </w:t>
      </w:r>
      <w:r w:rsidRPr="0097670E">
        <w:rPr>
          <w:b/>
          <w:bCs/>
        </w:rPr>
        <w:t>5.341C</w:t>
      </w:r>
      <w:r w:rsidRPr="0097670E">
        <w:t xml:space="preserve">, </w:t>
      </w:r>
      <w:r w:rsidRPr="0097670E">
        <w:rPr>
          <w:b/>
          <w:bCs/>
        </w:rPr>
        <w:t>5.346</w:t>
      </w:r>
      <w:r w:rsidRPr="0097670E">
        <w:t xml:space="preserve"> </w:t>
      </w:r>
      <w:r w:rsidR="00346AD0" w:rsidRPr="0097670E">
        <w:t>и</w:t>
      </w:r>
      <w:r w:rsidRPr="0097670E">
        <w:t xml:space="preserve"> </w:t>
      </w:r>
      <w:r w:rsidRPr="0097670E">
        <w:rPr>
          <w:b/>
          <w:bCs/>
        </w:rPr>
        <w:t>5.346A</w:t>
      </w:r>
      <w:r w:rsidRPr="0097670E">
        <w:t>;</w:t>
      </w:r>
    </w:p>
    <w:p w14:paraId="3C5B85FF" w14:textId="36076296" w:rsidR="002E7595" w:rsidRPr="0097670E" w:rsidRDefault="002E7595" w:rsidP="002E7595">
      <w:r w:rsidRPr="0097670E">
        <w:rPr>
          <w:i/>
          <w:iCs/>
        </w:rPr>
        <w:lastRenderedPageBreak/>
        <w:t>c)</w:t>
      </w:r>
      <w:r w:rsidRPr="0097670E">
        <w:tab/>
      </w:r>
      <w:r w:rsidR="00346AD0" w:rsidRPr="0097670E">
        <w:t xml:space="preserve">что полосы частот </w:t>
      </w:r>
      <w:r w:rsidRPr="0097670E">
        <w:t>1</w:t>
      </w:r>
      <w:r w:rsidR="00AB58E8" w:rsidRPr="0097670E">
        <w:t>710−</w:t>
      </w:r>
      <w:r w:rsidRPr="0097670E">
        <w:t>1</w:t>
      </w:r>
      <w:r w:rsidR="00AB58E8" w:rsidRPr="0097670E">
        <w:t>885 МГц</w:t>
      </w:r>
      <w:r w:rsidRPr="0097670E">
        <w:t>, 1</w:t>
      </w:r>
      <w:r w:rsidR="00AB58E8" w:rsidRPr="0097670E">
        <w:t>885−</w:t>
      </w:r>
      <w:r w:rsidRPr="0097670E">
        <w:t>2</w:t>
      </w:r>
      <w:r w:rsidR="00AB58E8" w:rsidRPr="0097670E">
        <w:t>025 МГц</w:t>
      </w:r>
      <w:r w:rsidRPr="0097670E">
        <w:t xml:space="preserve"> </w:t>
      </w:r>
      <w:r w:rsidR="00346AD0" w:rsidRPr="0097670E">
        <w:t>и</w:t>
      </w:r>
      <w:r w:rsidRPr="0097670E">
        <w:t xml:space="preserve"> 2</w:t>
      </w:r>
      <w:r w:rsidR="00AB58E8" w:rsidRPr="0097670E">
        <w:t>110−</w:t>
      </w:r>
      <w:r w:rsidRPr="0097670E">
        <w:t>2</w:t>
      </w:r>
      <w:r w:rsidR="00AB58E8" w:rsidRPr="0097670E">
        <w:t>200 МГц</w:t>
      </w:r>
      <w:r w:rsidRPr="0097670E">
        <w:t xml:space="preserve"> </w:t>
      </w:r>
      <w:r w:rsidR="00346AD0" w:rsidRPr="0097670E">
        <w:t>определены для</w:t>
      </w:r>
      <w:r w:rsidRPr="0097670E">
        <w:t xml:space="preserve"> IMT </w:t>
      </w:r>
      <w:r w:rsidR="00346AD0" w:rsidRPr="0097670E">
        <w:t>в соответствии с пп.</w:t>
      </w:r>
      <w:r w:rsidRPr="0097670E">
        <w:t xml:space="preserve"> </w:t>
      </w:r>
      <w:r w:rsidRPr="0097670E">
        <w:rPr>
          <w:b/>
          <w:bCs/>
        </w:rPr>
        <w:t>5.384A</w:t>
      </w:r>
      <w:r w:rsidRPr="0097670E">
        <w:t xml:space="preserve"> </w:t>
      </w:r>
      <w:r w:rsidR="00346AD0" w:rsidRPr="0097670E">
        <w:t>и</w:t>
      </w:r>
      <w:r w:rsidRPr="0097670E">
        <w:t xml:space="preserve"> </w:t>
      </w:r>
      <w:r w:rsidRPr="0097670E">
        <w:rPr>
          <w:b/>
          <w:bCs/>
        </w:rPr>
        <w:t>5.388</w:t>
      </w:r>
      <w:r w:rsidRPr="0097670E">
        <w:t>;</w:t>
      </w:r>
    </w:p>
    <w:p w14:paraId="1E305198" w14:textId="4DFE0180" w:rsidR="002E7595" w:rsidRPr="0097670E" w:rsidRDefault="002E7595" w:rsidP="002E7595">
      <w:r w:rsidRPr="0097670E">
        <w:rPr>
          <w:i/>
          <w:iCs/>
        </w:rPr>
        <w:t>d)</w:t>
      </w:r>
      <w:r w:rsidRPr="0097670E">
        <w:tab/>
      </w:r>
      <w:r w:rsidR="00346AD0" w:rsidRPr="0097670E">
        <w:t>что полосы частот</w:t>
      </w:r>
      <w:r w:rsidRPr="0097670E">
        <w:t xml:space="preserve"> 1</w:t>
      </w:r>
      <w:r w:rsidR="00AB58E8" w:rsidRPr="0097670E">
        <w:t>980−</w:t>
      </w:r>
      <w:r w:rsidRPr="0097670E">
        <w:t>2</w:t>
      </w:r>
      <w:r w:rsidR="00AB58E8" w:rsidRPr="0097670E">
        <w:t>010 МГц</w:t>
      </w:r>
      <w:r w:rsidRPr="0097670E">
        <w:t xml:space="preserve"> </w:t>
      </w:r>
      <w:r w:rsidR="00346AD0" w:rsidRPr="0097670E">
        <w:t>и</w:t>
      </w:r>
      <w:r w:rsidRPr="0097670E">
        <w:t xml:space="preserve"> 2</w:t>
      </w:r>
      <w:r w:rsidR="00AB58E8" w:rsidRPr="0097670E">
        <w:t>170−</w:t>
      </w:r>
      <w:r w:rsidRPr="0097670E">
        <w:t>2200</w:t>
      </w:r>
      <w:r w:rsidR="00AB58E8" w:rsidRPr="0097670E">
        <w:t> МГц</w:t>
      </w:r>
      <w:r w:rsidRPr="0097670E">
        <w:t xml:space="preserve"> </w:t>
      </w:r>
      <w:r w:rsidR="00346AD0" w:rsidRPr="0097670E">
        <w:t>распределены</w:t>
      </w:r>
      <w:r w:rsidRPr="0097670E">
        <w:t xml:space="preserve"> </w:t>
      </w:r>
      <w:r w:rsidR="00346AD0" w:rsidRPr="0097670E">
        <w:t>ПСС на первичной основе</w:t>
      </w:r>
      <w:r w:rsidRPr="0097670E">
        <w:t>,</w:t>
      </w:r>
    </w:p>
    <w:p w14:paraId="3EB6F269" w14:textId="413A14C5" w:rsidR="002E7595" w:rsidRPr="0097670E" w:rsidRDefault="00346AD0" w:rsidP="002E7595">
      <w:pPr>
        <w:pStyle w:val="Call"/>
      </w:pPr>
      <w:r w:rsidRPr="0097670E">
        <w:t>решает предложить Сектору радиосвязи МСЭ</w:t>
      </w:r>
    </w:p>
    <w:p w14:paraId="0B7E76D9" w14:textId="53A0486C" w:rsidR="002E7595" w:rsidRPr="0097670E" w:rsidRDefault="00346AD0" w:rsidP="002E7595">
      <w:r w:rsidRPr="0097670E">
        <w:t xml:space="preserve">провести </w:t>
      </w:r>
      <w:r w:rsidR="000C4484" w:rsidRPr="0097670E">
        <w:t xml:space="preserve">заблаговременно для рассмотрения на ВКР-27 </w:t>
      </w:r>
      <w:r w:rsidRPr="0097670E">
        <w:t>соответствующие исследования совместного использования частот и совместимости, технические, эксплуатационные и регламентарные исследования</w:t>
      </w:r>
      <w:r w:rsidR="000C4484" w:rsidRPr="0097670E">
        <w:t>, касающиеся ПСС, котор</w:t>
      </w:r>
      <w:r w:rsidR="00A84BC8" w:rsidRPr="0097670E">
        <w:t>ую</w:t>
      </w:r>
      <w:r w:rsidR="000C4484" w:rsidRPr="0097670E">
        <w:t xml:space="preserve"> предполагается </w:t>
      </w:r>
      <w:r w:rsidR="00A84BC8" w:rsidRPr="0097670E">
        <w:t>использовать</w:t>
      </w:r>
      <w:r w:rsidR="000C4484" w:rsidRPr="0097670E">
        <w:t xml:space="preserve"> </w:t>
      </w:r>
      <w:r w:rsidR="00A84BC8" w:rsidRPr="0097670E">
        <w:t>только для обеспечения прямых</w:t>
      </w:r>
      <w:r w:rsidR="000C4484" w:rsidRPr="0097670E">
        <w:t xml:space="preserve"> </w:t>
      </w:r>
      <w:r w:rsidR="00BA0FC5" w:rsidRPr="0097670E">
        <w:t xml:space="preserve">соединений </w:t>
      </w:r>
      <w:r w:rsidR="000C4484" w:rsidRPr="0097670E">
        <w:t>между спутником НГСО и оборудованием пользователей IMT в наземных системах IMT, с тем чтобы обеспечить защиту служб, которым полосы частот распределены на первичной основе, в следующих полосах частот, определенных для наземного сегмента IMT, при условии что новые распределения ПСС не будут создавать вредных помех станциям других служб, имеющим распределения на первичной основе, включая наземные системы IMT в соседних странах, и требовать защиты от них:</w:t>
      </w:r>
    </w:p>
    <w:p w14:paraId="0DA20800" w14:textId="77777777" w:rsidR="002E7595" w:rsidRPr="0097670E" w:rsidRDefault="002E7595" w:rsidP="002E7595">
      <w:pPr>
        <w:pStyle w:val="enumlev1"/>
      </w:pPr>
      <w:r w:rsidRPr="0097670E">
        <w:t>•</w:t>
      </w:r>
      <w:r w:rsidRPr="0097670E">
        <w:tab/>
      </w:r>
      <w:r w:rsidR="00AB58E8" w:rsidRPr="0097670E">
        <w:t>698−960 МГц</w:t>
      </w:r>
      <w:r w:rsidRPr="0097670E">
        <w:t>;</w:t>
      </w:r>
    </w:p>
    <w:p w14:paraId="1C199F13" w14:textId="77777777" w:rsidR="002E7595" w:rsidRPr="0097670E" w:rsidRDefault="002E7595" w:rsidP="002E7595">
      <w:pPr>
        <w:pStyle w:val="enumlev1"/>
      </w:pPr>
      <w:r w:rsidRPr="0097670E">
        <w:t>•</w:t>
      </w:r>
      <w:r w:rsidRPr="0097670E">
        <w:tab/>
        <w:t>1</w:t>
      </w:r>
      <w:r w:rsidR="00AB58E8" w:rsidRPr="0097670E">
        <w:t>427−</w:t>
      </w:r>
      <w:r w:rsidRPr="0097670E">
        <w:t>1</w:t>
      </w:r>
      <w:r w:rsidR="00AB58E8" w:rsidRPr="0097670E">
        <w:t>518 МГц</w:t>
      </w:r>
      <w:r w:rsidRPr="0097670E">
        <w:t>;</w:t>
      </w:r>
    </w:p>
    <w:p w14:paraId="1DF862C9" w14:textId="77777777" w:rsidR="002E7595" w:rsidRPr="0097670E" w:rsidRDefault="002E7595" w:rsidP="002E7595">
      <w:pPr>
        <w:pStyle w:val="enumlev1"/>
      </w:pPr>
      <w:r w:rsidRPr="0097670E">
        <w:t>•</w:t>
      </w:r>
      <w:r w:rsidRPr="0097670E">
        <w:tab/>
        <w:t>1</w:t>
      </w:r>
      <w:r w:rsidR="00AB58E8" w:rsidRPr="0097670E">
        <w:t>710−</w:t>
      </w:r>
      <w:r w:rsidRPr="0097670E">
        <w:t>1</w:t>
      </w:r>
      <w:r w:rsidR="00AB58E8" w:rsidRPr="0097670E">
        <w:t>980 МГц</w:t>
      </w:r>
      <w:r w:rsidRPr="0097670E">
        <w:t>;</w:t>
      </w:r>
    </w:p>
    <w:p w14:paraId="5CF28C6A" w14:textId="77777777" w:rsidR="002E7595" w:rsidRPr="0097670E" w:rsidRDefault="002E7595" w:rsidP="002E7595">
      <w:pPr>
        <w:pStyle w:val="enumlev1"/>
        <w:rPr>
          <w:i/>
        </w:rPr>
      </w:pPr>
      <w:r w:rsidRPr="0097670E">
        <w:t>•</w:t>
      </w:r>
      <w:r w:rsidRPr="0097670E">
        <w:tab/>
        <w:t>2</w:t>
      </w:r>
      <w:r w:rsidR="00AB58E8" w:rsidRPr="0097670E">
        <w:t>010−</w:t>
      </w:r>
      <w:r w:rsidRPr="0097670E">
        <w:t>2</w:t>
      </w:r>
      <w:r w:rsidR="00AB58E8" w:rsidRPr="0097670E">
        <w:t>025 МГц</w:t>
      </w:r>
      <w:r w:rsidRPr="0097670E">
        <w:t>;</w:t>
      </w:r>
    </w:p>
    <w:p w14:paraId="60019EB7" w14:textId="77777777" w:rsidR="002E7595" w:rsidRPr="0097670E" w:rsidRDefault="002E7595" w:rsidP="002E7595">
      <w:pPr>
        <w:pStyle w:val="enumlev1"/>
        <w:rPr>
          <w:i/>
        </w:rPr>
      </w:pPr>
      <w:r w:rsidRPr="0097670E">
        <w:t>•</w:t>
      </w:r>
      <w:r w:rsidRPr="0097670E">
        <w:tab/>
        <w:t>2</w:t>
      </w:r>
      <w:r w:rsidR="00AB58E8" w:rsidRPr="0097670E">
        <w:t>110−</w:t>
      </w:r>
      <w:r w:rsidRPr="0097670E">
        <w:t>2</w:t>
      </w:r>
      <w:r w:rsidR="00AB58E8" w:rsidRPr="0097670E">
        <w:t>170 МГц</w:t>
      </w:r>
      <w:r w:rsidRPr="0097670E">
        <w:t>,</w:t>
      </w:r>
    </w:p>
    <w:p w14:paraId="3932B503" w14:textId="7104D4A6" w:rsidR="002E7595" w:rsidRPr="0097670E" w:rsidRDefault="000C4484" w:rsidP="002E7595">
      <w:pPr>
        <w:pStyle w:val="Call"/>
      </w:pPr>
      <w:r w:rsidRPr="0097670E">
        <w:t xml:space="preserve">решает предложить Всемирной конференции радиосвязи 2027 года </w:t>
      </w:r>
    </w:p>
    <w:p w14:paraId="69570875" w14:textId="35C7D71B" w:rsidR="002E7595" w:rsidRPr="0097670E" w:rsidRDefault="000C4484" w:rsidP="002E7595">
      <w:r w:rsidRPr="0097670E">
        <w:t xml:space="preserve">основываясь на результатах вышеуказанных исследований, рассмотреть при необходимости регламентарные положения </w:t>
      </w:r>
      <w:r w:rsidR="00886302" w:rsidRPr="0097670E">
        <w:t>в целях</w:t>
      </w:r>
      <w:r w:rsidRPr="0097670E">
        <w:t xml:space="preserve"> новых распределений НГСО ПСС в полосах частот ниже 2,2 ГГц, </w:t>
      </w:r>
    </w:p>
    <w:p w14:paraId="4AEC5E93" w14:textId="77777777" w:rsidR="002E7595" w:rsidRPr="0097670E" w:rsidRDefault="005F234E" w:rsidP="002E7595">
      <w:pPr>
        <w:pStyle w:val="Call"/>
      </w:pPr>
      <w:r w:rsidRPr="0097670E">
        <w:t>предлагает администрациям</w:t>
      </w:r>
    </w:p>
    <w:p w14:paraId="68F500B8" w14:textId="77777777" w:rsidR="00044EEC" w:rsidRPr="0097670E" w:rsidRDefault="005F234E" w:rsidP="002E7595">
      <w:r w:rsidRPr="0097670E">
        <w:t>принять активное участие в этих исследованиях, представляя свои вклады в Сектор радиосвязи МСЭ</w:t>
      </w:r>
      <w:r w:rsidR="002E7595" w:rsidRPr="0097670E">
        <w:t>.</w:t>
      </w:r>
    </w:p>
    <w:p w14:paraId="1A299273" w14:textId="15720D8A" w:rsidR="00044EEC" w:rsidRPr="0097670E" w:rsidRDefault="00AD0668">
      <w:pPr>
        <w:pStyle w:val="Reasons"/>
      </w:pPr>
      <w:r w:rsidRPr="0097670E">
        <w:rPr>
          <w:b/>
        </w:rPr>
        <w:t>Основания</w:t>
      </w:r>
      <w:r w:rsidRPr="0097670E">
        <w:t>:</w:t>
      </w:r>
      <w:r w:rsidRPr="0097670E">
        <w:tab/>
      </w:r>
      <w:r w:rsidR="0097670E" w:rsidRPr="0097670E">
        <w:t>См</w:t>
      </w:r>
      <w:r w:rsidR="000C4484" w:rsidRPr="0097670E">
        <w:t>. таблицу ниже, которая подготовлена с использованием шаблона, приведенного в</w:t>
      </w:r>
      <w:r w:rsidR="00401A98" w:rsidRPr="0097670E">
        <w:t xml:space="preserve"> </w:t>
      </w:r>
      <w:r w:rsidR="00401A98" w:rsidRPr="0097670E">
        <w:rPr>
          <w:rFonts w:eastAsia="SimSun"/>
          <w:lang w:eastAsia="zh-CN"/>
        </w:rPr>
        <w:t xml:space="preserve">Дополнении 2 к </w:t>
      </w:r>
      <w:r w:rsidR="009E20A4" w:rsidRPr="0097670E">
        <w:t xml:space="preserve">Резолюции </w:t>
      </w:r>
      <w:r w:rsidR="009E20A4" w:rsidRPr="0097670E">
        <w:rPr>
          <w:b/>
          <w:bCs/>
          <w:iCs/>
        </w:rPr>
        <w:t>804 (</w:t>
      </w:r>
      <w:r w:rsidR="009E20A4" w:rsidRPr="0097670E">
        <w:rPr>
          <w:b/>
          <w:bCs/>
        </w:rPr>
        <w:t>Пересм. ВКР-</w:t>
      </w:r>
      <w:r w:rsidR="009E20A4" w:rsidRPr="0097670E">
        <w:rPr>
          <w:b/>
          <w:bCs/>
          <w:iCs/>
        </w:rPr>
        <w:t>19)</w:t>
      </w:r>
      <w:r w:rsidR="002E7595" w:rsidRPr="0097670E">
        <w:t>.</w:t>
      </w:r>
    </w:p>
    <w:p w14:paraId="47E40611" w14:textId="77777777" w:rsidR="00921C28" w:rsidRPr="0097670E" w:rsidRDefault="00921C28">
      <w:pPr>
        <w:tabs>
          <w:tab w:val="clear" w:pos="1134"/>
          <w:tab w:val="clear" w:pos="1871"/>
          <w:tab w:val="clear" w:pos="2268"/>
        </w:tabs>
        <w:overflowPunct/>
        <w:autoSpaceDE/>
        <w:autoSpaceDN/>
        <w:adjustRightInd/>
        <w:spacing w:before="0"/>
        <w:textAlignment w:val="auto"/>
      </w:pPr>
      <w:r w:rsidRPr="0097670E">
        <w:br w:type="page"/>
      </w:r>
    </w:p>
    <w:p w14:paraId="714CD554" w14:textId="3E20D6CC" w:rsidR="00401A98" w:rsidRPr="0097670E" w:rsidRDefault="00401A98" w:rsidP="00401A98">
      <w:pPr>
        <w:pStyle w:val="Annextitle"/>
        <w:rPr>
          <w:rFonts w:eastAsia="SimSun"/>
          <w:lang w:eastAsia="zh-CN"/>
        </w:rPr>
      </w:pPr>
      <w:bookmarkStart w:id="12" w:name="_Toc35863787"/>
      <w:r w:rsidRPr="0097670E">
        <w:lastRenderedPageBreak/>
        <w:t>Шаблон для представления предложений по пунктам повестки дня</w:t>
      </w:r>
      <w:bookmarkEnd w:id="12"/>
    </w:p>
    <w:tbl>
      <w:tblPr>
        <w:tblW w:w="9317"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112"/>
      </w:tblGrid>
      <w:tr w:rsidR="00401A98" w:rsidRPr="0097670E" w14:paraId="13A38A0E" w14:textId="77777777" w:rsidTr="00FF5B73">
        <w:tc>
          <w:tcPr>
            <w:tcW w:w="9317" w:type="dxa"/>
            <w:gridSpan w:val="2"/>
            <w:tcBorders>
              <w:top w:val="nil"/>
              <w:bottom w:val="nil"/>
            </w:tcBorders>
          </w:tcPr>
          <w:p w14:paraId="2BA0F0FA" w14:textId="77777777" w:rsidR="00401A98" w:rsidRPr="0097670E" w:rsidRDefault="00401A98" w:rsidP="00525F47">
            <w:pPr>
              <w:spacing w:before="60" w:after="60"/>
              <w:rPr>
                <w:rFonts w:eastAsia="MS Gothic"/>
                <w:bCs/>
                <w:i/>
                <w:iCs/>
                <w:kern w:val="2"/>
              </w:rPr>
            </w:pPr>
            <w:r w:rsidRPr="0097670E">
              <w:rPr>
                <w:rFonts w:eastAsia="MS Gothic"/>
                <w:b/>
                <w:bCs/>
                <w:i/>
                <w:iCs/>
                <w:kern w:val="2"/>
              </w:rPr>
              <w:t>Предмет</w:t>
            </w:r>
            <w:r w:rsidRPr="0097670E">
              <w:rPr>
                <w:rFonts w:eastAsia="MS Gothic"/>
                <w:i/>
                <w:iCs/>
                <w:kern w:val="2"/>
              </w:rPr>
              <w:t>:</w:t>
            </w:r>
            <w:r w:rsidRPr="0097670E">
              <w:rPr>
                <w:rFonts w:eastAsia="MS Gothic"/>
                <w:bCs/>
                <w:i/>
                <w:iCs/>
                <w:kern w:val="2"/>
              </w:rPr>
              <w:t xml:space="preserve"> </w:t>
            </w:r>
          </w:p>
          <w:p w14:paraId="58496B3B" w14:textId="340E8333" w:rsidR="00401A98" w:rsidRPr="0097670E" w:rsidRDefault="000C4484" w:rsidP="00525F47">
            <w:pPr>
              <w:spacing w:before="60" w:after="60"/>
              <w:rPr>
                <w:rFonts w:eastAsia="MS Gothic"/>
                <w:bCs/>
                <w:i/>
                <w:iCs/>
                <w:kern w:val="2"/>
              </w:rPr>
            </w:pPr>
            <w:r w:rsidRPr="0097670E">
              <w:rPr>
                <w:bCs/>
              </w:rPr>
              <w:t>Исследования по вопросам, связанным с частотами, в полосах частот ниже 2,2 ГГц</w:t>
            </w:r>
            <w:r w:rsidR="00E56C7B" w:rsidRPr="0097670E">
              <w:rPr>
                <w:bCs/>
              </w:rPr>
              <w:t xml:space="preserve"> </w:t>
            </w:r>
            <w:r w:rsidRPr="0097670E">
              <w:rPr>
                <w:bCs/>
              </w:rPr>
              <w:t xml:space="preserve">в целях будущего развития систем подвижной спутниковой связи </w:t>
            </w:r>
          </w:p>
        </w:tc>
      </w:tr>
      <w:tr w:rsidR="00401A98" w:rsidRPr="0097670E" w14:paraId="442A2CE9" w14:textId="77777777" w:rsidTr="00FF5B73">
        <w:tc>
          <w:tcPr>
            <w:tcW w:w="9317" w:type="dxa"/>
            <w:gridSpan w:val="2"/>
            <w:tcBorders>
              <w:top w:val="nil"/>
            </w:tcBorders>
          </w:tcPr>
          <w:p w14:paraId="03F409D7" w14:textId="13461F71" w:rsidR="00401A98" w:rsidRPr="0097670E" w:rsidRDefault="00401A98" w:rsidP="00525F47">
            <w:pPr>
              <w:spacing w:before="60" w:after="60"/>
              <w:rPr>
                <w:rFonts w:eastAsia="MS Gothic"/>
                <w:b/>
                <w:bCs/>
                <w:kern w:val="2"/>
              </w:rPr>
            </w:pPr>
            <w:r w:rsidRPr="0097670E">
              <w:rPr>
                <w:rFonts w:eastAsia="MS Gothic"/>
                <w:b/>
                <w:bCs/>
                <w:i/>
                <w:kern w:val="2"/>
              </w:rPr>
              <w:t>Источник</w:t>
            </w:r>
            <w:r w:rsidRPr="0097670E">
              <w:rPr>
                <w:rFonts w:eastAsia="MS Gothic"/>
                <w:bCs/>
                <w:i/>
                <w:kern w:val="2"/>
              </w:rPr>
              <w:t>:</w:t>
            </w:r>
            <w:r w:rsidRPr="0097670E">
              <w:rPr>
                <w:rFonts w:eastAsia="MS Gothic"/>
                <w:i/>
                <w:kern w:val="2"/>
              </w:rPr>
              <w:t xml:space="preserve"> </w:t>
            </w:r>
            <w:r w:rsidR="009E6BB6" w:rsidRPr="0097670E">
              <w:t>Япония</w:t>
            </w:r>
          </w:p>
        </w:tc>
      </w:tr>
      <w:tr w:rsidR="00401A98" w:rsidRPr="0097670E" w14:paraId="06283C94" w14:textId="77777777" w:rsidTr="00FF5B73">
        <w:tc>
          <w:tcPr>
            <w:tcW w:w="9317" w:type="dxa"/>
            <w:gridSpan w:val="2"/>
          </w:tcPr>
          <w:p w14:paraId="2109BC24" w14:textId="77777777" w:rsidR="00401A98" w:rsidRPr="0097670E" w:rsidRDefault="00401A98" w:rsidP="00525F47">
            <w:pPr>
              <w:spacing w:before="60" w:after="60"/>
              <w:rPr>
                <w:rFonts w:eastAsia="MS Gothic"/>
                <w:b/>
                <w:bCs/>
                <w:i/>
                <w:iCs/>
                <w:kern w:val="2"/>
                <w:lang w:eastAsia="ja-JP"/>
              </w:rPr>
            </w:pPr>
            <w:r w:rsidRPr="0097670E">
              <w:rPr>
                <w:rFonts w:eastAsia="MS Gothic"/>
                <w:b/>
                <w:bCs/>
                <w:i/>
                <w:iCs/>
                <w:kern w:val="2"/>
              </w:rPr>
              <w:t>Предложение</w:t>
            </w:r>
            <w:r w:rsidRPr="0097670E">
              <w:rPr>
                <w:rFonts w:eastAsia="MS Gothic"/>
                <w:bCs/>
                <w:i/>
                <w:iCs/>
                <w:kern w:val="2"/>
              </w:rPr>
              <w:t>:</w:t>
            </w:r>
          </w:p>
          <w:p w14:paraId="0D836E39" w14:textId="2E4CE465" w:rsidR="00401A98" w:rsidRPr="0097670E" w:rsidRDefault="00525F47" w:rsidP="00525F47">
            <w:pPr>
              <w:spacing w:before="60" w:after="60"/>
              <w:rPr>
                <w:rFonts w:eastAsia="MS Mincho"/>
                <w:kern w:val="2"/>
                <w:lang w:eastAsia="ja-JP"/>
              </w:rPr>
            </w:pPr>
            <w:r w:rsidRPr="0097670E">
              <w:rPr>
                <w:bCs/>
                <w:iCs/>
              </w:rPr>
              <w:t xml:space="preserve">Рассмотреть </w:t>
            </w:r>
            <w:r w:rsidR="00E56C7B" w:rsidRPr="0097670E">
              <w:rPr>
                <w:bCs/>
                <w:iCs/>
              </w:rPr>
              <w:t xml:space="preserve">возможность новых распределений подвижной спутниковой службе (ПСС) на первичной основе в полосах частот ниже 2,2 ГГц, определенных для IMT </w:t>
            </w:r>
          </w:p>
        </w:tc>
      </w:tr>
      <w:tr w:rsidR="00401A98" w:rsidRPr="0097670E" w14:paraId="38B29DA6" w14:textId="77777777" w:rsidTr="00FF5B73">
        <w:tc>
          <w:tcPr>
            <w:tcW w:w="9317" w:type="dxa"/>
            <w:gridSpan w:val="2"/>
          </w:tcPr>
          <w:p w14:paraId="50A8B243" w14:textId="77777777" w:rsidR="00401A98" w:rsidRPr="0097670E" w:rsidRDefault="00401A98" w:rsidP="00525F47">
            <w:pPr>
              <w:spacing w:before="60" w:after="60"/>
              <w:rPr>
                <w:rFonts w:eastAsia="SimSun"/>
                <w:i/>
                <w:iCs/>
                <w:kern w:val="2"/>
                <w:lang w:eastAsia="ko-KR"/>
              </w:rPr>
            </w:pPr>
            <w:r w:rsidRPr="0097670E">
              <w:rPr>
                <w:b/>
                <w:bCs/>
                <w:i/>
                <w:iCs/>
                <w:szCs w:val="22"/>
              </w:rPr>
              <w:t>Основание/причина</w:t>
            </w:r>
            <w:r w:rsidRPr="0097670E">
              <w:rPr>
                <w:rFonts w:eastAsia="MS Gothic"/>
                <w:bCs/>
                <w:i/>
                <w:iCs/>
                <w:kern w:val="2"/>
                <w:lang w:eastAsia="ko-KR"/>
              </w:rPr>
              <w:t>:</w:t>
            </w:r>
          </w:p>
          <w:p w14:paraId="0BA6A811" w14:textId="77777777" w:rsidR="000739F1" w:rsidRPr="0097670E" w:rsidRDefault="008A6C8B" w:rsidP="00525F47">
            <w:pPr>
              <w:spacing w:before="60" w:after="60"/>
            </w:pPr>
            <w:r w:rsidRPr="0097670E">
              <w:t xml:space="preserve">В последние годы стоимость развертывания спутниковых группировок НГСО, способных обеспечить установление широкополосных соединений, снижается за счет </w:t>
            </w:r>
            <w:r w:rsidR="000F4210" w:rsidRPr="0097670E">
              <w:t>применения</w:t>
            </w:r>
            <w:r w:rsidRPr="0097670E">
              <w:t xml:space="preserve"> инновационны</w:t>
            </w:r>
            <w:r w:rsidR="000739F1" w:rsidRPr="0097670E">
              <w:t>х</w:t>
            </w:r>
            <w:r w:rsidRPr="0097670E">
              <w:t xml:space="preserve"> спутниковы</w:t>
            </w:r>
            <w:r w:rsidR="000739F1" w:rsidRPr="0097670E">
              <w:t>х</w:t>
            </w:r>
            <w:r w:rsidRPr="0097670E">
              <w:t xml:space="preserve"> технологи</w:t>
            </w:r>
            <w:r w:rsidR="000739F1" w:rsidRPr="0097670E">
              <w:t>й</w:t>
            </w:r>
            <w:r w:rsidRPr="0097670E">
              <w:t xml:space="preserve">. Кроме того, благодаря прогрессу в технологиях связи спутники и наземные системы могут совместно использовать одни и те же частоты без создания вредных помех наземным </w:t>
            </w:r>
            <w:r w:rsidR="000F4210" w:rsidRPr="0097670E">
              <w:t>системам</w:t>
            </w:r>
            <w:r w:rsidRPr="0097670E">
              <w:t xml:space="preserve">. </w:t>
            </w:r>
            <w:r w:rsidR="000F4210" w:rsidRPr="0097670E">
              <w:t xml:space="preserve">Поскольку наземные системы IMT </w:t>
            </w:r>
            <w:r w:rsidR="00D85FAE" w:rsidRPr="0097670E">
              <w:t>в основном</w:t>
            </w:r>
            <w:r w:rsidR="000F4210" w:rsidRPr="0097670E">
              <w:t xml:space="preserve"> </w:t>
            </w:r>
            <w:r w:rsidR="000739F1" w:rsidRPr="0097670E">
              <w:t xml:space="preserve">направлены на то, чтобы </w:t>
            </w:r>
            <w:r w:rsidR="000F4210" w:rsidRPr="0097670E">
              <w:t>обеспечи</w:t>
            </w:r>
            <w:r w:rsidR="000739F1" w:rsidRPr="0097670E">
              <w:t>ва</w:t>
            </w:r>
            <w:r w:rsidR="000F4210" w:rsidRPr="0097670E">
              <w:t>ть покрытие с точки зрения населения, расширение географического покрытия является одной из ключевых задач, стоящих перед операторами</w:t>
            </w:r>
            <w:r w:rsidR="000739F1" w:rsidRPr="0097670E">
              <w:t xml:space="preserve"> сетей</w:t>
            </w:r>
            <w:r w:rsidR="000F4210" w:rsidRPr="0097670E">
              <w:t xml:space="preserve"> подвижной связи. Следовательно, представляется целесообразным обеспечить </w:t>
            </w:r>
            <w:r w:rsidR="00F63305" w:rsidRPr="0097670E">
              <w:t>возможность установления соединений</w:t>
            </w:r>
            <w:r w:rsidR="000F4210" w:rsidRPr="0097670E">
              <w:t xml:space="preserve"> IMT через спутниковые системы с существующими немодифицированными терминалами</w:t>
            </w:r>
            <w:r w:rsidR="00F63305" w:rsidRPr="0097670E">
              <w:t xml:space="preserve"> подвижной связи</w:t>
            </w:r>
            <w:r w:rsidR="000F4210" w:rsidRPr="0097670E">
              <w:t>.</w:t>
            </w:r>
          </w:p>
          <w:p w14:paraId="59A56222" w14:textId="635F5D00" w:rsidR="00401A98" w:rsidRPr="0097670E" w:rsidRDefault="00D85FAE" w:rsidP="00525F47">
            <w:pPr>
              <w:spacing w:before="60" w:after="60"/>
              <w:rPr>
                <w:rFonts w:eastAsia="MS Mincho"/>
                <w:kern w:val="2"/>
                <w:lang w:eastAsia="ja-JP"/>
              </w:rPr>
            </w:pPr>
            <w:r w:rsidRPr="0097670E">
              <w:t xml:space="preserve">Было бы логичным, </w:t>
            </w:r>
            <w:r w:rsidR="000739F1" w:rsidRPr="0097670E">
              <w:t>если бы</w:t>
            </w:r>
            <w:r w:rsidRPr="0097670E">
              <w:t xml:space="preserve"> для достижения вышеуказанных целей операторы сетей подвижной связи использовали собственный разрешенный спектр для расширения охвата подвижной широкополосной связ</w:t>
            </w:r>
            <w:r w:rsidR="000739F1" w:rsidRPr="0097670E">
              <w:t>ью</w:t>
            </w:r>
            <w:r w:rsidRPr="0097670E">
              <w:t xml:space="preserve"> необслуживаемы</w:t>
            </w:r>
            <w:r w:rsidR="000739F1" w:rsidRPr="0097670E">
              <w:t>х</w:t>
            </w:r>
            <w:r w:rsidRPr="0097670E">
              <w:t xml:space="preserve"> район</w:t>
            </w:r>
            <w:r w:rsidR="000739F1" w:rsidRPr="0097670E">
              <w:t>ов</w:t>
            </w:r>
            <w:r w:rsidRPr="0097670E">
              <w:t xml:space="preserve">. В настоящее время в большинстве полос частот, используемых для наземных систем IMT, отсутствуют распределения ПСС. Следует также отметить, что для своевременного развития таких сетей было бы желательно включить в </w:t>
            </w:r>
            <w:r w:rsidR="000739F1" w:rsidRPr="0097670E">
              <w:t>сферу</w:t>
            </w:r>
            <w:r w:rsidRPr="0097670E">
              <w:t xml:space="preserve"> исследований и рассмотрения полосы частот с большей степенью осуществимости (то есть полосы низких частот, определенные для IMT, которые в основном занимают и используют наземные системы IMT). В этом контексте следует рассмотреть распределения ПСС, которую предполагается использовать только для </w:t>
            </w:r>
            <w:r w:rsidR="00A84BC8" w:rsidRPr="0097670E">
              <w:t xml:space="preserve">обеспечения </w:t>
            </w:r>
            <w:r w:rsidRPr="0097670E">
              <w:t>прямых соединений между спутником НГСО и оборудованием пользователей IMT в наземных системах IMT в полосах частот ниже 2,2 ГГц, определенных для IMT.</w:t>
            </w:r>
          </w:p>
        </w:tc>
      </w:tr>
      <w:tr w:rsidR="00401A98" w:rsidRPr="0097670E" w14:paraId="7F847EAD" w14:textId="77777777" w:rsidTr="00FF5B73">
        <w:tc>
          <w:tcPr>
            <w:tcW w:w="9317" w:type="dxa"/>
            <w:gridSpan w:val="2"/>
          </w:tcPr>
          <w:p w14:paraId="3756C757" w14:textId="77777777" w:rsidR="00401A98" w:rsidRPr="0097670E" w:rsidRDefault="00401A98" w:rsidP="00525F47">
            <w:pPr>
              <w:spacing w:before="60" w:after="60"/>
              <w:rPr>
                <w:rFonts w:eastAsia="SimSun"/>
                <w:kern w:val="2"/>
                <w:lang w:eastAsia="zh-CN"/>
              </w:rPr>
            </w:pPr>
            <w:r w:rsidRPr="0097670E">
              <w:rPr>
                <w:b/>
                <w:bCs/>
                <w:i/>
                <w:iCs/>
                <w:szCs w:val="22"/>
              </w:rPr>
              <w:t>Затрагиваемые службы радиосвязи</w:t>
            </w:r>
            <w:r w:rsidRPr="0097670E">
              <w:rPr>
                <w:rFonts w:eastAsia="MS Gothic"/>
                <w:bCs/>
                <w:i/>
                <w:iCs/>
                <w:kern w:val="2"/>
              </w:rPr>
              <w:t>:</w:t>
            </w:r>
          </w:p>
          <w:p w14:paraId="48083FCD" w14:textId="5E2A463B" w:rsidR="00401A98" w:rsidRPr="0097670E" w:rsidRDefault="00525F47" w:rsidP="00525F47">
            <w:pPr>
              <w:spacing w:before="60" w:after="60"/>
              <w:rPr>
                <w:rFonts w:eastAsia="SimSun"/>
                <w:kern w:val="2"/>
                <w:lang w:eastAsia="ko-KR"/>
              </w:rPr>
            </w:pPr>
            <w:r w:rsidRPr="0097670E">
              <w:rPr>
                <w:bCs/>
                <w:iCs/>
              </w:rPr>
              <w:t xml:space="preserve">Подвижная </w:t>
            </w:r>
            <w:r w:rsidR="00E36A85" w:rsidRPr="0097670E">
              <w:rPr>
                <w:bCs/>
                <w:iCs/>
              </w:rPr>
              <w:t xml:space="preserve">служба, фиксированная служба, радиовещательная служба, подвижная спутниковая служба и другие службы </w:t>
            </w:r>
          </w:p>
        </w:tc>
      </w:tr>
      <w:tr w:rsidR="00401A98" w:rsidRPr="0097670E" w14:paraId="5CA00F61" w14:textId="77777777" w:rsidTr="009E6BB6">
        <w:trPr>
          <w:trHeight w:val="624"/>
        </w:trPr>
        <w:tc>
          <w:tcPr>
            <w:tcW w:w="9317" w:type="dxa"/>
            <w:gridSpan w:val="2"/>
          </w:tcPr>
          <w:p w14:paraId="18FC9F92" w14:textId="77777777" w:rsidR="00401A98" w:rsidRPr="0097670E" w:rsidRDefault="00401A98" w:rsidP="00525F47">
            <w:pPr>
              <w:spacing w:before="60" w:after="60"/>
              <w:rPr>
                <w:rFonts w:eastAsia="MS Gothic"/>
                <w:b/>
                <w:bCs/>
                <w:i/>
                <w:iCs/>
                <w:kern w:val="2"/>
              </w:rPr>
            </w:pPr>
            <w:r w:rsidRPr="0097670E">
              <w:rPr>
                <w:b/>
                <w:bCs/>
                <w:i/>
                <w:iCs/>
                <w:szCs w:val="22"/>
              </w:rPr>
              <w:t>Указание возможных трудностей</w:t>
            </w:r>
            <w:r w:rsidRPr="0097670E">
              <w:rPr>
                <w:rFonts w:eastAsia="MS Gothic"/>
                <w:bCs/>
                <w:i/>
                <w:iCs/>
                <w:kern w:val="2"/>
              </w:rPr>
              <w:t xml:space="preserve">: </w:t>
            </w:r>
          </w:p>
          <w:p w14:paraId="2E826D18" w14:textId="1B12724B" w:rsidR="00401A98" w:rsidRPr="0097670E" w:rsidRDefault="00525F47" w:rsidP="00525F47">
            <w:pPr>
              <w:spacing w:before="60" w:after="60"/>
              <w:rPr>
                <w:rFonts w:eastAsia="SimSun"/>
                <w:bCs/>
                <w:i/>
                <w:iCs/>
                <w:kern w:val="2"/>
                <w:lang w:eastAsia="zh-CN"/>
              </w:rPr>
            </w:pPr>
            <w:r w:rsidRPr="0097670E">
              <w:rPr>
                <w:bCs/>
                <w:iCs/>
              </w:rPr>
              <w:t xml:space="preserve">Способы </w:t>
            </w:r>
            <w:r w:rsidR="00E36A85" w:rsidRPr="0097670E">
              <w:rPr>
                <w:bCs/>
                <w:iCs/>
              </w:rPr>
              <w:t>обеспеч</w:t>
            </w:r>
            <w:r w:rsidR="00BA0FC5" w:rsidRPr="0097670E">
              <w:rPr>
                <w:bCs/>
                <w:iCs/>
              </w:rPr>
              <w:t>ения</w:t>
            </w:r>
            <w:r w:rsidR="00E36A85" w:rsidRPr="0097670E">
              <w:rPr>
                <w:bCs/>
                <w:iCs/>
              </w:rPr>
              <w:t xml:space="preserve"> защит</w:t>
            </w:r>
            <w:r w:rsidR="00BA0FC5" w:rsidRPr="0097670E">
              <w:rPr>
                <w:bCs/>
                <w:iCs/>
              </w:rPr>
              <w:t>ы</w:t>
            </w:r>
            <w:r w:rsidR="00E36A85" w:rsidRPr="0097670E">
              <w:rPr>
                <w:bCs/>
                <w:iCs/>
              </w:rPr>
              <w:t xml:space="preserve"> </w:t>
            </w:r>
            <w:r w:rsidR="00802FCE" w:rsidRPr="0097670E">
              <w:rPr>
                <w:bCs/>
                <w:iCs/>
              </w:rPr>
              <w:t xml:space="preserve">действующих </w:t>
            </w:r>
            <w:r w:rsidR="00E36A85" w:rsidRPr="0097670E">
              <w:rPr>
                <w:bCs/>
                <w:iCs/>
              </w:rPr>
              <w:t xml:space="preserve">первичных служб от новых распределений ПСС. </w:t>
            </w:r>
          </w:p>
        </w:tc>
      </w:tr>
      <w:tr w:rsidR="00401A98" w:rsidRPr="0097670E" w14:paraId="3C95009F" w14:textId="77777777" w:rsidTr="00FF5B73">
        <w:tc>
          <w:tcPr>
            <w:tcW w:w="9317" w:type="dxa"/>
            <w:gridSpan w:val="2"/>
          </w:tcPr>
          <w:p w14:paraId="037AD808" w14:textId="77777777" w:rsidR="00401A98" w:rsidRPr="0097670E" w:rsidRDefault="00401A98" w:rsidP="00525F47">
            <w:pPr>
              <w:spacing w:before="60" w:after="60"/>
              <w:rPr>
                <w:rFonts w:eastAsia="MS Gothic"/>
                <w:kern w:val="2"/>
                <w:lang w:eastAsia="ja-JP"/>
              </w:rPr>
            </w:pPr>
            <w:r w:rsidRPr="0097670E">
              <w:rPr>
                <w:b/>
                <w:bCs/>
                <w:i/>
                <w:iCs/>
                <w:szCs w:val="22"/>
              </w:rPr>
              <w:t>Ранее проведенные/текущие исследования по данному вопросу</w:t>
            </w:r>
            <w:r w:rsidRPr="0097670E">
              <w:rPr>
                <w:rFonts w:eastAsia="MS Gothic"/>
                <w:bCs/>
                <w:i/>
                <w:iCs/>
                <w:kern w:val="2"/>
              </w:rPr>
              <w:t>:</w:t>
            </w:r>
          </w:p>
          <w:p w14:paraId="170F2F44" w14:textId="7CDC353E" w:rsidR="00401A98" w:rsidRPr="0097670E" w:rsidRDefault="00525F47" w:rsidP="00525F47">
            <w:pPr>
              <w:tabs>
                <w:tab w:val="clear" w:pos="1134"/>
                <w:tab w:val="clear" w:pos="1871"/>
                <w:tab w:val="left" w:pos="367"/>
              </w:tabs>
              <w:spacing w:before="60" w:after="60"/>
              <w:ind w:left="367" w:hanging="367"/>
              <w:rPr>
                <w:rFonts w:eastAsia="MS PMincho"/>
                <w:kern w:val="2"/>
                <w:lang w:eastAsia="ja-JP"/>
              </w:rPr>
            </w:pPr>
            <w:r w:rsidRPr="0097670E">
              <w:rPr>
                <w:bCs/>
                <w:iCs/>
              </w:rPr>
              <w:t xml:space="preserve">Не </w:t>
            </w:r>
            <w:r w:rsidR="00E36A85" w:rsidRPr="0097670E">
              <w:rPr>
                <w:bCs/>
                <w:iCs/>
              </w:rPr>
              <w:t>проводились</w:t>
            </w:r>
            <w:r w:rsidR="009E6BB6" w:rsidRPr="0097670E">
              <w:rPr>
                <w:bCs/>
                <w:iCs/>
              </w:rPr>
              <w:t>.</w:t>
            </w:r>
          </w:p>
        </w:tc>
      </w:tr>
      <w:tr w:rsidR="00401A98" w:rsidRPr="0097670E" w14:paraId="2A69408C" w14:textId="77777777" w:rsidTr="00FF5B73">
        <w:tc>
          <w:tcPr>
            <w:tcW w:w="4205" w:type="dxa"/>
          </w:tcPr>
          <w:p w14:paraId="3B45A117" w14:textId="77777777" w:rsidR="00401A98" w:rsidRPr="0097670E" w:rsidRDefault="00401A98" w:rsidP="00525F47">
            <w:pPr>
              <w:spacing w:before="60" w:after="60"/>
              <w:rPr>
                <w:rFonts w:eastAsia="MS Gothic"/>
                <w:b/>
                <w:bCs/>
                <w:i/>
                <w:iCs/>
                <w:kern w:val="2"/>
                <w:lang w:eastAsia="ja-JP"/>
              </w:rPr>
            </w:pPr>
            <w:r w:rsidRPr="0097670E">
              <w:rPr>
                <w:b/>
                <w:bCs/>
                <w:i/>
                <w:iCs/>
                <w:szCs w:val="22"/>
              </w:rPr>
              <w:t>Кем будут проводиться исследования</w:t>
            </w:r>
            <w:r w:rsidRPr="0097670E">
              <w:rPr>
                <w:rFonts w:eastAsia="MS Gothic"/>
                <w:bCs/>
                <w:i/>
                <w:iCs/>
                <w:kern w:val="2"/>
              </w:rPr>
              <w:t>:</w:t>
            </w:r>
          </w:p>
          <w:p w14:paraId="7941B436" w14:textId="3D84081F" w:rsidR="00401A98" w:rsidRPr="0097670E" w:rsidRDefault="00401A98" w:rsidP="00525F47">
            <w:pPr>
              <w:spacing w:before="60" w:after="60"/>
              <w:rPr>
                <w:rFonts w:eastAsia="SimSun"/>
                <w:bCs/>
                <w:iCs/>
                <w:kern w:val="2"/>
                <w:lang w:eastAsia="ko-KR"/>
              </w:rPr>
            </w:pPr>
            <w:r w:rsidRPr="0097670E">
              <w:rPr>
                <w:rFonts w:eastAsia="SimSun"/>
                <w:bCs/>
                <w:iCs/>
                <w:kern w:val="2"/>
                <w:lang w:eastAsia="ko-KR"/>
              </w:rPr>
              <w:t xml:space="preserve">РГ </w:t>
            </w:r>
            <w:r w:rsidR="00736A11" w:rsidRPr="0097670E">
              <w:rPr>
                <w:bCs/>
                <w:iCs/>
              </w:rPr>
              <w:t>4C</w:t>
            </w:r>
            <w:r w:rsidRPr="0097670E">
              <w:rPr>
                <w:rFonts w:eastAsia="SimSun"/>
                <w:bCs/>
                <w:iCs/>
                <w:kern w:val="2"/>
                <w:lang w:eastAsia="ko-KR"/>
              </w:rPr>
              <w:t xml:space="preserve"> МСЭ-R</w:t>
            </w:r>
            <w:r w:rsidR="00736A11" w:rsidRPr="0097670E">
              <w:rPr>
                <w:rFonts w:eastAsia="SimSun"/>
                <w:bCs/>
                <w:iCs/>
                <w:kern w:val="2"/>
                <w:lang w:eastAsia="ko-KR"/>
              </w:rPr>
              <w:t xml:space="preserve"> </w:t>
            </w:r>
            <w:r w:rsidR="00E36A85" w:rsidRPr="0097670E">
              <w:rPr>
                <w:bCs/>
                <w:iCs/>
              </w:rPr>
              <w:t>как ответственн</w:t>
            </w:r>
            <w:r w:rsidR="00802FCE" w:rsidRPr="0097670E">
              <w:rPr>
                <w:bCs/>
                <w:iCs/>
              </w:rPr>
              <w:t>ой</w:t>
            </w:r>
            <w:r w:rsidR="00E36A85" w:rsidRPr="0097670E">
              <w:rPr>
                <w:bCs/>
                <w:iCs/>
              </w:rPr>
              <w:t xml:space="preserve"> групп</w:t>
            </w:r>
            <w:r w:rsidR="00802FCE" w:rsidRPr="0097670E">
              <w:rPr>
                <w:bCs/>
                <w:iCs/>
              </w:rPr>
              <w:t>ой</w:t>
            </w:r>
          </w:p>
        </w:tc>
        <w:tc>
          <w:tcPr>
            <w:tcW w:w="5112" w:type="dxa"/>
          </w:tcPr>
          <w:p w14:paraId="68AB790C" w14:textId="77777777" w:rsidR="00401A98" w:rsidRPr="0097670E" w:rsidRDefault="00401A98" w:rsidP="00525F47">
            <w:pPr>
              <w:spacing w:before="60" w:after="60"/>
              <w:rPr>
                <w:rFonts w:eastAsia="MS Gothic"/>
                <w:bCs/>
                <w:i/>
                <w:iCs/>
                <w:kern w:val="2"/>
                <w:lang w:eastAsia="ja-JP"/>
              </w:rPr>
            </w:pPr>
            <w:r w:rsidRPr="0097670E">
              <w:rPr>
                <w:rFonts w:eastAsia="MS Gothic"/>
                <w:b/>
                <w:bCs/>
                <w:i/>
                <w:iCs/>
                <w:kern w:val="2"/>
              </w:rPr>
              <w:t>с участием</w:t>
            </w:r>
            <w:r w:rsidRPr="0097670E">
              <w:rPr>
                <w:rFonts w:eastAsia="MS Gothic"/>
                <w:bCs/>
                <w:i/>
                <w:iCs/>
                <w:kern w:val="2"/>
              </w:rPr>
              <w:t>:</w:t>
            </w:r>
          </w:p>
          <w:p w14:paraId="154F9DE6" w14:textId="62B5904E" w:rsidR="00401A98" w:rsidRPr="0097670E" w:rsidRDefault="00401A98" w:rsidP="00525F47">
            <w:pPr>
              <w:spacing w:before="60" w:after="60"/>
              <w:rPr>
                <w:rFonts w:eastAsia="MS Gothic"/>
                <w:kern w:val="2"/>
                <w:lang w:eastAsia="ja-JP"/>
              </w:rPr>
            </w:pPr>
            <w:r w:rsidRPr="0097670E">
              <w:rPr>
                <w:rFonts w:eastAsia="MS Gothic"/>
                <w:kern w:val="2"/>
                <w:lang w:eastAsia="ja-JP"/>
              </w:rPr>
              <w:t>администраций и членов Сектора</w:t>
            </w:r>
            <w:r w:rsidR="00736A11" w:rsidRPr="0097670E">
              <w:rPr>
                <w:rFonts w:eastAsia="MS Gothic"/>
                <w:kern w:val="2"/>
                <w:lang w:eastAsia="ja-JP"/>
              </w:rPr>
              <w:t xml:space="preserve"> МСЭ-R</w:t>
            </w:r>
          </w:p>
        </w:tc>
      </w:tr>
      <w:tr w:rsidR="00401A98" w:rsidRPr="0097670E" w14:paraId="4441D19E" w14:textId="77777777" w:rsidTr="00FF5B73">
        <w:tc>
          <w:tcPr>
            <w:tcW w:w="9317" w:type="dxa"/>
            <w:gridSpan w:val="2"/>
          </w:tcPr>
          <w:p w14:paraId="22DDF2FC" w14:textId="77777777" w:rsidR="00401A98" w:rsidRPr="0097670E" w:rsidRDefault="00401A98" w:rsidP="00525F47">
            <w:pPr>
              <w:spacing w:before="60" w:after="60"/>
              <w:rPr>
                <w:rFonts w:eastAsia="MS Gothic"/>
                <w:b/>
                <w:bCs/>
                <w:i/>
                <w:iCs/>
                <w:kern w:val="2"/>
                <w:lang w:eastAsia="ja-JP"/>
              </w:rPr>
            </w:pPr>
            <w:r w:rsidRPr="0097670E">
              <w:rPr>
                <w:b/>
                <w:bCs/>
                <w:i/>
                <w:iCs/>
                <w:szCs w:val="22"/>
              </w:rPr>
              <w:t>Затрагиваемые исследовательские комиссии МСЭ-R</w:t>
            </w:r>
            <w:r w:rsidRPr="0097670E">
              <w:rPr>
                <w:rFonts w:eastAsia="MS Gothic"/>
                <w:bCs/>
                <w:i/>
                <w:iCs/>
                <w:kern w:val="2"/>
              </w:rPr>
              <w:t>:</w:t>
            </w:r>
          </w:p>
          <w:p w14:paraId="37BF62E6" w14:textId="47BBDD94" w:rsidR="00401A98" w:rsidRPr="0097670E" w:rsidRDefault="00401A98" w:rsidP="00525F47">
            <w:pPr>
              <w:spacing w:before="60" w:after="60"/>
              <w:rPr>
                <w:rFonts w:eastAsia="MS Gothic"/>
                <w:bCs/>
                <w:iCs/>
                <w:kern w:val="2"/>
                <w:lang w:eastAsia="ja-JP"/>
              </w:rPr>
            </w:pPr>
            <w:r w:rsidRPr="0097670E">
              <w:rPr>
                <w:rFonts w:eastAsia="MS Gothic"/>
                <w:bCs/>
                <w:iCs/>
                <w:kern w:val="2"/>
                <w:lang w:eastAsia="ja-JP"/>
              </w:rPr>
              <w:t>4</w:t>
            </w:r>
            <w:r w:rsidR="00525F47">
              <w:rPr>
                <w:rFonts w:eastAsia="MS Gothic"/>
                <w:bCs/>
                <w:iCs/>
                <w:kern w:val="2"/>
                <w:lang w:eastAsia="ja-JP"/>
              </w:rPr>
              <w:t>-я</w:t>
            </w:r>
            <w:r w:rsidR="00736A11" w:rsidRPr="0097670E">
              <w:rPr>
                <w:rFonts w:eastAsia="MS Gothic"/>
                <w:bCs/>
                <w:iCs/>
                <w:kern w:val="2"/>
                <w:lang w:eastAsia="ja-JP"/>
              </w:rPr>
              <w:t>, 5</w:t>
            </w:r>
            <w:r w:rsidR="00525F47">
              <w:rPr>
                <w:rFonts w:eastAsia="MS Gothic"/>
                <w:bCs/>
                <w:iCs/>
                <w:kern w:val="2"/>
                <w:lang w:eastAsia="ja-JP"/>
              </w:rPr>
              <w:t>-я</w:t>
            </w:r>
            <w:r w:rsidR="00736A11" w:rsidRPr="0097670E">
              <w:rPr>
                <w:rFonts w:eastAsia="MS Gothic"/>
                <w:bCs/>
                <w:iCs/>
                <w:kern w:val="2"/>
                <w:lang w:eastAsia="ja-JP"/>
              </w:rPr>
              <w:t>, 6</w:t>
            </w:r>
            <w:r w:rsidR="00525F47">
              <w:rPr>
                <w:rFonts w:eastAsia="MS Gothic"/>
                <w:bCs/>
                <w:iCs/>
                <w:kern w:val="2"/>
                <w:lang w:eastAsia="ja-JP"/>
              </w:rPr>
              <w:t>-я</w:t>
            </w:r>
            <w:r w:rsidR="00736A11" w:rsidRPr="0097670E">
              <w:rPr>
                <w:rFonts w:eastAsia="MS Gothic"/>
                <w:bCs/>
                <w:iCs/>
                <w:kern w:val="2"/>
                <w:lang w:eastAsia="ja-JP"/>
              </w:rPr>
              <w:t xml:space="preserve"> </w:t>
            </w:r>
            <w:r w:rsidRPr="0097670E">
              <w:rPr>
                <w:rFonts w:eastAsia="MS Gothic"/>
                <w:bCs/>
                <w:iCs/>
                <w:kern w:val="2"/>
                <w:lang w:eastAsia="ja-JP"/>
              </w:rPr>
              <w:t xml:space="preserve">и </w:t>
            </w:r>
            <w:r w:rsidR="00736A11" w:rsidRPr="0097670E">
              <w:rPr>
                <w:rFonts w:eastAsia="MS Gothic"/>
                <w:bCs/>
                <w:iCs/>
                <w:kern w:val="2"/>
                <w:lang w:eastAsia="ja-JP"/>
              </w:rPr>
              <w:t>7</w:t>
            </w:r>
            <w:r w:rsidR="00525F47">
              <w:rPr>
                <w:rFonts w:eastAsia="MS Gothic"/>
                <w:bCs/>
                <w:iCs/>
                <w:kern w:val="2"/>
                <w:lang w:eastAsia="ja-JP"/>
              </w:rPr>
              <w:t>-я Исследовательские комиссии</w:t>
            </w:r>
          </w:p>
        </w:tc>
      </w:tr>
      <w:tr w:rsidR="00401A98" w:rsidRPr="0097670E" w14:paraId="7D10F6D1" w14:textId="77777777" w:rsidTr="00DB55AE">
        <w:trPr>
          <w:trHeight w:val="678"/>
        </w:trPr>
        <w:tc>
          <w:tcPr>
            <w:tcW w:w="9317" w:type="dxa"/>
            <w:gridSpan w:val="2"/>
          </w:tcPr>
          <w:p w14:paraId="2C137FDA" w14:textId="77777777" w:rsidR="00401A98" w:rsidRPr="0097670E" w:rsidRDefault="00401A98" w:rsidP="00525F47">
            <w:pPr>
              <w:spacing w:before="60" w:after="60"/>
              <w:rPr>
                <w:rFonts w:eastAsia="MS Gothic"/>
                <w:kern w:val="2"/>
                <w:lang w:eastAsia="ja-JP"/>
              </w:rPr>
            </w:pPr>
            <w:r w:rsidRPr="0097670E">
              <w:rPr>
                <w:b/>
                <w:bCs/>
                <w:i/>
                <w:iCs/>
                <w:szCs w:val="22"/>
              </w:rPr>
              <w:t>Влияние на ресурсы МСЭ, включая финансовые последствия (см. K126)</w:t>
            </w:r>
            <w:r w:rsidRPr="0097670E">
              <w:rPr>
                <w:rFonts w:eastAsia="MS Gothic"/>
                <w:bCs/>
                <w:kern w:val="2"/>
                <w:lang w:eastAsia="ja-JP"/>
              </w:rPr>
              <w:t>:</w:t>
            </w:r>
          </w:p>
          <w:p w14:paraId="031CA5CA" w14:textId="2E530A20" w:rsidR="00401A98" w:rsidRPr="0097670E" w:rsidRDefault="00525F47" w:rsidP="00525F47">
            <w:pPr>
              <w:spacing w:before="60" w:after="60"/>
              <w:rPr>
                <w:rFonts w:eastAsia="SimSun"/>
                <w:kern w:val="2"/>
                <w:lang w:eastAsia="zh-CN"/>
              </w:rPr>
            </w:pPr>
            <w:r w:rsidRPr="0097670E">
              <w:rPr>
                <w:bCs/>
                <w:iCs/>
              </w:rPr>
              <w:t xml:space="preserve">Исследования </w:t>
            </w:r>
            <w:r w:rsidR="00E36A85" w:rsidRPr="0097670E">
              <w:rPr>
                <w:bCs/>
                <w:iCs/>
              </w:rPr>
              <w:t>по данному предлагаемому пункту повестки дня будут проводиться в соответствии с обычными процедурами и запланированным бюджетом МСЭ-R.</w:t>
            </w:r>
          </w:p>
        </w:tc>
      </w:tr>
      <w:tr w:rsidR="00401A98" w:rsidRPr="0097670E" w14:paraId="0BDD4695" w14:textId="77777777" w:rsidTr="00525F47">
        <w:trPr>
          <w:trHeight w:val="274"/>
        </w:trPr>
        <w:tc>
          <w:tcPr>
            <w:tcW w:w="4205" w:type="dxa"/>
          </w:tcPr>
          <w:p w14:paraId="0ED9B83A" w14:textId="72C60421" w:rsidR="00DB55AE" w:rsidRPr="00525F47" w:rsidRDefault="00401A98" w:rsidP="00525F47">
            <w:pPr>
              <w:spacing w:before="60" w:after="60"/>
              <w:rPr>
                <w:rFonts w:eastAsia="MS Gothic"/>
                <w:bCs/>
                <w:iCs/>
                <w:kern w:val="2"/>
                <w:lang w:eastAsia="ja-JP"/>
              </w:rPr>
            </w:pPr>
            <w:r w:rsidRPr="0097670E">
              <w:rPr>
                <w:b/>
                <w:i/>
                <w:color w:val="000000"/>
                <w:szCs w:val="22"/>
              </w:rPr>
              <w:t>Общее региональное предложение</w:t>
            </w:r>
            <w:r w:rsidRPr="0097670E">
              <w:rPr>
                <w:rFonts w:eastAsia="MS Gothic"/>
                <w:bCs/>
                <w:i/>
                <w:kern w:val="2"/>
              </w:rPr>
              <w:t>:</w:t>
            </w:r>
            <w:r w:rsidR="00525F47">
              <w:rPr>
                <w:rFonts w:eastAsia="MS Gothic"/>
                <w:bCs/>
                <w:i/>
                <w:kern w:val="2"/>
              </w:rPr>
              <w:t xml:space="preserve"> </w:t>
            </w:r>
            <w:r w:rsidR="00525F47" w:rsidRPr="00525F47">
              <w:rPr>
                <w:bCs/>
                <w:iCs/>
              </w:rPr>
              <w:t>Нет</w:t>
            </w:r>
          </w:p>
        </w:tc>
        <w:tc>
          <w:tcPr>
            <w:tcW w:w="5112" w:type="dxa"/>
          </w:tcPr>
          <w:p w14:paraId="517D3CB2" w14:textId="7410397B" w:rsidR="00401A98" w:rsidRPr="0097670E" w:rsidRDefault="00401A98" w:rsidP="00525F47">
            <w:pPr>
              <w:spacing w:before="60" w:after="60"/>
              <w:rPr>
                <w:rFonts w:eastAsia="SimSun"/>
                <w:i/>
                <w:iCs/>
                <w:kern w:val="2"/>
                <w:lang w:eastAsia="ko-KR"/>
              </w:rPr>
            </w:pPr>
            <w:r w:rsidRPr="0097670E">
              <w:rPr>
                <w:b/>
                <w:bCs/>
                <w:i/>
                <w:iCs/>
                <w:szCs w:val="22"/>
              </w:rPr>
              <w:t>Предложение группы стран</w:t>
            </w:r>
            <w:r w:rsidRPr="0097670E">
              <w:rPr>
                <w:rFonts w:eastAsia="MS Gothic"/>
                <w:bCs/>
                <w:i/>
                <w:iCs/>
                <w:kern w:val="2"/>
              </w:rPr>
              <w:t>:</w:t>
            </w:r>
            <w:r w:rsidRPr="00525F47">
              <w:rPr>
                <w:rFonts w:eastAsia="MS Gothic"/>
                <w:kern w:val="2"/>
              </w:rPr>
              <w:t xml:space="preserve"> </w:t>
            </w:r>
            <w:r w:rsidR="00525F47" w:rsidRPr="00525F47">
              <w:rPr>
                <w:bCs/>
                <w:iCs/>
              </w:rPr>
              <w:t>Нет</w:t>
            </w:r>
          </w:p>
          <w:p w14:paraId="4C8E5846" w14:textId="0AD1E4CC" w:rsidR="00401A98" w:rsidRPr="00C954AF" w:rsidRDefault="00401A98" w:rsidP="00525F47">
            <w:pPr>
              <w:spacing w:before="60" w:after="60"/>
              <w:rPr>
                <w:rFonts w:eastAsia="Malgun Gothic"/>
                <w:kern w:val="2"/>
                <w:lang w:eastAsia="ko-KR"/>
              </w:rPr>
            </w:pPr>
            <w:r w:rsidRPr="0097670E">
              <w:rPr>
                <w:b/>
                <w:bCs/>
                <w:i/>
                <w:iCs/>
                <w:szCs w:val="22"/>
              </w:rPr>
              <w:t>Количество стран</w:t>
            </w:r>
            <w:r w:rsidRPr="0097670E">
              <w:rPr>
                <w:rFonts w:eastAsia="MS Gothic"/>
                <w:bCs/>
                <w:i/>
                <w:iCs/>
                <w:kern w:val="2"/>
              </w:rPr>
              <w:t>:</w:t>
            </w:r>
            <w:r w:rsidR="00DB55AE" w:rsidRPr="0097670E">
              <w:rPr>
                <w:rFonts w:eastAsia="MS Gothic"/>
                <w:bCs/>
                <w:i/>
                <w:iCs/>
                <w:kern w:val="2"/>
              </w:rPr>
              <w:t xml:space="preserve"> </w:t>
            </w:r>
            <w:r w:rsidR="00C954AF">
              <w:rPr>
                <w:rFonts w:eastAsia="MS Gothic"/>
                <w:bCs/>
                <w:kern w:val="2"/>
              </w:rPr>
              <w:t>н/п</w:t>
            </w:r>
          </w:p>
        </w:tc>
      </w:tr>
      <w:tr w:rsidR="00401A98" w:rsidRPr="0097670E" w14:paraId="0AB8586E" w14:textId="77777777" w:rsidTr="00FF5B73">
        <w:trPr>
          <w:trHeight w:val="70"/>
        </w:trPr>
        <w:tc>
          <w:tcPr>
            <w:tcW w:w="9317" w:type="dxa"/>
            <w:gridSpan w:val="2"/>
          </w:tcPr>
          <w:p w14:paraId="42E96ABD" w14:textId="77777777" w:rsidR="00401A98" w:rsidRPr="0097670E" w:rsidRDefault="00401A98" w:rsidP="00525F47">
            <w:pPr>
              <w:spacing w:before="60" w:after="60"/>
              <w:rPr>
                <w:rFonts w:eastAsia="MS Gothic"/>
                <w:b/>
                <w:bCs/>
                <w:i/>
                <w:iCs/>
                <w:kern w:val="2"/>
              </w:rPr>
            </w:pPr>
            <w:r w:rsidRPr="0097670E">
              <w:rPr>
                <w:rFonts w:eastAsia="MS Gothic"/>
                <w:b/>
                <w:bCs/>
                <w:i/>
                <w:iCs/>
                <w:kern w:val="2"/>
              </w:rPr>
              <w:lastRenderedPageBreak/>
              <w:t>Примечания</w:t>
            </w:r>
          </w:p>
          <w:p w14:paraId="0FB0BFBC" w14:textId="7C8BC931" w:rsidR="00401A98" w:rsidRPr="00525F47" w:rsidRDefault="00C954AF" w:rsidP="00525F47">
            <w:pPr>
              <w:spacing w:before="60" w:after="60"/>
              <w:rPr>
                <w:rFonts w:eastAsia="SimSun"/>
                <w:bCs/>
                <w:iCs/>
                <w:kern w:val="2"/>
                <w:lang w:eastAsia="ko-KR"/>
              </w:rPr>
            </w:pPr>
            <w:r>
              <w:rPr>
                <w:rFonts w:eastAsia="SimSun"/>
                <w:bCs/>
                <w:iCs/>
                <w:kern w:val="2"/>
                <w:lang w:eastAsia="ko-KR"/>
              </w:rPr>
              <w:t>н/п</w:t>
            </w:r>
          </w:p>
        </w:tc>
      </w:tr>
    </w:tbl>
    <w:p w14:paraId="2C42FEC2" w14:textId="77777777" w:rsidR="00921C28" w:rsidRPr="0097670E" w:rsidRDefault="00921C28" w:rsidP="00DB55AE">
      <w:pPr>
        <w:spacing w:before="360"/>
        <w:jc w:val="center"/>
      </w:pPr>
      <w:r w:rsidRPr="0097670E">
        <w:t>______________</w:t>
      </w:r>
    </w:p>
    <w:sectPr w:rsidR="00921C28" w:rsidRPr="0097670E" w:rsidSect="00525F47">
      <w:headerReference w:type="default" r:id="rId13"/>
      <w:footerReference w:type="even" r:id="rId14"/>
      <w:footerReference w:type="default" r:id="rId15"/>
      <w:footerReference w:type="first" r:id="rId16"/>
      <w:pgSz w:w="11907" w:h="16840"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50B92" w14:textId="77777777" w:rsidR="00D96A8C" w:rsidRDefault="00D96A8C">
      <w:r>
        <w:separator/>
      </w:r>
    </w:p>
  </w:endnote>
  <w:endnote w:type="continuationSeparator" w:id="0">
    <w:p w14:paraId="19CAA78A" w14:textId="77777777" w:rsidR="00D96A8C" w:rsidRDefault="00D9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DAF8" w14:textId="77777777" w:rsidR="00567276" w:rsidRDefault="00567276">
    <w:pPr>
      <w:framePr w:wrap="around" w:vAnchor="text" w:hAnchor="margin" w:xAlign="right" w:y="1"/>
    </w:pPr>
    <w:r>
      <w:fldChar w:fldCharType="begin"/>
    </w:r>
    <w:r>
      <w:instrText xml:space="preserve">PAGE  </w:instrText>
    </w:r>
    <w:r>
      <w:fldChar w:fldCharType="end"/>
    </w:r>
  </w:p>
  <w:p w14:paraId="447D3509" w14:textId="49615617"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97670E">
      <w:rPr>
        <w:noProof/>
      </w:rPr>
      <w:t>11.11.23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61D7" w14:textId="77777777" w:rsidR="00567276" w:rsidRDefault="00567276" w:rsidP="00F33B22">
    <w:pPr>
      <w:pStyle w:val="Footer"/>
    </w:pPr>
    <w:r>
      <w:fldChar w:fldCharType="begin"/>
    </w:r>
    <w:r w:rsidRPr="009F7D8F">
      <w:rPr>
        <w:lang w:val="en-US"/>
      </w:rPr>
      <w:instrText xml:space="preserve"> FILENAME \p  \* MERGEFORMAT </w:instrText>
    </w:r>
    <w:r>
      <w:fldChar w:fldCharType="separate"/>
    </w:r>
    <w:r w:rsidR="00DF33CC" w:rsidRPr="009F7D8F">
      <w:rPr>
        <w:lang w:val="en-US"/>
      </w:rPr>
      <w:t>P:\RUS\ITU-R\CONF-R\CMR23\000\099ADD27ADD01R.docx</w:t>
    </w:r>
    <w:r>
      <w:fldChar w:fldCharType="end"/>
    </w:r>
    <w:r w:rsidR="00DF33CC">
      <w:t xml:space="preserve"> (530159)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6764" w14:textId="77777777" w:rsidR="00567276" w:rsidRPr="009F7D8F" w:rsidRDefault="00567276" w:rsidP="00FB67E5">
    <w:pPr>
      <w:pStyle w:val="Footer"/>
      <w:rPr>
        <w:lang w:val="en-US"/>
      </w:rPr>
    </w:pPr>
    <w:r>
      <w:fldChar w:fldCharType="begin"/>
    </w:r>
    <w:r w:rsidRPr="009F7D8F">
      <w:rPr>
        <w:lang w:val="en-US"/>
      </w:rPr>
      <w:instrText xml:space="preserve"> FILENAME \p  \* MERGEFORMAT </w:instrText>
    </w:r>
    <w:r>
      <w:fldChar w:fldCharType="separate"/>
    </w:r>
    <w:r w:rsidR="00DF33CC" w:rsidRPr="009F7D8F">
      <w:rPr>
        <w:lang w:val="en-US"/>
      </w:rPr>
      <w:t>P:\RUS\ITU-R\CONF-R\CMR23\000\099ADD27ADD01R.docx</w:t>
    </w:r>
    <w:r>
      <w:fldChar w:fldCharType="end"/>
    </w:r>
    <w:r w:rsidR="00DF33CC">
      <w:t xml:space="preserve"> (530159)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3E2B" w14:textId="77777777" w:rsidR="00D96A8C" w:rsidRDefault="00D96A8C">
      <w:r>
        <w:rPr>
          <w:b/>
        </w:rPr>
        <w:t>_______________</w:t>
      </w:r>
    </w:p>
  </w:footnote>
  <w:footnote w:type="continuationSeparator" w:id="0">
    <w:p w14:paraId="3148E7DA" w14:textId="77777777" w:rsidR="00D96A8C" w:rsidRDefault="00D96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40FC" w14:textId="77777777" w:rsidR="00567276" w:rsidRPr="00434A7C" w:rsidRDefault="00567276" w:rsidP="00DE2EBA">
    <w:pPr>
      <w:pStyle w:val="Header"/>
      <w:rPr>
        <w:lang w:val="en-US"/>
      </w:rPr>
    </w:pPr>
    <w:r>
      <w:fldChar w:fldCharType="begin"/>
    </w:r>
    <w:r>
      <w:instrText xml:space="preserve"> PAGE </w:instrText>
    </w:r>
    <w:r>
      <w:fldChar w:fldCharType="separate"/>
    </w:r>
    <w:r w:rsidR="00AD0668">
      <w:rPr>
        <w:noProof/>
      </w:rPr>
      <w:t>3</w:t>
    </w:r>
    <w:r>
      <w:fldChar w:fldCharType="end"/>
    </w:r>
  </w:p>
  <w:p w14:paraId="651B0E63" w14:textId="77777777" w:rsidR="00567276" w:rsidRDefault="002C0AAB" w:rsidP="00F65316">
    <w:pPr>
      <w:pStyle w:val="Header"/>
      <w:rPr>
        <w:lang w:val="en-US"/>
      </w:rPr>
    </w:pPr>
    <w:r>
      <w:t>WRC</w:t>
    </w:r>
    <w:r w:rsidR="001D46DF">
      <w:rPr>
        <w:lang w:val="en-US"/>
      </w:rPr>
      <w:t>23</w:t>
    </w:r>
    <w:r w:rsidR="00567276">
      <w:t>/</w:t>
    </w:r>
    <w:r w:rsidR="00F761D2">
      <w:t>99(Add.27)(Add.1)-</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18988766">
    <w:abstractNumId w:val="0"/>
  </w:num>
  <w:num w:numId="2" w16cid:durableId="169064138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44EEC"/>
    <w:rsid w:val="000739F1"/>
    <w:rsid w:val="000A0EF3"/>
    <w:rsid w:val="000C3F55"/>
    <w:rsid w:val="000C4484"/>
    <w:rsid w:val="000E63F4"/>
    <w:rsid w:val="000F33D8"/>
    <w:rsid w:val="000F39B4"/>
    <w:rsid w:val="000F4210"/>
    <w:rsid w:val="00107097"/>
    <w:rsid w:val="00113D0B"/>
    <w:rsid w:val="001226EC"/>
    <w:rsid w:val="00123B68"/>
    <w:rsid w:val="00124C09"/>
    <w:rsid w:val="00126F2E"/>
    <w:rsid w:val="00146961"/>
    <w:rsid w:val="001521AE"/>
    <w:rsid w:val="001641D6"/>
    <w:rsid w:val="001A5585"/>
    <w:rsid w:val="001D46DF"/>
    <w:rsid w:val="001E5FB4"/>
    <w:rsid w:val="00202CA0"/>
    <w:rsid w:val="00230582"/>
    <w:rsid w:val="002449AA"/>
    <w:rsid w:val="00245A1F"/>
    <w:rsid w:val="00287F73"/>
    <w:rsid w:val="00290C74"/>
    <w:rsid w:val="002A2D3F"/>
    <w:rsid w:val="002C0AAB"/>
    <w:rsid w:val="002E7595"/>
    <w:rsid w:val="00300F84"/>
    <w:rsid w:val="003258F2"/>
    <w:rsid w:val="00344EB8"/>
    <w:rsid w:val="00346AD0"/>
    <w:rsid w:val="00346BEC"/>
    <w:rsid w:val="00371E4B"/>
    <w:rsid w:val="00373759"/>
    <w:rsid w:val="00377DFE"/>
    <w:rsid w:val="003C583C"/>
    <w:rsid w:val="003F0078"/>
    <w:rsid w:val="00401A98"/>
    <w:rsid w:val="00434A7C"/>
    <w:rsid w:val="0045143A"/>
    <w:rsid w:val="004A58F4"/>
    <w:rsid w:val="004B716F"/>
    <w:rsid w:val="004C1369"/>
    <w:rsid w:val="004C47ED"/>
    <w:rsid w:val="004C6D0B"/>
    <w:rsid w:val="004F3B0D"/>
    <w:rsid w:val="0051315E"/>
    <w:rsid w:val="005144A9"/>
    <w:rsid w:val="00514E1F"/>
    <w:rsid w:val="00521B1D"/>
    <w:rsid w:val="00525F47"/>
    <w:rsid w:val="005305D5"/>
    <w:rsid w:val="005401FC"/>
    <w:rsid w:val="00540D1E"/>
    <w:rsid w:val="005651C9"/>
    <w:rsid w:val="00567276"/>
    <w:rsid w:val="005755E2"/>
    <w:rsid w:val="00597005"/>
    <w:rsid w:val="005A295E"/>
    <w:rsid w:val="005D1879"/>
    <w:rsid w:val="005D79A3"/>
    <w:rsid w:val="005E61DD"/>
    <w:rsid w:val="005F234E"/>
    <w:rsid w:val="006023DF"/>
    <w:rsid w:val="006115BE"/>
    <w:rsid w:val="00614771"/>
    <w:rsid w:val="00620DD7"/>
    <w:rsid w:val="00657DE0"/>
    <w:rsid w:val="00692C06"/>
    <w:rsid w:val="006A6E9B"/>
    <w:rsid w:val="00703A28"/>
    <w:rsid w:val="00704F38"/>
    <w:rsid w:val="00736A11"/>
    <w:rsid w:val="00763F4F"/>
    <w:rsid w:val="00775720"/>
    <w:rsid w:val="007831B9"/>
    <w:rsid w:val="007917AE"/>
    <w:rsid w:val="007A08B5"/>
    <w:rsid w:val="00802FCE"/>
    <w:rsid w:val="00811633"/>
    <w:rsid w:val="00812452"/>
    <w:rsid w:val="00815749"/>
    <w:rsid w:val="00872FC8"/>
    <w:rsid w:val="00886302"/>
    <w:rsid w:val="008A6C8B"/>
    <w:rsid w:val="008B23D3"/>
    <w:rsid w:val="008B43F2"/>
    <w:rsid w:val="008C3257"/>
    <w:rsid w:val="008C401C"/>
    <w:rsid w:val="009119CC"/>
    <w:rsid w:val="00913C66"/>
    <w:rsid w:val="00917C0A"/>
    <w:rsid w:val="00921C28"/>
    <w:rsid w:val="00941A02"/>
    <w:rsid w:val="00943084"/>
    <w:rsid w:val="00966C93"/>
    <w:rsid w:val="0097670E"/>
    <w:rsid w:val="00987FA4"/>
    <w:rsid w:val="009B5CC2"/>
    <w:rsid w:val="009D3D63"/>
    <w:rsid w:val="009E20A4"/>
    <w:rsid w:val="009E5FC8"/>
    <w:rsid w:val="009E6BB6"/>
    <w:rsid w:val="009F7D8F"/>
    <w:rsid w:val="00A117A3"/>
    <w:rsid w:val="00A138D0"/>
    <w:rsid w:val="00A13A9F"/>
    <w:rsid w:val="00A141AF"/>
    <w:rsid w:val="00A2044F"/>
    <w:rsid w:val="00A4600A"/>
    <w:rsid w:val="00A57C04"/>
    <w:rsid w:val="00A61057"/>
    <w:rsid w:val="00A710E7"/>
    <w:rsid w:val="00A81026"/>
    <w:rsid w:val="00A84BC8"/>
    <w:rsid w:val="00A97EC0"/>
    <w:rsid w:val="00AB58E8"/>
    <w:rsid w:val="00AC66E6"/>
    <w:rsid w:val="00AD0668"/>
    <w:rsid w:val="00AE780E"/>
    <w:rsid w:val="00AF7B8B"/>
    <w:rsid w:val="00B24E60"/>
    <w:rsid w:val="00B468A6"/>
    <w:rsid w:val="00B75113"/>
    <w:rsid w:val="00B958BD"/>
    <w:rsid w:val="00BA0FC5"/>
    <w:rsid w:val="00BA13A4"/>
    <w:rsid w:val="00BA1AA1"/>
    <w:rsid w:val="00BA35DC"/>
    <w:rsid w:val="00BC5313"/>
    <w:rsid w:val="00BD0D2F"/>
    <w:rsid w:val="00BD1129"/>
    <w:rsid w:val="00BD2B36"/>
    <w:rsid w:val="00C0328C"/>
    <w:rsid w:val="00C0572C"/>
    <w:rsid w:val="00C17002"/>
    <w:rsid w:val="00C20466"/>
    <w:rsid w:val="00C2049B"/>
    <w:rsid w:val="00C266F4"/>
    <w:rsid w:val="00C30D1F"/>
    <w:rsid w:val="00C324A8"/>
    <w:rsid w:val="00C56E7A"/>
    <w:rsid w:val="00C779CE"/>
    <w:rsid w:val="00C916AF"/>
    <w:rsid w:val="00C954AF"/>
    <w:rsid w:val="00CA2A15"/>
    <w:rsid w:val="00CC47C6"/>
    <w:rsid w:val="00CC4DE6"/>
    <w:rsid w:val="00CE5E47"/>
    <w:rsid w:val="00CF020F"/>
    <w:rsid w:val="00D1549F"/>
    <w:rsid w:val="00D53715"/>
    <w:rsid w:val="00D7331A"/>
    <w:rsid w:val="00D81168"/>
    <w:rsid w:val="00D85FAE"/>
    <w:rsid w:val="00D96A8C"/>
    <w:rsid w:val="00DB55AE"/>
    <w:rsid w:val="00DE2EBA"/>
    <w:rsid w:val="00DF33CC"/>
    <w:rsid w:val="00E2253F"/>
    <w:rsid w:val="00E36A85"/>
    <w:rsid w:val="00E43E99"/>
    <w:rsid w:val="00E5155F"/>
    <w:rsid w:val="00E56C7B"/>
    <w:rsid w:val="00E65919"/>
    <w:rsid w:val="00E976C1"/>
    <w:rsid w:val="00EA0C0C"/>
    <w:rsid w:val="00EA50EF"/>
    <w:rsid w:val="00EB66F7"/>
    <w:rsid w:val="00EF43E7"/>
    <w:rsid w:val="00F1578A"/>
    <w:rsid w:val="00F21A03"/>
    <w:rsid w:val="00F33B22"/>
    <w:rsid w:val="00F43EEC"/>
    <w:rsid w:val="00F63305"/>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3E25D"/>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qFormat/>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styleId="Hyperlink">
    <w:name w:val="Hyperlink"/>
    <w:aliases w:val="ECC Hyperlink,CEO_Hyperlink,超级链接"/>
    <w:basedOn w:val="DefaultParagraphFont"/>
    <w:unhideWhenUsed/>
    <w:qFormat/>
    <w:rPr>
      <w:color w:val="0000FF" w:themeColor="hyperlink"/>
      <w:u w:val="single"/>
    </w:rPr>
  </w:style>
  <w:style w:type="paragraph" w:customStyle="1" w:styleId="Headingb0">
    <w:name w:val="Heading b"/>
    <w:basedOn w:val="Normal"/>
    <w:rsid w:val="00DF33CC"/>
    <w:rPr>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R23-WRC23-C-0099!A27-A1!MSW-R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182999AD-4413-4192-B8C6-BEF5262B1D0B}">
  <ds:schemaRefs>
    <ds:schemaRef ds:uri="http://schemas.microsoft.com/sharepoint/events"/>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C3DED-66BC-43D7-A18B-386C4DAE024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5</Pages>
  <Words>1144</Words>
  <Characters>7760</Characters>
  <Application>Microsoft Office Word</Application>
  <DocSecurity>0</DocSecurity>
  <Lines>64</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R23-WRC23-C-0099!A27-A1!MSW-R</vt:lpstr>
      <vt:lpstr>R23-WRC23-C-0099!A27-A1!MSW-R</vt:lpstr>
    </vt:vector>
  </TitlesOfParts>
  <Manager>General Secretariat - Pool</Manager>
  <Company>International Telecommunication Union (ITU)</Company>
  <LinksUpToDate>false</LinksUpToDate>
  <CharactersWithSpaces>8887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R23-WRC23-C-0099!A27-A1!MSW-R</dc:title>
  <dc:subject>World Radiocommunication Conference - 2019</dc:subject>
  <dc:creator>Documents Proposals Manager (DPM)</dc:creator>
  <cp:keywords>DPM_v2023.8.1.1_prod</cp:keywords>
  <dc:description/>
  <cp:lastModifiedBy>Antipina, Nadezda</cp:lastModifiedBy>
  <cp:revision>34</cp:revision>
  <cp:lastPrinted>2003-06-17T08:22:00Z</cp:lastPrinted>
  <dcterms:created xsi:type="dcterms:W3CDTF">2023-10-31T13:27:00Z</dcterms:created>
  <dcterms:modified xsi:type="dcterms:W3CDTF">2023-11-12T09:19:00Z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