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A0C22" w14:paraId="3327A541" w14:textId="77777777" w:rsidTr="00C1305F">
        <w:trPr>
          <w:cantSplit/>
        </w:trPr>
        <w:tc>
          <w:tcPr>
            <w:tcW w:w="1418" w:type="dxa"/>
            <w:vAlign w:val="center"/>
          </w:tcPr>
          <w:p w14:paraId="2A672FFB" w14:textId="77777777" w:rsidR="00C1305F" w:rsidRPr="003A0C22" w:rsidRDefault="00C1305F" w:rsidP="00CF27E7">
            <w:pPr>
              <w:spacing w:before="0"/>
              <w:rPr>
                <w:rFonts w:ascii="Verdana" w:hAnsi="Verdana"/>
                <w:b/>
                <w:bCs/>
                <w:sz w:val="20"/>
              </w:rPr>
            </w:pPr>
            <w:r w:rsidRPr="003A0C22">
              <w:drawing>
                <wp:inline distT="0" distB="0" distL="0" distR="0" wp14:anchorId="2DA46420" wp14:editId="16A1F54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3A880A8" w14:textId="129A7FF3" w:rsidR="00C1305F" w:rsidRPr="003A0C22" w:rsidRDefault="00C1305F" w:rsidP="00CF27E7">
            <w:pPr>
              <w:spacing w:before="400" w:after="48"/>
              <w:rPr>
                <w:rFonts w:ascii="Verdana" w:hAnsi="Verdana"/>
                <w:b/>
                <w:bCs/>
                <w:sz w:val="20"/>
              </w:rPr>
            </w:pPr>
            <w:r w:rsidRPr="003A0C22">
              <w:rPr>
                <w:rFonts w:ascii="Verdana" w:hAnsi="Verdana"/>
                <w:b/>
                <w:bCs/>
                <w:sz w:val="20"/>
              </w:rPr>
              <w:t>Conférence mondiale des radiocommunications (CMR-23)</w:t>
            </w:r>
            <w:r w:rsidRPr="003A0C22">
              <w:rPr>
                <w:rFonts w:ascii="Verdana" w:hAnsi="Verdana"/>
                <w:b/>
                <w:bCs/>
                <w:sz w:val="20"/>
              </w:rPr>
              <w:br/>
            </w:r>
            <w:r w:rsidRPr="003A0C22">
              <w:rPr>
                <w:rFonts w:ascii="Verdana" w:hAnsi="Verdana"/>
                <w:b/>
                <w:bCs/>
                <w:sz w:val="18"/>
                <w:szCs w:val="18"/>
              </w:rPr>
              <w:t xml:space="preserve">Dubaï, 20 novembre </w:t>
            </w:r>
            <w:r w:rsidR="00954506" w:rsidRPr="003A0C22">
              <w:rPr>
                <w:rFonts w:ascii="Verdana" w:hAnsi="Verdana"/>
                <w:b/>
                <w:bCs/>
                <w:sz w:val="18"/>
                <w:szCs w:val="18"/>
              </w:rPr>
              <w:t>–</w:t>
            </w:r>
            <w:r w:rsidRPr="003A0C22">
              <w:rPr>
                <w:rFonts w:ascii="Verdana" w:hAnsi="Verdana"/>
                <w:b/>
                <w:bCs/>
                <w:sz w:val="18"/>
                <w:szCs w:val="18"/>
              </w:rPr>
              <w:t xml:space="preserve"> 15 décembre 2023</w:t>
            </w:r>
          </w:p>
        </w:tc>
        <w:tc>
          <w:tcPr>
            <w:tcW w:w="1809" w:type="dxa"/>
            <w:vAlign w:val="center"/>
          </w:tcPr>
          <w:p w14:paraId="025C8A05" w14:textId="77777777" w:rsidR="00C1305F" w:rsidRPr="003A0C22" w:rsidRDefault="00C1305F" w:rsidP="00CF27E7">
            <w:pPr>
              <w:spacing w:before="0"/>
            </w:pPr>
            <w:bookmarkStart w:id="0" w:name="ditulogo"/>
            <w:bookmarkEnd w:id="0"/>
            <w:r w:rsidRPr="003A0C22">
              <w:drawing>
                <wp:inline distT="0" distB="0" distL="0" distR="0" wp14:anchorId="5E4B2325" wp14:editId="03901C6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A0C22" w14:paraId="1557F18E" w14:textId="77777777" w:rsidTr="0050008E">
        <w:trPr>
          <w:cantSplit/>
        </w:trPr>
        <w:tc>
          <w:tcPr>
            <w:tcW w:w="6911" w:type="dxa"/>
            <w:gridSpan w:val="2"/>
            <w:tcBorders>
              <w:bottom w:val="single" w:sz="12" w:space="0" w:color="auto"/>
            </w:tcBorders>
          </w:tcPr>
          <w:p w14:paraId="12FB7460" w14:textId="77777777" w:rsidR="00BB1D82" w:rsidRPr="003A0C22" w:rsidRDefault="00BB1D82" w:rsidP="00CF27E7">
            <w:pPr>
              <w:spacing w:before="0" w:after="48"/>
              <w:rPr>
                <w:b/>
                <w:smallCaps/>
                <w:szCs w:val="24"/>
              </w:rPr>
            </w:pPr>
            <w:bookmarkStart w:id="1" w:name="dhead"/>
          </w:p>
        </w:tc>
        <w:tc>
          <w:tcPr>
            <w:tcW w:w="3120" w:type="dxa"/>
            <w:gridSpan w:val="2"/>
            <w:tcBorders>
              <w:bottom w:val="single" w:sz="12" w:space="0" w:color="auto"/>
            </w:tcBorders>
          </w:tcPr>
          <w:p w14:paraId="53AC5579" w14:textId="77777777" w:rsidR="00BB1D82" w:rsidRPr="003A0C22" w:rsidRDefault="00BB1D82" w:rsidP="00CF27E7">
            <w:pPr>
              <w:spacing w:before="0"/>
              <w:rPr>
                <w:rFonts w:ascii="Verdana" w:hAnsi="Verdana"/>
                <w:szCs w:val="24"/>
              </w:rPr>
            </w:pPr>
          </w:p>
        </w:tc>
      </w:tr>
      <w:tr w:rsidR="00BB1D82" w:rsidRPr="003A0C22" w14:paraId="031AB3C1" w14:textId="77777777" w:rsidTr="00BB1D82">
        <w:trPr>
          <w:cantSplit/>
        </w:trPr>
        <w:tc>
          <w:tcPr>
            <w:tcW w:w="6911" w:type="dxa"/>
            <w:gridSpan w:val="2"/>
            <w:tcBorders>
              <w:top w:val="single" w:sz="12" w:space="0" w:color="auto"/>
            </w:tcBorders>
          </w:tcPr>
          <w:p w14:paraId="69DA8BF5" w14:textId="77777777" w:rsidR="00BB1D82" w:rsidRPr="003A0C22" w:rsidRDefault="00BB1D82" w:rsidP="00CF27E7">
            <w:pPr>
              <w:spacing w:before="0" w:after="48"/>
              <w:rPr>
                <w:rFonts w:ascii="Verdana" w:hAnsi="Verdana"/>
                <w:b/>
                <w:smallCaps/>
                <w:sz w:val="20"/>
              </w:rPr>
            </w:pPr>
          </w:p>
        </w:tc>
        <w:tc>
          <w:tcPr>
            <w:tcW w:w="3120" w:type="dxa"/>
            <w:gridSpan w:val="2"/>
            <w:tcBorders>
              <w:top w:val="single" w:sz="12" w:space="0" w:color="auto"/>
            </w:tcBorders>
          </w:tcPr>
          <w:p w14:paraId="003818C3" w14:textId="77777777" w:rsidR="00BB1D82" w:rsidRPr="003A0C22" w:rsidRDefault="00BB1D82" w:rsidP="00CF27E7">
            <w:pPr>
              <w:spacing w:before="0"/>
              <w:rPr>
                <w:rFonts w:ascii="Verdana" w:hAnsi="Verdana"/>
                <w:sz w:val="20"/>
              </w:rPr>
            </w:pPr>
          </w:p>
        </w:tc>
      </w:tr>
      <w:tr w:rsidR="00BB1D82" w:rsidRPr="003A0C22" w14:paraId="1A64B726" w14:textId="77777777" w:rsidTr="00BB1D82">
        <w:trPr>
          <w:cantSplit/>
        </w:trPr>
        <w:tc>
          <w:tcPr>
            <w:tcW w:w="6911" w:type="dxa"/>
            <w:gridSpan w:val="2"/>
          </w:tcPr>
          <w:p w14:paraId="326EAE76" w14:textId="77777777" w:rsidR="00BB1D82" w:rsidRPr="003A0C22" w:rsidRDefault="006D4724" w:rsidP="00CF27E7">
            <w:pPr>
              <w:spacing w:before="0"/>
              <w:rPr>
                <w:rFonts w:ascii="Verdana" w:hAnsi="Verdana"/>
                <w:b/>
                <w:sz w:val="20"/>
              </w:rPr>
            </w:pPr>
            <w:r w:rsidRPr="003A0C22">
              <w:rPr>
                <w:rFonts w:ascii="Verdana" w:hAnsi="Verdana"/>
                <w:b/>
                <w:sz w:val="20"/>
              </w:rPr>
              <w:t>SÉANCE PLÉNIÈRE</w:t>
            </w:r>
          </w:p>
        </w:tc>
        <w:tc>
          <w:tcPr>
            <w:tcW w:w="3120" w:type="dxa"/>
            <w:gridSpan w:val="2"/>
          </w:tcPr>
          <w:p w14:paraId="5B27A152" w14:textId="77777777" w:rsidR="00BB1D82" w:rsidRPr="003A0C22" w:rsidRDefault="006D4724" w:rsidP="00CF27E7">
            <w:pPr>
              <w:spacing w:before="0"/>
              <w:rPr>
                <w:rFonts w:ascii="Verdana" w:hAnsi="Verdana"/>
                <w:sz w:val="20"/>
              </w:rPr>
            </w:pPr>
            <w:r w:rsidRPr="003A0C22">
              <w:rPr>
                <w:rFonts w:ascii="Verdana" w:hAnsi="Verdana"/>
                <w:b/>
                <w:sz w:val="20"/>
              </w:rPr>
              <w:t>Addendum 1 au</w:t>
            </w:r>
            <w:r w:rsidRPr="003A0C22">
              <w:rPr>
                <w:rFonts w:ascii="Verdana" w:hAnsi="Verdana"/>
                <w:b/>
                <w:sz w:val="20"/>
              </w:rPr>
              <w:br/>
              <w:t>Document 99(Add.27)</w:t>
            </w:r>
            <w:r w:rsidR="00BB1D82" w:rsidRPr="003A0C22">
              <w:rPr>
                <w:rFonts w:ascii="Verdana" w:hAnsi="Verdana"/>
                <w:b/>
                <w:sz w:val="20"/>
              </w:rPr>
              <w:t>-</w:t>
            </w:r>
            <w:r w:rsidRPr="003A0C22">
              <w:rPr>
                <w:rFonts w:ascii="Verdana" w:hAnsi="Verdana"/>
                <w:b/>
                <w:sz w:val="20"/>
              </w:rPr>
              <w:t>F</w:t>
            </w:r>
          </w:p>
        </w:tc>
      </w:tr>
      <w:bookmarkEnd w:id="1"/>
      <w:tr w:rsidR="00690C7B" w:rsidRPr="003A0C22" w14:paraId="504616BB" w14:textId="77777777" w:rsidTr="00BB1D82">
        <w:trPr>
          <w:cantSplit/>
        </w:trPr>
        <w:tc>
          <w:tcPr>
            <w:tcW w:w="6911" w:type="dxa"/>
            <w:gridSpan w:val="2"/>
          </w:tcPr>
          <w:p w14:paraId="24D2DB43" w14:textId="77777777" w:rsidR="00690C7B" w:rsidRPr="003A0C22" w:rsidRDefault="00690C7B" w:rsidP="00CF27E7">
            <w:pPr>
              <w:spacing w:before="0"/>
              <w:rPr>
                <w:rFonts w:ascii="Verdana" w:hAnsi="Verdana"/>
                <w:b/>
                <w:sz w:val="20"/>
              </w:rPr>
            </w:pPr>
          </w:p>
        </w:tc>
        <w:tc>
          <w:tcPr>
            <w:tcW w:w="3120" w:type="dxa"/>
            <w:gridSpan w:val="2"/>
          </w:tcPr>
          <w:p w14:paraId="4832647E" w14:textId="77777777" w:rsidR="00690C7B" w:rsidRPr="003A0C22" w:rsidRDefault="00690C7B" w:rsidP="00CF27E7">
            <w:pPr>
              <w:spacing w:before="0"/>
              <w:rPr>
                <w:rFonts w:ascii="Verdana" w:hAnsi="Verdana"/>
                <w:b/>
                <w:sz w:val="20"/>
              </w:rPr>
            </w:pPr>
            <w:r w:rsidRPr="003A0C22">
              <w:rPr>
                <w:rFonts w:ascii="Verdana" w:hAnsi="Verdana"/>
                <w:b/>
                <w:sz w:val="20"/>
              </w:rPr>
              <w:t>27 octobre 2023</w:t>
            </w:r>
          </w:p>
        </w:tc>
      </w:tr>
      <w:tr w:rsidR="00690C7B" w:rsidRPr="003A0C22" w14:paraId="1776F4EF" w14:textId="77777777" w:rsidTr="00BB1D82">
        <w:trPr>
          <w:cantSplit/>
        </w:trPr>
        <w:tc>
          <w:tcPr>
            <w:tcW w:w="6911" w:type="dxa"/>
            <w:gridSpan w:val="2"/>
          </w:tcPr>
          <w:p w14:paraId="2BE2DF6C" w14:textId="77777777" w:rsidR="00690C7B" w:rsidRPr="003A0C22" w:rsidRDefault="00690C7B" w:rsidP="00CF27E7">
            <w:pPr>
              <w:spacing w:before="0" w:after="48"/>
              <w:rPr>
                <w:rFonts w:ascii="Verdana" w:hAnsi="Verdana"/>
                <w:b/>
                <w:smallCaps/>
                <w:sz w:val="20"/>
              </w:rPr>
            </w:pPr>
          </w:p>
        </w:tc>
        <w:tc>
          <w:tcPr>
            <w:tcW w:w="3120" w:type="dxa"/>
            <w:gridSpan w:val="2"/>
          </w:tcPr>
          <w:p w14:paraId="39A203C2" w14:textId="77777777" w:rsidR="00690C7B" w:rsidRPr="003A0C22" w:rsidRDefault="00690C7B" w:rsidP="00CF27E7">
            <w:pPr>
              <w:spacing w:before="0"/>
              <w:rPr>
                <w:rFonts w:ascii="Verdana" w:hAnsi="Verdana"/>
                <w:b/>
                <w:sz w:val="20"/>
              </w:rPr>
            </w:pPr>
            <w:r w:rsidRPr="003A0C22">
              <w:rPr>
                <w:rFonts w:ascii="Verdana" w:hAnsi="Verdana"/>
                <w:b/>
                <w:sz w:val="20"/>
              </w:rPr>
              <w:t>Original: anglais</w:t>
            </w:r>
          </w:p>
        </w:tc>
      </w:tr>
      <w:tr w:rsidR="00690C7B" w:rsidRPr="003A0C22" w14:paraId="79588976" w14:textId="77777777" w:rsidTr="00C11970">
        <w:trPr>
          <w:cantSplit/>
        </w:trPr>
        <w:tc>
          <w:tcPr>
            <w:tcW w:w="10031" w:type="dxa"/>
            <w:gridSpan w:val="4"/>
          </w:tcPr>
          <w:p w14:paraId="499F24EE" w14:textId="77777777" w:rsidR="00690C7B" w:rsidRPr="003A0C22" w:rsidRDefault="00690C7B" w:rsidP="00CF27E7">
            <w:pPr>
              <w:spacing w:before="0"/>
              <w:rPr>
                <w:rFonts w:ascii="Verdana" w:hAnsi="Verdana"/>
                <w:b/>
                <w:sz w:val="20"/>
              </w:rPr>
            </w:pPr>
          </w:p>
        </w:tc>
      </w:tr>
      <w:tr w:rsidR="00690C7B" w:rsidRPr="003A0C22" w14:paraId="5CD213FA" w14:textId="77777777" w:rsidTr="0050008E">
        <w:trPr>
          <w:cantSplit/>
        </w:trPr>
        <w:tc>
          <w:tcPr>
            <w:tcW w:w="10031" w:type="dxa"/>
            <w:gridSpan w:val="4"/>
          </w:tcPr>
          <w:p w14:paraId="549E6D40" w14:textId="77777777" w:rsidR="00690C7B" w:rsidRPr="003A0C22" w:rsidRDefault="00690C7B" w:rsidP="00CF27E7">
            <w:pPr>
              <w:pStyle w:val="Source"/>
            </w:pPr>
            <w:bookmarkStart w:id="2" w:name="dsource" w:colFirst="0" w:colLast="0"/>
            <w:r w:rsidRPr="003A0C22">
              <w:t>Japon</w:t>
            </w:r>
          </w:p>
        </w:tc>
      </w:tr>
      <w:tr w:rsidR="00690C7B" w:rsidRPr="003A0C22" w14:paraId="1EA90D81" w14:textId="77777777" w:rsidTr="0050008E">
        <w:trPr>
          <w:cantSplit/>
        </w:trPr>
        <w:tc>
          <w:tcPr>
            <w:tcW w:w="10031" w:type="dxa"/>
            <w:gridSpan w:val="4"/>
          </w:tcPr>
          <w:p w14:paraId="025554F6" w14:textId="26E90F59" w:rsidR="00690C7B" w:rsidRPr="003A0C22" w:rsidRDefault="00954506" w:rsidP="00CF27E7">
            <w:pPr>
              <w:pStyle w:val="Title1"/>
            </w:pPr>
            <w:bookmarkStart w:id="3" w:name="dtitle1" w:colFirst="0" w:colLast="0"/>
            <w:bookmarkEnd w:id="2"/>
            <w:r w:rsidRPr="003A0C22">
              <w:t>propositions POUR LES TRAVAUX DE LA CONFÉRENCE</w:t>
            </w:r>
          </w:p>
        </w:tc>
      </w:tr>
      <w:tr w:rsidR="00690C7B" w:rsidRPr="003A0C22" w14:paraId="4B2CF02F" w14:textId="77777777" w:rsidTr="0050008E">
        <w:trPr>
          <w:cantSplit/>
        </w:trPr>
        <w:tc>
          <w:tcPr>
            <w:tcW w:w="10031" w:type="dxa"/>
            <w:gridSpan w:val="4"/>
          </w:tcPr>
          <w:p w14:paraId="5677C0D1" w14:textId="77777777" w:rsidR="00690C7B" w:rsidRPr="003A0C22" w:rsidRDefault="00690C7B" w:rsidP="00CF27E7">
            <w:pPr>
              <w:pStyle w:val="Title2"/>
            </w:pPr>
            <w:bookmarkStart w:id="4" w:name="dtitle2" w:colFirst="0" w:colLast="0"/>
            <w:bookmarkEnd w:id="3"/>
          </w:p>
        </w:tc>
      </w:tr>
      <w:tr w:rsidR="00690C7B" w:rsidRPr="003A0C22" w14:paraId="2B9FC551" w14:textId="77777777" w:rsidTr="0050008E">
        <w:trPr>
          <w:cantSplit/>
        </w:trPr>
        <w:tc>
          <w:tcPr>
            <w:tcW w:w="10031" w:type="dxa"/>
            <w:gridSpan w:val="4"/>
          </w:tcPr>
          <w:p w14:paraId="1607283F" w14:textId="77777777" w:rsidR="00690C7B" w:rsidRPr="003A0C22" w:rsidRDefault="00690C7B" w:rsidP="00CF27E7">
            <w:pPr>
              <w:pStyle w:val="Agendaitem"/>
              <w:rPr>
                <w:lang w:val="fr-FR"/>
              </w:rPr>
            </w:pPr>
            <w:bookmarkStart w:id="5" w:name="dtitle3" w:colFirst="0" w:colLast="0"/>
            <w:bookmarkEnd w:id="4"/>
            <w:r w:rsidRPr="003A0C22">
              <w:rPr>
                <w:lang w:val="fr-FR"/>
              </w:rPr>
              <w:t>Point 10 de l'ordre du jour</w:t>
            </w:r>
          </w:p>
        </w:tc>
      </w:tr>
    </w:tbl>
    <w:bookmarkEnd w:id="5"/>
    <w:p w14:paraId="546E487C" w14:textId="52465D2C" w:rsidR="003A583E" w:rsidRPr="003A0C22" w:rsidRDefault="00974CE8" w:rsidP="00CF27E7">
      <w:r w:rsidRPr="003A0C22">
        <w:t>10</w:t>
      </w:r>
      <w:r w:rsidRPr="003A0C22">
        <w:tab/>
        <w:t>recommander au Conseil de l'UIT des points à inscrire à l'ordre du jour de la Conférence mondiale des radiocommunications suivante et des points de l'ordre du jour préliminaire de conférences futures, conformément à l'article</w:t>
      </w:r>
      <w:r w:rsidR="00CF27E7" w:rsidRPr="003A0C22">
        <w:t xml:space="preserve"> </w:t>
      </w:r>
      <w:r w:rsidRPr="003A0C22">
        <w:t>7 de la</w:t>
      </w:r>
      <w:r w:rsidR="00CF27E7" w:rsidRPr="003A0C22">
        <w:t xml:space="preserve"> </w:t>
      </w:r>
      <w:r w:rsidRPr="003A0C22">
        <w:t>Convention de l'UIT et à la Résolution</w:t>
      </w:r>
      <w:r w:rsidR="00C7567A" w:rsidRPr="003A0C22">
        <w:t> </w:t>
      </w:r>
      <w:r w:rsidRPr="003A0C22">
        <w:rPr>
          <w:b/>
        </w:rPr>
        <w:t>804</w:t>
      </w:r>
      <w:r w:rsidR="00C7567A" w:rsidRPr="003A0C22">
        <w:rPr>
          <w:b/>
        </w:rPr>
        <w:t> </w:t>
      </w:r>
      <w:r w:rsidRPr="003A0C22">
        <w:rPr>
          <w:b/>
        </w:rPr>
        <w:t>(Rév.CMR-19)</w:t>
      </w:r>
      <w:r w:rsidRPr="003A0C22">
        <w:t>,</w:t>
      </w:r>
    </w:p>
    <w:p w14:paraId="7091EA18" w14:textId="18DE3C9C" w:rsidR="00954506" w:rsidRPr="003A0C22" w:rsidRDefault="00954506" w:rsidP="00CF27E7">
      <w:pPr>
        <w:pStyle w:val="Headingb"/>
      </w:pPr>
      <w:r w:rsidRPr="003A0C22">
        <w:t>Introduction</w:t>
      </w:r>
    </w:p>
    <w:p w14:paraId="2FEEB7F8" w14:textId="65A03B59" w:rsidR="00954506" w:rsidRPr="003A0C22" w:rsidRDefault="00594480" w:rsidP="00CF27E7">
      <w:r w:rsidRPr="003A0C22">
        <w:t xml:space="preserve">Le Japon propose d'inscrire un nouveau point à l'ordre du jour de la CMR-27 en vue d'envisager de nouvelles attributions au service mobile par satellite (SMS) </w:t>
      </w:r>
      <w:r w:rsidR="00D51798" w:rsidRPr="003A0C22">
        <w:t>destiné</w:t>
      </w:r>
      <w:r w:rsidR="00995CE9" w:rsidRPr="003A0C22">
        <w:t>es</w:t>
      </w:r>
      <w:r w:rsidR="00D51798" w:rsidRPr="003A0C22">
        <w:t xml:space="preserve"> à être utilisé</w:t>
      </w:r>
      <w:r w:rsidR="00995CE9" w:rsidRPr="003A0C22">
        <w:t>es</w:t>
      </w:r>
      <w:r w:rsidR="00D51798" w:rsidRPr="003A0C22">
        <w:t xml:space="preserve"> uniquement pour </w:t>
      </w:r>
      <w:r w:rsidR="00995CE9" w:rsidRPr="003A0C22">
        <w:t>l</w:t>
      </w:r>
      <w:r w:rsidR="00D51798" w:rsidRPr="003A0C22">
        <w:t>es</w:t>
      </w:r>
      <w:r w:rsidRPr="003A0C22">
        <w:t xml:space="preserve"> communications directes entre un satellite non OSG et des équipements d'utilisateur IMT dans des systèmes IMT de Terre, afin d'assurer la protection des services auxquels les bandes de fréquences sont attribuées à titre primaire, dans les bandes de fréquences 698-960 MHz, 1</w:t>
      </w:r>
      <w:r w:rsidR="00CF27E7" w:rsidRPr="003A0C22">
        <w:t> </w:t>
      </w:r>
      <w:r w:rsidRPr="003A0C22">
        <w:t>427</w:t>
      </w:r>
      <w:r w:rsidR="00CF27E7" w:rsidRPr="003A0C22">
        <w:noBreakHyphen/>
      </w:r>
      <w:r w:rsidRPr="003A0C22">
        <w:t>1</w:t>
      </w:r>
      <w:r w:rsidR="00995CE9" w:rsidRPr="003A0C22">
        <w:t> </w:t>
      </w:r>
      <w:r w:rsidRPr="003A0C22">
        <w:t>518 MHz, 1 710-1 980 MHz, 2 010-2 025 MHz et 2 110-2 170 MHz identifiées pour la composante de Terre des IMT, à condition que le</w:t>
      </w:r>
      <w:r w:rsidR="00274278" w:rsidRPr="003A0C22">
        <w:t>s systèmes du</w:t>
      </w:r>
      <w:r w:rsidRPr="003A0C22">
        <w:t xml:space="preserve"> SMS bénéficiant de</w:t>
      </w:r>
      <w:r w:rsidR="00274278" w:rsidRPr="003A0C22">
        <w:t xml:space="preserve"> ces</w:t>
      </w:r>
      <w:r w:rsidRPr="003A0C22">
        <w:t xml:space="preserve"> nouvelles attributions ne cause</w:t>
      </w:r>
      <w:r w:rsidR="00274278" w:rsidRPr="003A0C22">
        <w:t>nt</w:t>
      </w:r>
      <w:r w:rsidRPr="003A0C22">
        <w:t xml:space="preserve"> pas de brouillages préjudiciables aux stations d</w:t>
      </w:r>
      <w:r w:rsidR="008C0C45" w:rsidRPr="003A0C22">
        <w:t xml:space="preserve">es </w:t>
      </w:r>
      <w:r w:rsidRPr="003A0C22">
        <w:t>autres services disposant d'une attribution à titre primaire, y compris les systèmes IMT de Terre dans les pays voisins, et qu'il</w:t>
      </w:r>
      <w:r w:rsidR="00274278" w:rsidRPr="003A0C22">
        <w:t>s</w:t>
      </w:r>
      <w:r w:rsidRPr="003A0C22">
        <w:t xml:space="preserve"> ne demande</w:t>
      </w:r>
      <w:r w:rsidR="00274278" w:rsidRPr="003A0C22">
        <w:t>nt</w:t>
      </w:r>
      <w:r w:rsidRPr="003A0C22">
        <w:t xml:space="preserve"> pas à être protégé</w:t>
      </w:r>
      <w:r w:rsidR="00274278" w:rsidRPr="003A0C22">
        <w:t>s</w:t>
      </w:r>
      <w:r w:rsidRPr="003A0C22">
        <w:t xml:space="preserve"> vis-à-vis de ces </w:t>
      </w:r>
      <w:r w:rsidR="00D51798" w:rsidRPr="003A0C22">
        <w:t>stations</w:t>
      </w:r>
      <w:r w:rsidRPr="003A0C22">
        <w:t>.</w:t>
      </w:r>
    </w:p>
    <w:p w14:paraId="4E0C2E63" w14:textId="71CCA57B" w:rsidR="00954506" w:rsidRPr="003A0C22" w:rsidRDefault="00954506" w:rsidP="00CF27E7">
      <w:pPr>
        <w:pStyle w:val="Headingb"/>
      </w:pPr>
      <w:r w:rsidRPr="003A0C22">
        <w:t>Proposition</w:t>
      </w:r>
    </w:p>
    <w:p w14:paraId="25DF94F1" w14:textId="77777777" w:rsidR="0015203F" w:rsidRPr="003A0C22" w:rsidRDefault="0015203F" w:rsidP="00CF27E7">
      <w:pPr>
        <w:tabs>
          <w:tab w:val="clear" w:pos="1134"/>
          <w:tab w:val="clear" w:pos="1871"/>
          <w:tab w:val="clear" w:pos="2268"/>
        </w:tabs>
        <w:overflowPunct/>
        <w:autoSpaceDE/>
        <w:autoSpaceDN/>
        <w:adjustRightInd/>
        <w:spacing w:before="0"/>
        <w:textAlignment w:val="auto"/>
      </w:pPr>
      <w:r w:rsidRPr="003A0C22">
        <w:br w:type="page"/>
      </w:r>
    </w:p>
    <w:p w14:paraId="0D619781" w14:textId="77777777" w:rsidR="006B694C" w:rsidRPr="003A0C22" w:rsidRDefault="00974CE8" w:rsidP="00CF27E7">
      <w:pPr>
        <w:pStyle w:val="Proposal"/>
      </w:pPr>
      <w:r w:rsidRPr="003A0C22">
        <w:lastRenderedPageBreak/>
        <w:t>ADD</w:t>
      </w:r>
      <w:r w:rsidRPr="003A0C22">
        <w:tab/>
        <w:t>J/99A27A1/1</w:t>
      </w:r>
    </w:p>
    <w:p w14:paraId="73FDDAF2" w14:textId="521AAC8E" w:rsidR="006B694C" w:rsidRPr="003A0C22" w:rsidRDefault="00974CE8" w:rsidP="00CF27E7">
      <w:pPr>
        <w:pStyle w:val="ResNo"/>
      </w:pPr>
      <w:r w:rsidRPr="003A0C22">
        <w:t>Résolution [</w:t>
      </w:r>
      <w:r w:rsidR="0040688C" w:rsidRPr="003A0C22">
        <w:t>BELOW 2.2 GHZ MSS FOR IMT</w:t>
      </w:r>
      <w:r w:rsidRPr="003A0C22">
        <w:t>]</w:t>
      </w:r>
      <w:r w:rsidR="00954506" w:rsidRPr="003A0C22">
        <w:t xml:space="preserve"> (CMR</w:t>
      </w:r>
      <w:r w:rsidR="00954506" w:rsidRPr="003A0C22">
        <w:noBreakHyphen/>
        <w:t>23)</w:t>
      </w:r>
    </w:p>
    <w:p w14:paraId="6CC560C2" w14:textId="05FCBD97" w:rsidR="006B694C" w:rsidRPr="003A0C22" w:rsidRDefault="00594480" w:rsidP="00CF27E7">
      <w:pPr>
        <w:pStyle w:val="Restitle"/>
      </w:pPr>
      <w:r w:rsidRPr="003A0C22">
        <w:t xml:space="preserve">Études sur les questions liées </w:t>
      </w:r>
      <w:r w:rsidR="008C0C45" w:rsidRPr="003A0C22">
        <w:t>aux</w:t>
      </w:r>
      <w:r w:rsidRPr="003A0C22">
        <w:t xml:space="preserve"> fréquences dans les bandes </w:t>
      </w:r>
      <w:r w:rsidR="003069DC" w:rsidRPr="003A0C22">
        <w:t xml:space="preserve">de fréquences </w:t>
      </w:r>
      <w:r w:rsidRPr="003A0C22">
        <w:t>au</w:t>
      </w:r>
      <w:r w:rsidR="00CF27E7" w:rsidRPr="003A0C22">
        <w:noBreakHyphen/>
      </w:r>
      <w:r w:rsidRPr="003A0C22">
        <w:t xml:space="preserve">dessous de 2,2 GHz identifiées pour les IMT en vue du développement </w:t>
      </w:r>
      <w:r w:rsidR="00CF27E7" w:rsidRPr="003A0C22">
        <w:br/>
      </w:r>
      <w:r w:rsidRPr="003A0C22">
        <w:t xml:space="preserve">futur des systèmes </w:t>
      </w:r>
      <w:r w:rsidR="005E0868" w:rsidRPr="003A0C22">
        <w:t>à</w:t>
      </w:r>
      <w:r w:rsidRPr="003A0C22">
        <w:t xml:space="preserve"> satellite</w:t>
      </w:r>
      <w:r w:rsidR="005E0868" w:rsidRPr="003A0C22">
        <w:t>s</w:t>
      </w:r>
      <w:r w:rsidR="008C0C45" w:rsidRPr="003A0C22">
        <w:t xml:space="preserve"> mobiles</w:t>
      </w:r>
    </w:p>
    <w:p w14:paraId="6B1DF393" w14:textId="19E14097" w:rsidR="006B694C" w:rsidRPr="003A0C22" w:rsidRDefault="00954506" w:rsidP="00CF27E7">
      <w:pPr>
        <w:pStyle w:val="Normalaftertitle"/>
      </w:pPr>
      <w:r w:rsidRPr="003A0C22">
        <w:t>La Conférence mondiale des radiocommunications (Dubaï,</w:t>
      </w:r>
      <w:r w:rsidR="008011B7" w:rsidRPr="003A0C22">
        <w:t xml:space="preserve"> </w:t>
      </w:r>
      <w:r w:rsidRPr="003A0C22">
        <w:t>2023),</w:t>
      </w:r>
    </w:p>
    <w:p w14:paraId="1BC08574" w14:textId="203462C9" w:rsidR="00954506" w:rsidRPr="003A0C22" w:rsidRDefault="00C7567A" w:rsidP="00CF27E7">
      <w:pPr>
        <w:pStyle w:val="Call"/>
      </w:pPr>
      <w:r w:rsidRPr="003A0C22">
        <w:t>considérant</w:t>
      </w:r>
    </w:p>
    <w:p w14:paraId="677F56C4" w14:textId="3B5F3BE5" w:rsidR="00954506" w:rsidRPr="003A0C22" w:rsidRDefault="00954506" w:rsidP="00CF27E7">
      <w:r w:rsidRPr="003A0C22">
        <w:rPr>
          <w:i/>
          <w:iCs/>
        </w:rPr>
        <w:t>a)</w:t>
      </w:r>
      <w:r w:rsidRPr="003A0C22">
        <w:tab/>
      </w:r>
      <w:r w:rsidR="00594480" w:rsidRPr="003A0C22">
        <w:t>qu'il peut être nécessaire d'attribuer des bandes de fréquences additionnelles au service mobile par satellite (SMS) au-dessous de 2,2 GHz, afin de compléter la composante de Terre des</w:t>
      </w:r>
      <w:r w:rsidR="0001535D" w:rsidRPr="003A0C22">
        <w:t> </w:t>
      </w:r>
      <w:r w:rsidR="00594480" w:rsidRPr="003A0C22">
        <w:t>IMT pour les utilisateurs mobiles à l'échelle mondiale</w:t>
      </w:r>
      <w:r w:rsidR="00212213" w:rsidRPr="003A0C22">
        <w:t>;</w:t>
      </w:r>
    </w:p>
    <w:p w14:paraId="644577BF" w14:textId="035AB7D0" w:rsidR="00954506" w:rsidRPr="003A0C22" w:rsidRDefault="00954506" w:rsidP="00CF27E7">
      <w:r w:rsidRPr="003A0C22">
        <w:rPr>
          <w:i/>
          <w:iCs/>
        </w:rPr>
        <w:t>b)</w:t>
      </w:r>
      <w:r w:rsidR="00212213" w:rsidRPr="003A0C22">
        <w:tab/>
      </w:r>
      <w:r w:rsidR="005E0868" w:rsidRPr="003A0C22">
        <w:t xml:space="preserve">que certains opérateurs de réseaux à satellite collaborent avec des opérateurs de réseaux IMT de Terre dans le monde entier en vue de développer un réseau </w:t>
      </w:r>
      <w:r w:rsidR="007E592A" w:rsidRPr="003A0C22">
        <w:t>permettant</w:t>
      </w:r>
      <w:r w:rsidR="005E0868" w:rsidRPr="003A0C22">
        <w:t xml:space="preserve"> d'</w:t>
      </w:r>
      <w:r w:rsidR="007E592A" w:rsidRPr="003A0C22">
        <w:t>établir</w:t>
      </w:r>
      <w:r w:rsidR="005E0868" w:rsidRPr="003A0C22">
        <w:t xml:space="preserve"> des communications directes entre les systèmes à satellites </w:t>
      </w:r>
      <w:r w:rsidR="008C0C45" w:rsidRPr="003A0C22">
        <w:t xml:space="preserve">mobiles </w:t>
      </w:r>
      <w:r w:rsidR="005E0868" w:rsidRPr="003A0C22">
        <w:t>et les équipements d'utilisateur IMT existants en utilisant les bandes de fréquences identifiées pour les IMT dans le Règlement des radiocommunications (RR)</w:t>
      </w:r>
      <w:r w:rsidR="00212213" w:rsidRPr="003A0C22">
        <w:t>;</w:t>
      </w:r>
    </w:p>
    <w:p w14:paraId="14DFF7B0" w14:textId="2297F5DB" w:rsidR="00954506" w:rsidRPr="003A0C22" w:rsidRDefault="00954506" w:rsidP="00CF27E7">
      <w:r w:rsidRPr="003A0C22">
        <w:rPr>
          <w:i/>
          <w:iCs/>
        </w:rPr>
        <w:t>c)</w:t>
      </w:r>
      <w:r w:rsidR="00212213" w:rsidRPr="003A0C22">
        <w:tab/>
      </w:r>
      <w:r w:rsidR="00CC602D" w:rsidRPr="003A0C22">
        <w:t xml:space="preserve">que </w:t>
      </w:r>
      <w:r w:rsidR="007E592A" w:rsidRPr="003A0C22">
        <w:t>l</w:t>
      </w:r>
      <w:r w:rsidR="00CC602D" w:rsidRPr="003A0C22">
        <w:t xml:space="preserve">es systèmes à satellites </w:t>
      </w:r>
      <w:r w:rsidR="008C0C45" w:rsidRPr="003A0C22">
        <w:t xml:space="preserve">mobiles </w:t>
      </w:r>
      <w:r w:rsidR="00CC602D" w:rsidRPr="003A0C22">
        <w:t xml:space="preserve">peuvent </w:t>
      </w:r>
      <w:r w:rsidR="007E592A" w:rsidRPr="003A0C22">
        <w:t xml:space="preserve">fournir </w:t>
      </w:r>
      <w:r w:rsidR="00CC602D" w:rsidRPr="003A0C22">
        <w:t xml:space="preserve">une couverture complémentaire pour </w:t>
      </w:r>
      <w:r w:rsidR="007E592A" w:rsidRPr="003A0C22">
        <w:t xml:space="preserve">assurer </w:t>
      </w:r>
      <w:r w:rsidR="00CC602D" w:rsidRPr="003A0C22">
        <w:t xml:space="preserve">la connectivité mobile depuis l'espace dans le cadre des systèmes IMT, dans des zones telles que la haute montagne, les îles </w:t>
      </w:r>
      <w:r w:rsidR="008C0C45" w:rsidRPr="003A0C22">
        <w:t xml:space="preserve">isolées </w:t>
      </w:r>
      <w:r w:rsidR="00CC602D" w:rsidRPr="003A0C22">
        <w:t xml:space="preserve">et les déserts, où </w:t>
      </w:r>
      <w:r w:rsidR="00274278" w:rsidRPr="003A0C22">
        <w:t>il n'existe pas suffisamment de</w:t>
      </w:r>
      <w:r w:rsidR="00CC602D" w:rsidRPr="003A0C22">
        <w:t xml:space="preserve"> sources d'énergie fiables et d'autres infrastructures pour déployer des stations de base de Terre</w:t>
      </w:r>
      <w:r w:rsidR="00212213" w:rsidRPr="003A0C22">
        <w:t>;</w:t>
      </w:r>
    </w:p>
    <w:p w14:paraId="4872CA32" w14:textId="3ABFA55B" w:rsidR="00954506" w:rsidRPr="003A0C22" w:rsidRDefault="00954506" w:rsidP="00CF27E7">
      <w:r w:rsidRPr="003A0C22">
        <w:rPr>
          <w:i/>
          <w:iCs/>
        </w:rPr>
        <w:t>d)</w:t>
      </w:r>
      <w:r w:rsidR="00212213" w:rsidRPr="003A0C22">
        <w:tab/>
      </w:r>
      <w:r w:rsidR="00CC602D" w:rsidRPr="003A0C22">
        <w:t xml:space="preserve">que les systèmes à satellites </w:t>
      </w:r>
      <w:r w:rsidR="008C0C45" w:rsidRPr="003A0C22">
        <w:t xml:space="preserve">mobiles </w:t>
      </w:r>
      <w:r w:rsidR="00CC602D" w:rsidRPr="003A0C22">
        <w:t xml:space="preserve">peuvent </w:t>
      </w:r>
      <w:r w:rsidR="00274278" w:rsidRPr="003A0C22">
        <w:t xml:space="preserve">constituer </w:t>
      </w:r>
      <w:r w:rsidR="00CC602D" w:rsidRPr="003A0C22">
        <w:t xml:space="preserve">une autre solution </w:t>
      </w:r>
      <w:r w:rsidR="00274278" w:rsidRPr="003A0C22">
        <w:t>pour la</w:t>
      </w:r>
      <w:r w:rsidR="00CC602D" w:rsidRPr="003A0C22">
        <w:t xml:space="preserve"> résilience </w:t>
      </w:r>
      <w:r w:rsidR="00274278" w:rsidRPr="003A0C22">
        <w:t xml:space="preserve">des </w:t>
      </w:r>
      <w:r w:rsidR="00CC602D" w:rsidRPr="003A0C22">
        <w:t xml:space="preserve">réseaux en cas de défaillance des stations de base IMT de Terre due à des incidents inattendus, tels que </w:t>
      </w:r>
      <w:r w:rsidR="00BF29B5" w:rsidRPr="003A0C22">
        <w:t>l</w:t>
      </w:r>
      <w:r w:rsidR="00CC602D" w:rsidRPr="003A0C22">
        <w:t>es catastrophes naturelles et</w:t>
      </w:r>
      <w:r w:rsidR="00BF29B5" w:rsidRPr="003A0C22">
        <w:t xml:space="preserve"> l</w:t>
      </w:r>
      <w:r w:rsidR="00CC602D" w:rsidRPr="003A0C22">
        <w:t>es pannes de réseau</w:t>
      </w:r>
      <w:r w:rsidR="00212213" w:rsidRPr="003A0C22">
        <w:t>;</w:t>
      </w:r>
    </w:p>
    <w:p w14:paraId="6C29655C" w14:textId="4E9F7C21" w:rsidR="00954506" w:rsidRPr="003A0C22" w:rsidRDefault="00954506" w:rsidP="00CF27E7">
      <w:r w:rsidRPr="003A0C22">
        <w:rPr>
          <w:i/>
          <w:iCs/>
        </w:rPr>
        <w:t>e)</w:t>
      </w:r>
      <w:r w:rsidR="00212213" w:rsidRPr="003A0C22">
        <w:tab/>
      </w:r>
      <w:r w:rsidR="00212213" w:rsidRPr="003A0C22">
        <w:rPr>
          <w:rFonts w:eastAsia="MS Mincho"/>
        </w:rPr>
        <w:t>que les systèmes IMT ont considérablement évolué, tant sur le plan de l'identification de bandes de fréquences que du point de vue du déploiement des réseaux et des technologies d'accès radioélectriques, par suite de la normalisation des IMT évoluées et des IMT-2020;</w:t>
      </w:r>
    </w:p>
    <w:p w14:paraId="26F7AE31" w14:textId="2D33190F" w:rsidR="00954506" w:rsidRPr="003A0C22" w:rsidRDefault="00954506" w:rsidP="00CF27E7">
      <w:r w:rsidRPr="003A0C22">
        <w:rPr>
          <w:i/>
          <w:iCs/>
        </w:rPr>
        <w:t>f)</w:t>
      </w:r>
      <w:r w:rsidR="00212213" w:rsidRPr="003A0C22">
        <w:tab/>
      </w:r>
      <w:r w:rsidR="00212213" w:rsidRPr="003A0C22">
        <w:rPr>
          <w:rFonts w:eastAsia="MS Mincho"/>
        </w:rPr>
        <w:t>que les études sur les nouvelles topologies des réseaux IMT permettront peut</w:t>
      </w:r>
      <w:r w:rsidR="00586596" w:rsidRPr="003A0C22">
        <w:rPr>
          <w:rFonts w:eastAsia="MS Mincho"/>
        </w:rPr>
        <w:noBreakHyphen/>
      </w:r>
      <w:r w:rsidR="00212213" w:rsidRPr="003A0C22">
        <w:rPr>
          <w:rFonts w:eastAsia="MS Mincho"/>
        </w:rPr>
        <w:t>être d'accroître l'efficacité d'utilisation du spectre pour les bandes de fréquences déjà identifiées pour les</w:t>
      </w:r>
      <w:r w:rsidR="0001535D" w:rsidRPr="003A0C22">
        <w:rPr>
          <w:rFonts w:eastAsia="MS Mincho"/>
        </w:rPr>
        <w:t> </w:t>
      </w:r>
      <w:r w:rsidR="00212213" w:rsidRPr="003A0C22">
        <w:rPr>
          <w:rFonts w:eastAsia="MS Mincho"/>
        </w:rPr>
        <w:t>IMT;</w:t>
      </w:r>
    </w:p>
    <w:p w14:paraId="72711199" w14:textId="653762E2" w:rsidR="00954506" w:rsidRPr="003A0C22" w:rsidRDefault="00954506" w:rsidP="00CF27E7">
      <w:r w:rsidRPr="003A0C22">
        <w:rPr>
          <w:i/>
          <w:iCs/>
        </w:rPr>
        <w:t>g)</w:t>
      </w:r>
      <w:r w:rsidR="00212213" w:rsidRPr="003A0C22">
        <w:tab/>
      </w:r>
      <w:r w:rsidR="006B1519" w:rsidRPr="003A0C22">
        <w:t xml:space="preserve">que le réseau </w:t>
      </w:r>
      <w:r w:rsidR="00F16609" w:rsidRPr="003A0C22">
        <w:t>autre que de Terre</w:t>
      </w:r>
      <w:r w:rsidR="006B1519" w:rsidRPr="003A0C22">
        <w:t xml:space="preserve"> devrait </w:t>
      </w:r>
      <w:r w:rsidR="00BF29B5" w:rsidRPr="003A0C22">
        <w:t>constituer</w:t>
      </w:r>
      <w:r w:rsidR="006B1519" w:rsidRPr="003A0C22">
        <w:t xml:space="preserve"> l'un des leviers technologiques </w:t>
      </w:r>
      <w:r w:rsidR="00BF29B5" w:rsidRPr="003A0C22">
        <w:t>permettant d'améliorer</w:t>
      </w:r>
      <w:r w:rsidR="006B1519" w:rsidRPr="003A0C22">
        <w:t xml:space="preserve"> le réseau de Terre IMT-2030</w:t>
      </w:r>
      <w:r w:rsidR="00212213" w:rsidRPr="003A0C22">
        <w:t>;</w:t>
      </w:r>
    </w:p>
    <w:p w14:paraId="050436E7" w14:textId="18D9553D" w:rsidR="00954506" w:rsidRPr="003A0C22" w:rsidRDefault="00954506" w:rsidP="00CF27E7">
      <w:r w:rsidRPr="003A0C22">
        <w:rPr>
          <w:i/>
          <w:iCs/>
        </w:rPr>
        <w:t>h)</w:t>
      </w:r>
      <w:r w:rsidR="00212213" w:rsidRPr="003A0C22">
        <w:tab/>
      </w:r>
      <w:r w:rsidR="006B1519" w:rsidRPr="003A0C22">
        <w:t xml:space="preserve">que les systèmes à satellites </w:t>
      </w:r>
      <w:r w:rsidR="00F16609" w:rsidRPr="003A0C22">
        <w:t xml:space="preserve">mobiles </w:t>
      </w:r>
      <w:r w:rsidR="006B1519" w:rsidRPr="003A0C22">
        <w:t>peuvent permettre aux communautés mal desservies et aux habitants des zones rurales et isolées de bénéficier d'une connectivité mobile</w:t>
      </w:r>
      <w:r w:rsidR="00212213" w:rsidRPr="003A0C22">
        <w:t>;</w:t>
      </w:r>
    </w:p>
    <w:p w14:paraId="3F1FD8B9" w14:textId="262CE521" w:rsidR="00954506" w:rsidRPr="003A0C22" w:rsidRDefault="00954506" w:rsidP="00CF27E7">
      <w:r w:rsidRPr="003A0C22">
        <w:rPr>
          <w:i/>
          <w:iCs/>
        </w:rPr>
        <w:t>i)</w:t>
      </w:r>
      <w:r w:rsidR="00212213" w:rsidRPr="003A0C22">
        <w:tab/>
        <w:t>que l'UIT-R a mené des études sur les systèmes intégrés du SMS et de la composante au sol et que certaines administrations ont mis en œuvre cette utilisation;</w:t>
      </w:r>
    </w:p>
    <w:p w14:paraId="4C952579" w14:textId="0130E63C" w:rsidR="00954506" w:rsidRPr="003A0C22" w:rsidRDefault="00954506" w:rsidP="00CF27E7">
      <w:r w:rsidRPr="003A0C22">
        <w:rPr>
          <w:i/>
          <w:iCs/>
        </w:rPr>
        <w:t>j)</w:t>
      </w:r>
      <w:r w:rsidR="00212213" w:rsidRPr="003A0C22">
        <w:tab/>
        <w:t>que</w:t>
      </w:r>
      <w:r w:rsidR="00F16609" w:rsidRPr="003A0C22">
        <w:t>,</w:t>
      </w:r>
      <w:r w:rsidR="00212213" w:rsidRPr="003A0C22">
        <w:t xml:space="preserve"> grâce à l'évolution des technologies, le</w:t>
      </w:r>
      <w:r w:rsidR="006B1519" w:rsidRPr="003A0C22">
        <w:t>s systèmes à satellites</w:t>
      </w:r>
      <w:r w:rsidR="00212213" w:rsidRPr="003A0C22">
        <w:t xml:space="preserve"> </w:t>
      </w:r>
      <w:r w:rsidR="00F16609" w:rsidRPr="003A0C22">
        <w:t xml:space="preserve">mobiles </w:t>
      </w:r>
      <w:r w:rsidR="00212213" w:rsidRPr="003A0C22">
        <w:t>peu</w:t>
      </w:r>
      <w:r w:rsidR="006B1519" w:rsidRPr="003A0C22">
        <w:t>vent</w:t>
      </w:r>
      <w:r w:rsidR="00212213" w:rsidRPr="003A0C22">
        <w:t xml:space="preserve"> être compatible</w:t>
      </w:r>
      <w:r w:rsidR="006B1519" w:rsidRPr="003A0C22">
        <w:t>s</w:t>
      </w:r>
      <w:r w:rsidR="00212213" w:rsidRPr="003A0C22">
        <w:t xml:space="preserve"> et utilisé</w:t>
      </w:r>
      <w:r w:rsidR="006B1519" w:rsidRPr="003A0C22">
        <w:t>s</w:t>
      </w:r>
      <w:r w:rsidR="00212213" w:rsidRPr="003A0C22">
        <w:t xml:space="preserve"> en partage avec les services existants selon une méthode et </w:t>
      </w:r>
      <w:r w:rsidR="00F16609" w:rsidRPr="003A0C22">
        <w:t xml:space="preserve">des </w:t>
      </w:r>
      <w:r w:rsidR="00212213" w:rsidRPr="003A0C22">
        <w:t xml:space="preserve">conditions </w:t>
      </w:r>
      <w:r w:rsidR="00F16609" w:rsidRPr="003A0C22">
        <w:t xml:space="preserve">techniques précises </w:t>
      </w:r>
      <w:r w:rsidR="00212213" w:rsidRPr="003A0C22">
        <w:t xml:space="preserve">au-dessous de </w:t>
      </w:r>
      <w:r w:rsidR="002C5B58" w:rsidRPr="003A0C22">
        <w:t>2,2</w:t>
      </w:r>
      <w:r w:rsidR="00212213" w:rsidRPr="003A0C22">
        <w:t xml:space="preserve"> GHz;</w:t>
      </w:r>
    </w:p>
    <w:p w14:paraId="080EBED5" w14:textId="06184806" w:rsidR="00954506" w:rsidRPr="003A0C22" w:rsidRDefault="00212213" w:rsidP="00CF27E7">
      <w:r w:rsidRPr="003A0C22">
        <w:rPr>
          <w:i/>
          <w:iCs/>
        </w:rPr>
        <w:t>k)</w:t>
      </w:r>
      <w:r w:rsidRPr="003A0C22">
        <w:tab/>
      </w:r>
      <w:r w:rsidR="002C5B58" w:rsidRPr="003A0C22">
        <w:t xml:space="preserve">que, </w:t>
      </w:r>
      <w:r w:rsidR="006B1519" w:rsidRPr="003A0C22">
        <w:t xml:space="preserve">dans le cadre </w:t>
      </w:r>
      <w:r w:rsidR="002C5B58" w:rsidRPr="003A0C22">
        <w:t>de l'étude de la bande de fréquences au-dessous de 2,2 GHz en vue d'une nouvelle attribution au SMS, il est nécessaire de déterminer les conditions de coexistence et les dispositions réglementaires applicables entre les services utilisant cette bande de fréquences en partage,</w:t>
      </w:r>
    </w:p>
    <w:p w14:paraId="1FAA6868" w14:textId="42374737" w:rsidR="002C5B58" w:rsidRPr="003A0C22" w:rsidRDefault="002C5B58" w:rsidP="00CF27E7">
      <w:pPr>
        <w:pStyle w:val="Call"/>
      </w:pPr>
      <w:r w:rsidRPr="003A0C22">
        <w:lastRenderedPageBreak/>
        <w:t>reconnaissant</w:t>
      </w:r>
    </w:p>
    <w:p w14:paraId="57793653" w14:textId="38A42D82" w:rsidR="002C5B58" w:rsidRPr="003A0C22" w:rsidRDefault="002C5B58" w:rsidP="00CF27E7">
      <w:r w:rsidRPr="003A0C22">
        <w:rPr>
          <w:i/>
          <w:iCs/>
        </w:rPr>
        <w:t>a)</w:t>
      </w:r>
      <w:r w:rsidRPr="003A0C22">
        <w:tab/>
      </w:r>
      <w:r w:rsidR="006B1519" w:rsidRPr="003A0C22">
        <w:t>que la bande de fréquences 698-960 MHz est identifiée pour les IMT conformément aux numéros</w:t>
      </w:r>
      <w:r w:rsidR="00CF27E7" w:rsidRPr="003A0C22">
        <w:t> </w:t>
      </w:r>
      <w:r w:rsidR="006B1519" w:rsidRPr="003A0C22">
        <w:rPr>
          <w:b/>
          <w:bCs/>
        </w:rPr>
        <w:t>5.313A</w:t>
      </w:r>
      <w:r w:rsidR="006B1519" w:rsidRPr="003A0C22">
        <w:t xml:space="preserve"> et </w:t>
      </w:r>
      <w:r w:rsidR="006B1519" w:rsidRPr="003A0C22">
        <w:rPr>
          <w:b/>
          <w:bCs/>
        </w:rPr>
        <w:t>5.317A</w:t>
      </w:r>
      <w:r w:rsidRPr="003A0C22">
        <w:t>;</w:t>
      </w:r>
    </w:p>
    <w:p w14:paraId="0B7A0CB5" w14:textId="6649F0ED" w:rsidR="002C5B58" w:rsidRPr="003A0C22" w:rsidRDefault="002C5B58" w:rsidP="00CF27E7">
      <w:r w:rsidRPr="003A0C22">
        <w:rPr>
          <w:i/>
          <w:iCs/>
        </w:rPr>
        <w:t>b)</w:t>
      </w:r>
      <w:r w:rsidRPr="003A0C22">
        <w:tab/>
      </w:r>
      <w:r w:rsidR="00D92A57" w:rsidRPr="003A0C22">
        <w:t xml:space="preserve">que les bandes de fréquences </w:t>
      </w:r>
      <w:r w:rsidR="006B1519" w:rsidRPr="003A0C22">
        <w:t xml:space="preserve">1 427-1 452 MHz, 1 452-1 492 MHz </w:t>
      </w:r>
      <w:r w:rsidR="00D92A57" w:rsidRPr="003A0C22">
        <w:t xml:space="preserve">et </w:t>
      </w:r>
      <w:r w:rsidR="006B1519" w:rsidRPr="003A0C22">
        <w:t>1</w:t>
      </w:r>
      <w:r w:rsidR="00CF27E7" w:rsidRPr="003A0C22">
        <w:t> </w:t>
      </w:r>
      <w:r w:rsidR="006B1519" w:rsidRPr="003A0C22">
        <w:t>492</w:t>
      </w:r>
      <w:r w:rsidR="00CF27E7" w:rsidRPr="003A0C22">
        <w:noBreakHyphen/>
      </w:r>
      <w:r w:rsidR="006B1519" w:rsidRPr="003A0C22">
        <w:t>1</w:t>
      </w:r>
      <w:r w:rsidR="00CF27E7" w:rsidRPr="003A0C22">
        <w:t> </w:t>
      </w:r>
      <w:r w:rsidR="006B1519" w:rsidRPr="003A0C22">
        <w:t>518</w:t>
      </w:r>
      <w:r w:rsidR="00CF27E7" w:rsidRPr="003A0C22">
        <w:t> </w:t>
      </w:r>
      <w:r w:rsidR="006B1519" w:rsidRPr="003A0C22">
        <w:t xml:space="preserve">MHz </w:t>
      </w:r>
      <w:r w:rsidR="00D92A57" w:rsidRPr="003A0C22">
        <w:t xml:space="preserve">sont identifiés pour les IMT conformément aux numéros </w:t>
      </w:r>
      <w:r w:rsidR="00D92A57" w:rsidRPr="003A0C22">
        <w:rPr>
          <w:b/>
          <w:bCs/>
        </w:rPr>
        <w:t>5.341A</w:t>
      </w:r>
      <w:r w:rsidR="00D92A57" w:rsidRPr="003A0C22">
        <w:t xml:space="preserve">, </w:t>
      </w:r>
      <w:r w:rsidR="00D92A57" w:rsidRPr="003A0C22">
        <w:rPr>
          <w:b/>
          <w:bCs/>
        </w:rPr>
        <w:t>5.341B</w:t>
      </w:r>
      <w:r w:rsidR="00D92A57" w:rsidRPr="003A0C22">
        <w:t xml:space="preserve">, </w:t>
      </w:r>
      <w:r w:rsidR="00D92A57" w:rsidRPr="003A0C22">
        <w:rPr>
          <w:b/>
          <w:bCs/>
        </w:rPr>
        <w:t>5.341C</w:t>
      </w:r>
      <w:r w:rsidR="00D92A57" w:rsidRPr="003A0C22">
        <w:t xml:space="preserve">, </w:t>
      </w:r>
      <w:r w:rsidR="00D92A57" w:rsidRPr="003A0C22">
        <w:rPr>
          <w:b/>
          <w:bCs/>
        </w:rPr>
        <w:t>5.346</w:t>
      </w:r>
      <w:r w:rsidR="00D92A57" w:rsidRPr="003A0C22">
        <w:t xml:space="preserve"> et </w:t>
      </w:r>
      <w:r w:rsidR="00D92A57" w:rsidRPr="003A0C22">
        <w:rPr>
          <w:b/>
          <w:bCs/>
        </w:rPr>
        <w:t>5.346A</w:t>
      </w:r>
      <w:r w:rsidRPr="003A0C22">
        <w:t>;</w:t>
      </w:r>
    </w:p>
    <w:p w14:paraId="783B59C7" w14:textId="0EC685B7" w:rsidR="002C5B58" w:rsidRPr="003A0C22" w:rsidRDefault="002C5B58" w:rsidP="00CF27E7">
      <w:r w:rsidRPr="003A0C22">
        <w:rPr>
          <w:i/>
          <w:iCs/>
        </w:rPr>
        <w:t>c)</w:t>
      </w:r>
      <w:r w:rsidRPr="003A0C22">
        <w:tab/>
      </w:r>
      <w:r w:rsidR="00D92A57" w:rsidRPr="003A0C22">
        <w:t>que les bandes de fréquences 1 710-1 885 MHz, 1 885-2 025 MHz et 2</w:t>
      </w:r>
      <w:r w:rsidR="00CF27E7" w:rsidRPr="003A0C22">
        <w:t> </w:t>
      </w:r>
      <w:r w:rsidR="00D92A57" w:rsidRPr="003A0C22">
        <w:t>110</w:t>
      </w:r>
      <w:r w:rsidR="00CF27E7" w:rsidRPr="003A0C22">
        <w:noBreakHyphen/>
      </w:r>
      <w:r w:rsidR="00D92A57" w:rsidRPr="003A0C22">
        <w:t>2</w:t>
      </w:r>
      <w:r w:rsidR="00CF27E7" w:rsidRPr="003A0C22">
        <w:t> </w:t>
      </w:r>
      <w:r w:rsidR="00D92A57" w:rsidRPr="003A0C22">
        <w:t>200</w:t>
      </w:r>
      <w:r w:rsidR="00CF27E7" w:rsidRPr="003A0C22">
        <w:t> </w:t>
      </w:r>
      <w:r w:rsidR="00D92A57" w:rsidRPr="003A0C22">
        <w:t xml:space="preserve">MHz sont identifiées pour les IMT conformément aux numéros </w:t>
      </w:r>
      <w:r w:rsidR="00D92A57" w:rsidRPr="003A0C22">
        <w:rPr>
          <w:b/>
          <w:bCs/>
        </w:rPr>
        <w:t>5.384A</w:t>
      </w:r>
      <w:r w:rsidR="00D92A57" w:rsidRPr="003A0C22">
        <w:t xml:space="preserve"> et </w:t>
      </w:r>
      <w:r w:rsidR="00D92A57" w:rsidRPr="003A0C22">
        <w:rPr>
          <w:b/>
          <w:bCs/>
        </w:rPr>
        <w:t>5.388</w:t>
      </w:r>
      <w:r w:rsidRPr="003A0C22">
        <w:t>;</w:t>
      </w:r>
    </w:p>
    <w:p w14:paraId="5B3C8FEC" w14:textId="21588FCF" w:rsidR="002C5B58" w:rsidRPr="003A0C22" w:rsidRDefault="002C5B58" w:rsidP="00CF27E7">
      <w:r w:rsidRPr="003A0C22">
        <w:rPr>
          <w:i/>
          <w:iCs/>
        </w:rPr>
        <w:t>d)</w:t>
      </w:r>
      <w:r w:rsidRPr="003A0C22">
        <w:tab/>
      </w:r>
      <w:r w:rsidR="00D92A57" w:rsidRPr="003A0C22">
        <w:t>que les bandes de fréquences 1 980-2 010 MHz et 2 170-2 200 MHz sont attribuées au</w:t>
      </w:r>
      <w:r w:rsidR="0001535D" w:rsidRPr="003A0C22">
        <w:t> </w:t>
      </w:r>
      <w:r w:rsidR="00D92A57" w:rsidRPr="003A0C22">
        <w:t>SMS à titre primaire</w:t>
      </w:r>
      <w:r w:rsidRPr="003A0C22">
        <w:t>,</w:t>
      </w:r>
    </w:p>
    <w:p w14:paraId="538122A6" w14:textId="7338E932" w:rsidR="002C5B58" w:rsidRPr="003A0C22" w:rsidRDefault="002C5B58" w:rsidP="00CF27E7">
      <w:pPr>
        <w:pStyle w:val="Call"/>
      </w:pPr>
      <w:r w:rsidRPr="003A0C22">
        <w:t>décide d'inviter le Secteur des radiocommunications de l'UIT</w:t>
      </w:r>
    </w:p>
    <w:p w14:paraId="489A64E0" w14:textId="53C72928" w:rsidR="002C5B58" w:rsidRPr="003A0C22" w:rsidRDefault="00FF143D" w:rsidP="00CF27E7">
      <w:r w:rsidRPr="003A0C22">
        <w:t xml:space="preserve">à mener les études techniques, opérationnelles et réglementaires appropriées en matière de partage et de compatibilité, </w:t>
      </w:r>
      <w:r w:rsidR="00F16609" w:rsidRPr="003A0C22">
        <w:t xml:space="preserve">à </w:t>
      </w:r>
      <w:r w:rsidRPr="003A0C22">
        <w:t>temps pour qu'elles soient examinées par la CMR-27, en ce qui concerne le</w:t>
      </w:r>
      <w:r w:rsidR="00BF29B5" w:rsidRPr="003A0C22">
        <w:t>s attributions au</w:t>
      </w:r>
      <w:r w:rsidRPr="003A0C22">
        <w:t xml:space="preserve"> SMS </w:t>
      </w:r>
      <w:r w:rsidR="00BF29B5" w:rsidRPr="003A0C22">
        <w:t>destinées à être utilisées uniquement pour les</w:t>
      </w:r>
      <w:r w:rsidRPr="003A0C22">
        <w:t xml:space="preserve"> communications directes entre </w:t>
      </w:r>
      <w:r w:rsidR="00F16609" w:rsidRPr="003A0C22">
        <w:t>d</w:t>
      </w:r>
      <w:r w:rsidRPr="003A0C22">
        <w:t xml:space="preserve">es satellites non OSG et </w:t>
      </w:r>
      <w:r w:rsidR="00F16609" w:rsidRPr="003A0C22">
        <w:t>d</w:t>
      </w:r>
      <w:r w:rsidRPr="003A0C22">
        <w:t xml:space="preserve">es équipements d'utilisateur IMT dans les systèmes IMT de Terre, en vue d'assurer la protection des services auxquels les bandes de fréquences sont attribuées à titre primaire, dans les bandes de fréquences </w:t>
      </w:r>
      <w:r w:rsidR="003069DC" w:rsidRPr="003A0C22">
        <w:t>ci-après</w:t>
      </w:r>
      <w:r w:rsidRPr="003A0C22">
        <w:t xml:space="preserve"> identifiées </w:t>
      </w:r>
      <w:r w:rsidR="00F16609" w:rsidRPr="003A0C22">
        <w:t xml:space="preserve">pour </w:t>
      </w:r>
      <w:r w:rsidRPr="003A0C22">
        <w:t>la composante de Terre des IMT, à condition que le</w:t>
      </w:r>
      <w:r w:rsidR="00BF29B5" w:rsidRPr="003A0C22">
        <w:t>s systèmes du</w:t>
      </w:r>
      <w:r w:rsidRPr="003A0C22">
        <w:t xml:space="preserve"> SMS </w:t>
      </w:r>
      <w:r w:rsidR="00BF29B5" w:rsidRPr="003A0C22">
        <w:t xml:space="preserve">bénéficiant des </w:t>
      </w:r>
      <w:r w:rsidRPr="003A0C22">
        <w:t>nouvell</w:t>
      </w:r>
      <w:r w:rsidR="00BF29B5" w:rsidRPr="003A0C22">
        <w:t>es attributions</w:t>
      </w:r>
      <w:r w:rsidRPr="003A0C22">
        <w:t xml:space="preserve"> ne cause</w:t>
      </w:r>
      <w:r w:rsidR="003069DC" w:rsidRPr="003A0C22">
        <w:t>nt</w:t>
      </w:r>
      <w:r w:rsidRPr="003A0C22">
        <w:t xml:space="preserve"> pas de brouillages préjudiciables aux stations d</w:t>
      </w:r>
      <w:r w:rsidR="00F16609" w:rsidRPr="003A0C22">
        <w:t xml:space="preserve">es </w:t>
      </w:r>
      <w:r w:rsidRPr="003A0C22">
        <w:t>autres services bénéficiant d'attributions à titre primaire, y</w:t>
      </w:r>
      <w:r w:rsidR="00CF27E7" w:rsidRPr="003A0C22">
        <w:t> </w:t>
      </w:r>
      <w:r w:rsidRPr="003A0C22">
        <w:t>compris les systèmes IMT de Terre dans les pays voisins, et qu'il ne demande</w:t>
      </w:r>
      <w:r w:rsidR="003069DC" w:rsidRPr="003A0C22">
        <w:t>nt</w:t>
      </w:r>
      <w:r w:rsidRPr="003A0C22">
        <w:t xml:space="preserve"> pas à être protégé</w:t>
      </w:r>
      <w:r w:rsidR="003069DC" w:rsidRPr="003A0C22">
        <w:t>s</w:t>
      </w:r>
      <w:r w:rsidRPr="003A0C22">
        <w:t xml:space="preserve"> vis-à-vis de ces stations</w:t>
      </w:r>
      <w:r w:rsidR="00C7567A" w:rsidRPr="003A0C22">
        <w:t>:</w:t>
      </w:r>
    </w:p>
    <w:p w14:paraId="78C953A3" w14:textId="6E71F4EA" w:rsidR="002C5B58" w:rsidRPr="003A0C22" w:rsidRDefault="0040688C" w:rsidP="00CF27E7">
      <w:pPr>
        <w:pStyle w:val="enumlev1"/>
      </w:pPr>
      <w:r w:rsidRPr="003A0C22">
        <w:t>•</w:t>
      </w:r>
      <w:r w:rsidRPr="003A0C22">
        <w:tab/>
      </w:r>
      <w:r w:rsidR="002C5B58" w:rsidRPr="003A0C22">
        <w:t>698-960 MHz</w:t>
      </w:r>
      <w:r w:rsidR="00974CE8" w:rsidRPr="003A0C22">
        <w:t>;</w:t>
      </w:r>
    </w:p>
    <w:p w14:paraId="6F82596D" w14:textId="337A7100" w:rsidR="002C5B58" w:rsidRPr="003A0C22" w:rsidRDefault="0040688C" w:rsidP="00CF27E7">
      <w:pPr>
        <w:pStyle w:val="enumlev1"/>
      </w:pPr>
      <w:r w:rsidRPr="003A0C22">
        <w:t>•</w:t>
      </w:r>
      <w:r w:rsidRPr="003A0C22">
        <w:tab/>
      </w:r>
      <w:r w:rsidR="002C5B58" w:rsidRPr="003A0C22">
        <w:t>1</w:t>
      </w:r>
      <w:r w:rsidR="00CF27E7" w:rsidRPr="003A0C22">
        <w:t xml:space="preserve"> </w:t>
      </w:r>
      <w:r w:rsidR="002C5B58" w:rsidRPr="003A0C22">
        <w:t>427-1</w:t>
      </w:r>
      <w:r w:rsidR="00CF27E7" w:rsidRPr="003A0C22">
        <w:t xml:space="preserve"> </w:t>
      </w:r>
      <w:r w:rsidR="002C5B58" w:rsidRPr="003A0C22">
        <w:t>518 MHz</w:t>
      </w:r>
      <w:r w:rsidR="00974CE8" w:rsidRPr="003A0C22">
        <w:t>;</w:t>
      </w:r>
    </w:p>
    <w:p w14:paraId="69D173E5" w14:textId="04CEE705" w:rsidR="002C5B58" w:rsidRPr="003A0C22" w:rsidRDefault="0040688C" w:rsidP="00CF27E7">
      <w:pPr>
        <w:pStyle w:val="enumlev1"/>
      </w:pPr>
      <w:r w:rsidRPr="003A0C22">
        <w:t>•</w:t>
      </w:r>
      <w:r w:rsidRPr="003A0C22">
        <w:tab/>
      </w:r>
      <w:r w:rsidR="002C5B58" w:rsidRPr="003A0C22">
        <w:t>1</w:t>
      </w:r>
      <w:r w:rsidR="00CF27E7" w:rsidRPr="003A0C22">
        <w:t xml:space="preserve"> </w:t>
      </w:r>
      <w:r w:rsidR="002C5B58" w:rsidRPr="003A0C22">
        <w:t>710-1</w:t>
      </w:r>
      <w:r w:rsidR="00CF27E7" w:rsidRPr="003A0C22">
        <w:t xml:space="preserve"> </w:t>
      </w:r>
      <w:r w:rsidR="002C5B58" w:rsidRPr="003A0C22">
        <w:t>980 MHz</w:t>
      </w:r>
      <w:r w:rsidR="00974CE8" w:rsidRPr="003A0C22">
        <w:t>;</w:t>
      </w:r>
    </w:p>
    <w:p w14:paraId="315D1206" w14:textId="571530C3" w:rsidR="002C5B58" w:rsidRPr="003A0C22" w:rsidRDefault="0040688C" w:rsidP="00CF27E7">
      <w:pPr>
        <w:pStyle w:val="enumlev1"/>
      </w:pPr>
      <w:r w:rsidRPr="003A0C22">
        <w:t>•</w:t>
      </w:r>
      <w:r w:rsidRPr="003A0C22">
        <w:tab/>
      </w:r>
      <w:r w:rsidR="002C5B58" w:rsidRPr="003A0C22">
        <w:t>2</w:t>
      </w:r>
      <w:r w:rsidR="00CF27E7" w:rsidRPr="003A0C22">
        <w:t xml:space="preserve"> </w:t>
      </w:r>
      <w:r w:rsidR="002C5B58" w:rsidRPr="003A0C22">
        <w:t>010-2</w:t>
      </w:r>
      <w:r w:rsidR="00CF27E7" w:rsidRPr="003A0C22">
        <w:t xml:space="preserve"> </w:t>
      </w:r>
      <w:r w:rsidR="002C5B58" w:rsidRPr="003A0C22">
        <w:t>025 MHZ</w:t>
      </w:r>
      <w:r w:rsidR="00974CE8" w:rsidRPr="003A0C22">
        <w:t>;</w:t>
      </w:r>
    </w:p>
    <w:p w14:paraId="694E07FE" w14:textId="28B35555" w:rsidR="002F1543" w:rsidRPr="003A0C22" w:rsidRDefault="0040688C" w:rsidP="00CF27E7">
      <w:pPr>
        <w:pStyle w:val="enumlev1"/>
      </w:pPr>
      <w:r w:rsidRPr="003A0C22">
        <w:t>•</w:t>
      </w:r>
      <w:r w:rsidRPr="003A0C22">
        <w:tab/>
      </w:r>
      <w:r w:rsidR="002C5B58" w:rsidRPr="003A0C22">
        <w:t>2</w:t>
      </w:r>
      <w:r w:rsidR="00CF27E7" w:rsidRPr="003A0C22">
        <w:t xml:space="preserve"> </w:t>
      </w:r>
      <w:r w:rsidR="002C5B58" w:rsidRPr="003A0C22">
        <w:t>110-2</w:t>
      </w:r>
      <w:r w:rsidR="00CF27E7" w:rsidRPr="003A0C22">
        <w:t xml:space="preserve"> </w:t>
      </w:r>
      <w:r w:rsidR="002C5B58" w:rsidRPr="003A0C22">
        <w:t>170 MHz</w:t>
      </w:r>
      <w:r w:rsidR="00974CE8" w:rsidRPr="003A0C22">
        <w:t>,</w:t>
      </w:r>
    </w:p>
    <w:p w14:paraId="0DBC0523" w14:textId="2A0DEC32" w:rsidR="002F1543" w:rsidRPr="003A0C22" w:rsidRDefault="002F1543" w:rsidP="00CF27E7">
      <w:pPr>
        <w:pStyle w:val="Call"/>
      </w:pPr>
      <w:r w:rsidRPr="003A0C22">
        <w:t>invite la Conférence mondiale des radiocommunications de 2027</w:t>
      </w:r>
    </w:p>
    <w:p w14:paraId="3C6888D9" w14:textId="65B4D9D3" w:rsidR="00C7567A" w:rsidRPr="003A0C22" w:rsidRDefault="00FF143D" w:rsidP="00CF27E7">
      <w:r w:rsidRPr="003A0C22">
        <w:t xml:space="preserve">compte tenu des résultats des études susmentionnées, </w:t>
      </w:r>
      <w:r w:rsidR="00F16609" w:rsidRPr="003A0C22">
        <w:t xml:space="preserve">à </w:t>
      </w:r>
      <w:r w:rsidRPr="003A0C22">
        <w:t xml:space="preserve">examiner, </w:t>
      </w:r>
      <w:r w:rsidR="003069DC" w:rsidRPr="003A0C22">
        <w:t>au besoin</w:t>
      </w:r>
      <w:r w:rsidRPr="003A0C22">
        <w:t>, des dispositions réglementaires en vue d'une nouvelle attribution au SMS non OSG dans les bandes de fréquences au</w:t>
      </w:r>
      <w:r w:rsidR="00586596" w:rsidRPr="003A0C22">
        <w:noBreakHyphen/>
      </w:r>
      <w:r w:rsidRPr="003A0C22">
        <w:t>dessous de 2,2 GHz</w:t>
      </w:r>
      <w:r w:rsidR="00C7567A" w:rsidRPr="003A0C22">
        <w:t>,</w:t>
      </w:r>
    </w:p>
    <w:p w14:paraId="2F1BB936" w14:textId="4D7953F1" w:rsidR="002F1543" w:rsidRPr="003A0C22" w:rsidRDefault="002F1543" w:rsidP="00CF27E7">
      <w:pPr>
        <w:pStyle w:val="Call"/>
      </w:pPr>
      <w:r w:rsidRPr="003A0C22">
        <w:t>invite les administrations</w:t>
      </w:r>
    </w:p>
    <w:p w14:paraId="4D99462C" w14:textId="224247C3" w:rsidR="002F1543" w:rsidRPr="003A0C22" w:rsidRDefault="002F1543" w:rsidP="00CF27E7">
      <w:r w:rsidRPr="003A0C22">
        <w:rPr>
          <w:lang w:eastAsia="nl-NL"/>
        </w:rPr>
        <w:t>à participer activement à ces études en soumettant des contributions au Secteur des radiocommunications de l'UIT.</w:t>
      </w:r>
    </w:p>
    <w:p w14:paraId="77164D67" w14:textId="2F18B720" w:rsidR="00FF143D" w:rsidRPr="003A0C22" w:rsidRDefault="00974CE8" w:rsidP="00CF27E7">
      <w:pPr>
        <w:pStyle w:val="Reasons"/>
        <w:rPr>
          <w:lang w:eastAsia="nl-NL"/>
        </w:rPr>
      </w:pPr>
      <w:r w:rsidRPr="003A0C22">
        <w:rPr>
          <w:b/>
        </w:rPr>
        <w:t>Motifs:</w:t>
      </w:r>
      <w:r w:rsidRPr="003A0C22">
        <w:tab/>
      </w:r>
      <w:r w:rsidR="00335560" w:rsidRPr="003A0C22">
        <w:rPr>
          <w:lang w:eastAsia="nl-NL"/>
        </w:rPr>
        <w:t>Voir le tableau ci-dessous, qui a été établi sur la base du gabarit figurant dans l'Annexe</w:t>
      </w:r>
      <w:r w:rsidR="00CF27E7" w:rsidRPr="003A0C22">
        <w:rPr>
          <w:lang w:eastAsia="nl-NL"/>
        </w:rPr>
        <w:t> </w:t>
      </w:r>
      <w:r w:rsidR="00335560" w:rsidRPr="003A0C22">
        <w:rPr>
          <w:lang w:eastAsia="nl-NL"/>
        </w:rPr>
        <w:t xml:space="preserve">2 de la Résolution </w:t>
      </w:r>
      <w:r w:rsidR="00335560" w:rsidRPr="003A0C22">
        <w:rPr>
          <w:b/>
          <w:bCs/>
          <w:lang w:eastAsia="nl-NL"/>
        </w:rPr>
        <w:t>804 (Rév.CMR-19)</w:t>
      </w:r>
      <w:r w:rsidR="00335560" w:rsidRPr="003A0C22">
        <w:rPr>
          <w:lang w:eastAsia="nl-NL"/>
        </w:rPr>
        <w:t>.</w:t>
      </w:r>
    </w:p>
    <w:p w14:paraId="7558C92E" w14:textId="77777777" w:rsidR="00FF143D" w:rsidRPr="003A0C22" w:rsidRDefault="00FF143D" w:rsidP="00CF27E7">
      <w:pPr>
        <w:tabs>
          <w:tab w:val="clear" w:pos="1134"/>
          <w:tab w:val="clear" w:pos="1871"/>
          <w:tab w:val="clear" w:pos="2268"/>
        </w:tabs>
        <w:overflowPunct/>
        <w:autoSpaceDE/>
        <w:autoSpaceDN/>
        <w:adjustRightInd/>
        <w:spacing w:before="0"/>
        <w:textAlignment w:val="auto"/>
        <w:rPr>
          <w:lang w:eastAsia="nl-NL"/>
        </w:rPr>
      </w:pPr>
      <w:r w:rsidRPr="003A0C22">
        <w:rPr>
          <w:lang w:eastAsia="nl-NL"/>
        </w:rPr>
        <w:br w:type="page"/>
      </w:r>
    </w:p>
    <w:p w14:paraId="167F7767" w14:textId="77777777" w:rsidR="00335560" w:rsidRPr="003A0C22" w:rsidRDefault="00335560" w:rsidP="00CF27E7">
      <w:pPr>
        <w:pStyle w:val="Annextitle"/>
      </w:pPr>
      <w:r w:rsidRPr="003A0C22">
        <w:t>Modèle pour la présentation des propositions de points de l'ordre du jour</w:t>
      </w:r>
    </w:p>
    <w:tbl>
      <w:tblPr>
        <w:tblStyle w:val="TableGrid"/>
        <w:tblW w:w="0" w:type="auto"/>
        <w:tblLook w:val="04A0" w:firstRow="1" w:lastRow="0" w:firstColumn="1" w:lastColumn="0" w:noHBand="0" w:noVBand="1"/>
      </w:tblPr>
      <w:tblGrid>
        <w:gridCol w:w="4814"/>
        <w:gridCol w:w="4815"/>
      </w:tblGrid>
      <w:tr w:rsidR="00335560" w:rsidRPr="003A0C22" w14:paraId="6E8B11EC" w14:textId="77777777" w:rsidTr="00CF27E7">
        <w:tc>
          <w:tcPr>
            <w:tcW w:w="9629" w:type="dxa"/>
            <w:gridSpan w:val="2"/>
            <w:tcBorders>
              <w:top w:val="nil"/>
              <w:left w:val="nil"/>
              <w:bottom w:val="nil"/>
              <w:right w:val="nil"/>
            </w:tcBorders>
          </w:tcPr>
          <w:p w14:paraId="33C6D94C" w14:textId="5BE01136" w:rsidR="00335560" w:rsidRPr="003A0C22" w:rsidRDefault="00335560" w:rsidP="00CF27E7">
            <w:pPr>
              <w:spacing w:after="120"/>
              <w:rPr>
                <w:b/>
                <w:bCs/>
              </w:rPr>
            </w:pPr>
            <w:r w:rsidRPr="003A0C22">
              <w:rPr>
                <w:b/>
                <w:bCs/>
              </w:rPr>
              <w:t>Objet</w:t>
            </w:r>
            <w:r w:rsidRPr="003A0C22">
              <w:t>:</w:t>
            </w:r>
            <w:r w:rsidR="00FF143D" w:rsidRPr="003A0C22">
              <w:t xml:space="preserve"> Études sur les questions liées </w:t>
            </w:r>
            <w:r w:rsidR="00F16609" w:rsidRPr="003A0C22">
              <w:t>aux</w:t>
            </w:r>
            <w:r w:rsidR="00FF143D" w:rsidRPr="003A0C22">
              <w:t xml:space="preserve"> fréquences dans les bandes </w:t>
            </w:r>
            <w:r w:rsidR="003069DC" w:rsidRPr="003A0C22">
              <w:t xml:space="preserve">de fréquences </w:t>
            </w:r>
            <w:r w:rsidR="00FF143D" w:rsidRPr="003A0C22">
              <w:t>au</w:t>
            </w:r>
            <w:r w:rsidR="00586596" w:rsidRPr="003A0C22">
              <w:noBreakHyphen/>
            </w:r>
            <w:r w:rsidR="00FF143D" w:rsidRPr="003A0C22">
              <w:t>dessous de</w:t>
            </w:r>
            <w:r w:rsidR="0018289E" w:rsidRPr="003A0C22">
              <w:t> </w:t>
            </w:r>
            <w:r w:rsidR="00FF143D" w:rsidRPr="003A0C22">
              <w:t>2,2 GHz en vue du développement futur des systèmes à satellites</w:t>
            </w:r>
            <w:r w:rsidR="00F16609" w:rsidRPr="003A0C22">
              <w:t xml:space="preserve"> mobiles</w:t>
            </w:r>
            <w:r w:rsidR="00CF27E7" w:rsidRPr="003A0C22">
              <w:t>.</w:t>
            </w:r>
          </w:p>
        </w:tc>
      </w:tr>
      <w:tr w:rsidR="00335560" w:rsidRPr="003A0C22" w14:paraId="4C850B02" w14:textId="77777777" w:rsidTr="00CF27E7">
        <w:tc>
          <w:tcPr>
            <w:tcW w:w="9629" w:type="dxa"/>
            <w:gridSpan w:val="2"/>
            <w:tcBorders>
              <w:top w:val="nil"/>
              <w:left w:val="nil"/>
              <w:bottom w:val="single" w:sz="4" w:space="0" w:color="auto"/>
              <w:right w:val="nil"/>
            </w:tcBorders>
          </w:tcPr>
          <w:p w14:paraId="683B785A" w14:textId="251C21C2" w:rsidR="00335560" w:rsidRPr="003A0C22" w:rsidRDefault="00335560" w:rsidP="00CF27E7">
            <w:pPr>
              <w:pStyle w:val="Annextitle"/>
              <w:spacing w:before="120" w:after="120"/>
              <w:jc w:val="left"/>
              <w:rPr>
                <w:bCs/>
              </w:rPr>
            </w:pPr>
            <w:r w:rsidRPr="003A0C22">
              <w:rPr>
                <w:rFonts w:ascii="Times New Roman" w:hAnsi="Times New Roman"/>
                <w:bCs/>
                <w:sz w:val="24"/>
              </w:rPr>
              <w:t>Origine</w:t>
            </w:r>
            <w:r w:rsidRPr="003A0C22">
              <w:rPr>
                <w:rFonts w:ascii="Times New Roman" w:hAnsi="Times New Roman"/>
                <w:b w:val="0"/>
                <w:sz w:val="24"/>
              </w:rPr>
              <w:t>: Japon</w:t>
            </w:r>
          </w:p>
        </w:tc>
      </w:tr>
      <w:tr w:rsidR="00335560" w:rsidRPr="003A0C22" w14:paraId="640B29E4" w14:textId="77777777" w:rsidTr="00CF27E7">
        <w:tc>
          <w:tcPr>
            <w:tcW w:w="9629" w:type="dxa"/>
            <w:gridSpan w:val="2"/>
            <w:tcBorders>
              <w:top w:val="single" w:sz="4" w:space="0" w:color="auto"/>
              <w:left w:val="nil"/>
              <w:right w:val="nil"/>
            </w:tcBorders>
          </w:tcPr>
          <w:p w14:paraId="5BCC88CB" w14:textId="77777777" w:rsidR="00335560" w:rsidRPr="003A0C22" w:rsidRDefault="00335560" w:rsidP="00CF27E7">
            <w:pPr>
              <w:spacing w:after="120"/>
              <w:rPr>
                <w:b/>
                <w:bCs/>
                <w:i/>
                <w:iCs/>
              </w:rPr>
            </w:pPr>
            <w:r w:rsidRPr="003A0C22">
              <w:rPr>
                <w:b/>
                <w:bCs/>
                <w:i/>
                <w:iCs/>
              </w:rPr>
              <w:t>Proposition:</w:t>
            </w:r>
          </w:p>
          <w:p w14:paraId="27041E4D" w14:textId="311EC896" w:rsidR="00335560" w:rsidRPr="003A0C22" w:rsidRDefault="00CF27E7" w:rsidP="00CF27E7">
            <w:pPr>
              <w:spacing w:after="120"/>
            </w:pPr>
            <w:r w:rsidRPr="003A0C22">
              <w:t>E</w:t>
            </w:r>
            <w:r w:rsidR="00FF143D" w:rsidRPr="003A0C22">
              <w:t>nvisager de nouvelles attributions au service mobile par satellite (SMS) à titre primaire dans les bandes de fréquences au-dessous de 2,2 GHz identifiées pour les IMT</w:t>
            </w:r>
            <w:r w:rsidR="0018289E" w:rsidRPr="003A0C22">
              <w:t>.</w:t>
            </w:r>
          </w:p>
        </w:tc>
      </w:tr>
      <w:tr w:rsidR="00335560" w:rsidRPr="003A0C22" w14:paraId="5933DBC3" w14:textId="77777777" w:rsidTr="00CF27E7">
        <w:tc>
          <w:tcPr>
            <w:tcW w:w="9629" w:type="dxa"/>
            <w:gridSpan w:val="2"/>
            <w:tcBorders>
              <w:left w:val="nil"/>
              <w:right w:val="nil"/>
            </w:tcBorders>
          </w:tcPr>
          <w:p w14:paraId="754E402D" w14:textId="77777777" w:rsidR="00335560" w:rsidRPr="003A0C22" w:rsidRDefault="00335560" w:rsidP="00CF27E7">
            <w:pPr>
              <w:spacing w:after="120"/>
              <w:rPr>
                <w:b/>
                <w:bCs/>
                <w:i/>
                <w:iCs/>
              </w:rPr>
            </w:pPr>
            <w:r w:rsidRPr="003A0C22">
              <w:rPr>
                <w:b/>
                <w:bCs/>
                <w:i/>
                <w:iCs/>
              </w:rPr>
              <w:t>Contexte/motif</w:t>
            </w:r>
            <w:r w:rsidRPr="003A0C22">
              <w:rPr>
                <w:b/>
                <w:bCs/>
              </w:rPr>
              <w:t>:</w:t>
            </w:r>
          </w:p>
          <w:p w14:paraId="6652BD7B" w14:textId="60801D98" w:rsidR="00FF143D" w:rsidRPr="003A0C22" w:rsidRDefault="00FF143D" w:rsidP="0018289E">
            <w:r w:rsidRPr="003A0C22">
              <w:t>Ces dernières années, le coût d</w:t>
            </w:r>
            <w:r w:rsidR="003069DC" w:rsidRPr="003A0C22">
              <w:t>u</w:t>
            </w:r>
            <w:r w:rsidRPr="003A0C22">
              <w:t xml:space="preserve"> déploiement des constellations de satellites non OSG, </w:t>
            </w:r>
            <w:r w:rsidR="003069DC" w:rsidRPr="003A0C22">
              <w:t xml:space="preserve">capables de </w:t>
            </w:r>
            <w:r w:rsidRPr="003A0C22">
              <w:t xml:space="preserve">fournir une connectivité large bande, a diminué grâce aux innovations en matière de technologies satellitaires. </w:t>
            </w:r>
            <w:r w:rsidR="006F3FE3" w:rsidRPr="003A0C22">
              <w:t xml:space="preserve">En outre, les progrès </w:t>
            </w:r>
            <w:r w:rsidR="003069DC" w:rsidRPr="003A0C22">
              <w:t xml:space="preserve">réalisés </w:t>
            </w:r>
            <w:r w:rsidR="006F3FE3" w:rsidRPr="003A0C22">
              <w:t xml:space="preserve">dans le domaine des technologies de communication ont permis </w:t>
            </w:r>
            <w:r w:rsidR="005A31FF" w:rsidRPr="003A0C22">
              <w:t>aux</w:t>
            </w:r>
            <w:r w:rsidR="006F3FE3" w:rsidRPr="003A0C22">
              <w:t xml:space="preserve"> systèmes </w:t>
            </w:r>
            <w:r w:rsidR="003069DC" w:rsidRPr="003A0C22">
              <w:t xml:space="preserve">à satellites et </w:t>
            </w:r>
            <w:r w:rsidR="006F3FE3" w:rsidRPr="003A0C22">
              <w:t xml:space="preserve">de Terre </w:t>
            </w:r>
            <w:r w:rsidR="005A31FF" w:rsidRPr="003A0C22">
              <w:t xml:space="preserve">de </w:t>
            </w:r>
            <w:r w:rsidR="006F3FE3" w:rsidRPr="003A0C22">
              <w:t>partage</w:t>
            </w:r>
            <w:r w:rsidR="005A31FF" w:rsidRPr="003A0C22">
              <w:t>r</w:t>
            </w:r>
            <w:r w:rsidR="006F3FE3" w:rsidRPr="003A0C22">
              <w:t xml:space="preserve"> les mêmes fréquences sans </w:t>
            </w:r>
            <w:r w:rsidR="005A31FF" w:rsidRPr="003A0C22">
              <w:t xml:space="preserve">que </w:t>
            </w:r>
            <w:r w:rsidR="006F3FE3" w:rsidRPr="003A0C22">
              <w:t>de</w:t>
            </w:r>
            <w:r w:rsidR="005A31FF" w:rsidRPr="003A0C22">
              <w:t>s</w:t>
            </w:r>
            <w:r w:rsidR="006F3FE3" w:rsidRPr="003A0C22">
              <w:t xml:space="preserve"> brouillages préjudiciables </w:t>
            </w:r>
            <w:r w:rsidR="005A31FF" w:rsidRPr="003A0C22">
              <w:t xml:space="preserve">soient causés </w:t>
            </w:r>
            <w:r w:rsidR="006F3FE3" w:rsidRPr="003A0C22">
              <w:t xml:space="preserve">aux systèmes de Terre. Étant donné que les systèmes IMT de Terre fournissent généralement une couverture basée sur la population, l'extension de la couverture géographique constitue l'un des principaux problèmes </w:t>
            </w:r>
            <w:r w:rsidR="003069DC" w:rsidRPr="003A0C22">
              <w:t xml:space="preserve">à résoudre </w:t>
            </w:r>
            <w:r w:rsidR="006F3FE3" w:rsidRPr="003A0C22">
              <w:t xml:space="preserve">pour les opérateurs de téléphonie mobile. </w:t>
            </w:r>
            <w:r w:rsidR="00B12A51" w:rsidRPr="003A0C22">
              <w:t xml:space="preserve">Il serait donc avantageux de pouvoir </w:t>
            </w:r>
            <w:r w:rsidR="00AF7D67" w:rsidRPr="003A0C22">
              <w:t>offrir</w:t>
            </w:r>
            <w:r w:rsidR="00B12A51" w:rsidRPr="003A0C22">
              <w:t xml:space="preserve"> une connectivité IMT via des systèmes à satellites </w:t>
            </w:r>
            <w:r w:rsidR="005A31FF" w:rsidRPr="003A0C22">
              <w:t>aux</w:t>
            </w:r>
            <w:r w:rsidR="00AF7D67" w:rsidRPr="003A0C22">
              <w:t xml:space="preserve"> </w:t>
            </w:r>
            <w:r w:rsidR="00B12A51" w:rsidRPr="003A0C22">
              <w:t>terminaux mobiles non modifiés</w:t>
            </w:r>
            <w:r w:rsidR="00AF7D67" w:rsidRPr="003A0C22">
              <w:t xml:space="preserve"> existants</w:t>
            </w:r>
            <w:r w:rsidR="00B12A51" w:rsidRPr="003A0C22">
              <w:t>.</w:t>
            </w:r>
          </w:p>
          <w:p w14:paraId="1B52F954" w14:textId="33FB8B70" w:rsidR="00335560" w:rsidRPr="003A0C22" w:rsidRDefault="00B12A51" w:rsidP="003A0C22">
            <w:r w:rsidRPr="003A0C22">
              <w:t xml:space="preserve">Afin d'atteindre les objectifs susmentionnés, il serait normal que les opérateurs de téléphonie mobile </w:t>
            </w:r>
            <w:r w:rsidR="00AF7D67" w:rsidRPr="003A0C22">
              <w:t>se servent du</w:t>
            </w:r>
            <w:r w:rsidRPr="003A0C22">
              <w:t xml:space="preserve"> spectre qu'ils sont autorisés à utiliser pour étendre </w:t>
            </w:r>
            <w:r w:rsidR="00AF7D67" w:rsidRPr="003A0C22">
              <w:t>la</w:t>
            </w:r>
            <w:r w:rsidRPr="003A0C22">
              <w:t xml:space="preserve"> couverture large bande mobile aux zones actuellement non desservies. </w:t>
            </w:r>
            <w:r w:rsidR="0018289E" w:rsidRPr="003A0C22">
              <w:t>À</w:t>
            </w:r>
            <w:r w:rsidR="00AF7D67" w:rsidRPr="003A0C22">
              <w:t xml:space="preserve"> l'heure actuelle</w:t>
            </w:r>
            <w:r w:rsidRPr="003A0C22">
              <w:t xml:space="preserve">, le SMS ne dispose d'aucune attribution dans la plupart des bandes de fréquences utilisées pour les systèmes IMT de Terre. </w:t>
            </w:r>
            <w:r w:rsidR="00E80C79" w:rsidRPr="003A0C22">
              <w:t xml:space="preserve">Il convient également de noter que pour développer ces réseaux </w:t>
            </w:r>
            <w:r w:rsidR="005A31FF" w:rsidRPr="003A0C22">
              <w:t>sans délai</w:t>
            </w:r>
            <w:r w:rsidR="00E80C79" w:rsidRPr="003A0C22">
              <w:t xml:space="preserve">, il est souhaitable que les études et les </w:t>
            </w:r>
            <w:r w:rsidR="00AF7D67" w:rsidRPr="003A0C22">
              <w:t>examens</w:t>
            </w:r>
            <w:r w:rsidR="00E80C79" w:rsidRPr="003A0C22">
              <w:t xml:space="preserve"> portent sur les bandes de fréquences les plus facilement utilisables (</w:t>
            </w:r>
            <w:r w:rsidR="00AF7D67" w:rsidRPr="003A0C22">
              <w:t>à savoir</w:t>
            </w:r>
            <w:r w:rsidR="00E80C79" w:rsidRPr="003A0C22">
              <w:t xml:space="preserve"> les bandes de fréquences </w:t>
            </w:r>
            <w:r w:rsidR="00AF7D67" w:rsidRPr="003A0C22">
              <w:t>en</w:t>
            </w:r>
            <w:r w:rsidR="00E80C79" w:rsidRPr="003A0C22">
              <w:t xml:space="preserve"> ondes kilométriques identifiées pour les IMT, qui sont en général occupées et utilisées par les systèmes IMT de Terre). À cet égard, il convient d'envisager des attributions au SMS, </w:t>
            </w:r>
            <w:r w:rsidR="00AF7D67" w:rsidRPr="003A0C22">
              <w:t>destinées à être utilisées uniquement pour les</w:t>
            </w:r>
            <w:r w:rsidR="00E80C79" w:rsidRPr="003A0C22">
              <w:t xml:space="preserve"> communications directes entre </w:t>
            </w:r>
            <w:r w:rsidR="005A31FF" w:rsidRPr="003A0C22">
              <w:t>d</w:t>
            </w:r>
            <w:r w:rsidR="00E80C79" w:rsidRPr="003A0C22">
              <w:t xml:space="preserve">es satellites non OSG et </w:t>
            </w:r>
            <w:r w:rsidR="005A31FF" w:rsidRPr="003A0C22">
              <w:t>d</w:t>
            </w:r>
            <w:r w:rsidR="00E80C79" w:rsidRPr="003A0C22">
              <w:t>es équipements d'utilisateur IMT dans les systèmes IMT de Terre, dans les bandes de fréquences au-dessous de 2,2 GHz identifiées pour les IMT.</w:t>
            </w:r>
          </w:p>
        </w:tc>
      </w:tr>
      <w:tr w:rsidR="00335560" w:rsidRPr="003A0C22" w14:paraId="7297DE51" w14:textId="77777777" w:rsidTr="00CF27E7">
        <w:tc>
          <w:tcPr>
            <w:tcW w:w="9629" w:type="dxa"/>
            <w:gridSpan w:val="2"/>
            <w:tcBorders>
              <w:left w:val="nil"/>
              <w:right w:val="nil"/>
            </w:tcBorders>
          </w:tcPr>
          <w:p w14:paraId="42F8351E" w14:textId="77777777" w:rsidR="00335560" w:rsidRPr="003A0C22" w:rsidRDefault="00335560" w:rsidP="0018289E">
            <w:r w:rsidRPr="003A0C22">
              <w:rPr>
                <w:b/>
                <w:bCs/>
                <w:i/>
                <w:iCs/>
              </w:rPr>
              <w:t>Services de radiocommunication concernés</w:t>
            </w:r>
            <w:r w:rsidRPr="003A0C22">
              <w:rPr>
                <w:b/>
                <w:bCs/>
              </w:rPr>
              <w:t>:</w:t>
            </w:r>
          </w:p>
          <w:p w14:paraId="3582B649" w14:textId="64EC86EB" w:rsidR="00335560" w:rsidRPr="003A0C22" w:rsidRDefault="0018289E" w:rsidP="0018289E">
            <w:pPr>
              <w:spacing w:after="120"/>
            </w:pPr>
            <w:r w:rsidRPr="003A0C22">
              <w:t>S</w:t>
            </w:r>
            <w:r w:rsidR="00E80C79" w:rsidRPr="003A0C22">
              <w:t>ervice mobile, service fixe, service de radiodiffusion, service mobile par satellite et autres services</w:t>
            </w:r>
            <w:r w:rsidRPr="003A0C22">
              <w:t>.</w:t>
            </w:r>
          </w:p>
        </w:tc>
      </w:tr>
      <w:tr w:rsidR="00335560" w:rsidRPr="003A0C22" w14:paraId="656E7BC2" w14:textId="77777777" w:rsidTr="00CF27E7">
        <w:tc>
          <w:tcPr>
            <w:tcW w:w="9629" w:type="dxa"/>
            <w:gridSpan w:val="2"/>
            <w:tcBorders>
              <w:left w:val="nil"/>
              <w:right w:val="nil"/>
            </w:tcBorders>
          </w:tcPr>
          <w:p w14:paraId="2B12E15C" w14:textId="77777777" w:rsidR="00335560" w:rsidRPr="003A0C22" w:rsidRDefault="00335560" w:rsidP="0018289E">
            <w:r w:rsidRPr="003A0C22">
              <w:rPr>
                <w:b/>
                <w:bCs/>
                <w:i/>
                <w:iCs/>
              </w:rPr>
              <w:t>Indication des difficultés éventuelles</w:t>
            </w:r>
            <w:r w:rsidRPr="003A0C22">
              <w:rPr>
                <w:b/>
                <w:bCs/>
              </w:rPr>
              <w:t>:</w:t>
            </w:r>
          </w:p>
          <w:p w14:paraId="4738B46C" w14:textId="46B2FF22" w:rsidR="00335560" w:rsidRPr="003A0C22" w:rsidRDefault="005A31FF" w:rsidP="0018289E">
            <w:pPr>
              <w:spacing w:after="120"/>
            </w:pPr>
            <w:r w:rsidRPr="003A0C22">
              <w:t>Solutions permettant d'</w:t>
            </w:r>
            <w:r w:rsidR="00423E3C" w:rsidRPr="003A0C22">
              <w:t>assurer la protection des services existants disposant d'attributions à titre primaire vis-à-vis des systèmes du SMS bénéficiant des nouvelles attributions</w:t>
            </w:r>
            <w:r w:rsidR="00EF3F81" w:rsidRPr="003A0C22">
              <w:t>.</w:t>
            </w:r>
          </w:p>
        </w:tc>
      </w:tr>
      <w:tr w:rsidR="0018289E" w:rsidRPr="003A0C22" w14:paraId="2BE99FA6" w14:textId="77777777" w:rsidTr="00CF27E7">
        <w:tc>
          <w:tcPr>
            <w:tcW w:w="9629" w:type="dxa"/>
            <w:gridSpan w:val="2"/>
            <w:tcBorders>
              <w:left w:val="nil"/>
              <w:right w:val="nil"/>
            </w:tcBorders>
          </w:tcPr>
          <w:p w14:paraId="23630ED5" w14:textId="77777777" w:rsidR="0018289E" w:rsidRPr="003A0C22" w:rsidRDefault="0018289E" w:rsidP="0018289E">
            <w:pPr>
              <w:rPr>
                <w:b/>
                <w:bCs/>
                <w:i/>
                <w:iCs/>
              </w:rPr>
            </w:pPr>
            <w:r w:rsidRPr="003A0C22">
              <w:rPr>
                <w:b/>
                <w:bCs/>
                <w:i/>
                <w:iCs/>
              </w:rPr>
              <w:t>Études précédentes ou en cours sur la question</w:t>
            </w:r>
            <w:r w:rsidRPr="003A0C22">
              <w:rPr>
                <w:b/>
              </w:rPr>
              <w:t>:</w:t>
            </w:r>
          </w:p>
          <w:p w14:paraId="03CB5E34" w14:textId="2A3CBD79" w:rsidR="0018289E" w:rsidRPr="003A0C22" w:rsidRDefault="0018289E" w:rsidP="0018289E">
            <w:pPr>
              <w:spacing w:after="120"/>
              <w:rPr>
                <w:b/>
                <w:bCs/>
                <w:i/>
                <w:iCs/>
              </w:rPr>
            </w:pPr>
            <w:r w:rsidRPr="003A0C22">
              <w:rPr>
                <w:bCs/>
                <w:iCs/>
              </w:rPr>
              <w:t>Aucune.</w:t>
            </w:r>
          </w:p>
        </w:tc>
      </w:tr>
      <w:tr w:rsidR="001D2A76" w:rsidRPr="003A0C22" w14:paraId="6462E488" w14:textId="77777777" w:rsidTr="00CF27E7">
        <w:tc>
          <w:tcPr>
            <w:tcW w:w="4814" w:type="dxa"/>
            <w:tcBorders>
              <w:left w:val="nil"/>
            </w:tcBorders>
          </w:tcPr>
          <w:p w14:paraId="6CAEE329" w14:textId="77777777" w:rsidR="001D2A76" w:rsidRPr="003A0C22" w:rsidRDefault="001D2A76" w:rsidP="0018289E">
            <w:r w:rsidRPr="003A0C22">
              <w:rPr>
                <w:b/>
                <w:bCs/>
                <w:i/>
                <w:iCs/>
              </w:rPr>
              <w:t>Études devant être réalisées par</w:t>
            </w:r>
            <w:r w:rsidRPr="003A0C22">
              <w:rPr>
                <w:b/>
              </w:rPr>
              <w:t>:</w:t>
            </w:r>
          </w:p>
          <w:p w14:paraId="0912E391" w14:textId="0473C438" w:rsidR="0032688A" w:rsidRPr="003A0C22" w:rsidRDefault="00423E3C" w:rsidP="0018289E">
            <w:pPr>
              <w:spacing w:after="120"/>
            </w:pPr>
            <w:r w:rsidRPr="003A0C22">
              <w:t>GT 4C de l'UIT-R en tant que groupe responsable</w:t>
            </w:r>
            <w:r w:rsidR="00EF3F81" w:rsidRPr="003A0C22">
              <w:t>.</w:t>
            </w:r>
          </w:p>
        </w:tc>
        <w:tc>
          <w:tcPr>
            <w:tcW w:w="4815" w:type="dxa"/>
            <w:tcBorders>
              <w:right w:val="nil"/>
            </w:tcBorders>
          </w:tcPr>
          <w:p w14:paraId="13F7F00B" w14:textId="0F6EBA57" w:rsidR="001D2A76" w:rsidRPr="003A0C22" w:rsidRDefault="0018289E" w:rsidP="0018289E">
            <w:pPr>
              <w:pStyle w:val="Annextitle"/>
              <w:tabs>
                <w:tab w:val="clear" w:pos="1871"/>
                <w:tab w:val="clear" w:pos="2268"/>
              </w:tabs>
              <w:spacing w:before="120" w:after="0"/>
              <w:jc w:val="left"/>
              <w:rPr>
                <w:rFonts w:ascii="Times New Roman" w:hAnsi="Times New Roman"/>
                <w:i/>
                <w:sz w:val="24"/>
              </w:rPr>
            </w:pPr>
            <w:r w:rsidRPr="003A0C22">
              <w:rPr>
                <w:rFonts w:ascii="Times New Roman" w:hAnsi="Times New Roman"/>
                <w:i/>
                <w:sz w:val="24"/>
              </w:rPr>
              <w:t>A</w:t>
            </w:r>
            <w:r w:rsidR="001D2A76" w:rsidRPr="003A0C22">
              <w:rPr>
                <w:rFonts w:ascii="Times New Roman" w:hAnsi="Times New Roman"/>
                <w:i/>
                <w:sz w:val="24"/>
              </w:rPr>
              <w:t>vec la participation de</w:t>
            </w:r>
            <w:r w:rsidR="001D2A76" w:rsidRPr="003A0C22">
              <w:rPr>
                <w:rFonts w:ascii="Times New Roman" w:hAnsi="Times New Roman"/>
                <w:iCs/>
                <w:sz w:val="24"/>
              </w:rPr>
              <w:t>:</w:t>
            </w:r>
          </w:p>
          <w:p w14:paraId="67A29CB6" w14:textId="683B5183" w:rsidR="0032688A" w:rsidRPr="003A0C22" w:rsidRDefault="00423E3C" w:rsidP="0018289E">
            <w:r w:rsidRPr="003A0C22">
              <w:t>Administrations et Membres du Secteur UIT-R</w:t>
            </w:r>
            <w:r w:rsidR="00EF3F81" w:rsidRPr="003A0C22">
              <w:t>.</w:t>
            </w:r>
          </w:p>
        </w:tc>
      </w:tr>
      <w:tr w:rsidR="00335560" w:rsidRPr="003A0C22" w14:paraId="56FD3D60" w14:textId="77777777" w:rsidTr="00CF27E7">
        <w:tc>
          <w:tcPr>
            <w:tcW w:w="9629" w:type="dxa"/>
            <w:gridSpan w:val="2"/>
            <w:tcBorders>
              <w:left w:val="nil"/>
              <w:right w:val="nil"/>
            </w:tcBorders>
          </w:tcPr>
          <w:p w14:paraId="21EA2A23" w14:textId="77777777" w:rsidR="0032688A" w:rsidRPr="003A0C22" w:rsidRDefault="001D2A76" w:rsidP="0018289E">
            <w:pPr>
              <w:rPr>
                <w:b/>
                <w:bCs/>
              </w:rPr>
            </w:pPr>
            <w:r w:rsidRPr="003A0C22">
              <w:rPr>
                <w:b/>
                <w:bCs/>
                <w:i/>
                <w:iCs/>
              </w:rPr>
              <w:t>Commissions d'études de l'UIT-R concernées</w:t>
            </w:r>
            <w:r w:rsidRPr="003A0C22">
              <w:rPr>
                <w:b/>
                <w:bCs/>
              </w:rPr>
              <w:t>:</w:t>
            </w:r>
          </w:p>
          <w:p w14:paraId="40E61D42" w14:textId="27B0E1E5" w:rsidR="0032688A" w:rsidRPr="003A0C22" w:rsidRDefault="00423E3C" w:rsidP="00457D2E">
            <w:pPr>
              <w:spacing w:after="120"/>
            </w:pPr>
            <w:r w:rsidRPr="003A0C22">
              <w:t>Commissions d'études 4, 5, 6 et 7</w:t>
            </w:r>
            <w:r w:rsidR="0018289E" w:rsidRPr="003A0C22">
              <w:t>.</w:t>
            </w:r>
          </w:p>
        </w:tc>
      </w:tr>
      <w:tr w:rsidR="00335560" w:rsidRPr="003A0C22" w14:paraId="444055BF" w14:textId="77777777" w:rsidTr="00CF27E7">
        <w:tc>
          <w:tcPr>
            <w:tcW w:w="9629" w:type="dxa"/>
            <w:gridSpan w:val="2"/>
            <w:tcBorders>
              <w:left w:val="nil"/>
              <w:right w:val="nil"/>
            </w:tcBorders>
          </w:tcPr>
          <w:p w14:paraId="25DCB4B9" w14:textId="1756E171" w:rsidR="0032688A" w:rsidRPr="003A0C22" w:rsidRDefault="001D2A76" w:rsidP="0018289E">
            <w:pPr>
              <w:rPr>
                <w:b/>
                <w:bCs/>
                <w:i/>
                <w:iCs/>
              </w:rPr>
            </w:pPr>
            <w:r w:rsidRPr="003A0C22">
              <w:rPr>
                <w:b/>
                <w:bCs/>
                <w:i/>
                <w:iCs/>
              </w:rPr>
              <w:t>Répercussions au niveau des ressources de l'UIT, y compris incidences financières (voir le numéro</w:t>
            </w:r>
            <w:r w:rsidR="0018289E" w:rsidRPr="003A0C22">
              <w:rPr>
                <w:b/>
                <w:bCs/>
                <w:i/>
                <w:iCs/>
              </w:rPr>
              <w:t> </w:t>
            </w:r>
            <w:r w:rsidRPr="003A0C22">
              <w:rPr>
                <w:b/>
                <w:bCs/>
                <w:i/>
                <w:iCs/>
              </w:rPr>
              <w:t>126 de la Convention)</w:t>
            </w:r>
            <w:r w:rsidRPr="003A0C22">
              <w:rPr>
                <w:b/>
                <w:bCs/>
              </w:rPr>
              <w:t>:</w:t>
            </w:r>
          </w:p>
          <w:p w14:paraId="4C2861E4" w14:textId="31E1D106" w:rsidR="0032688A" w:rsidRPr="003A0C22" w:rsidRDefault="00423E3C" w:rsidP="0018289E">
            <w:pPr>
              <w:spacing w:after="120"/>
            </w:pPr>
            <w:r w:rsidRPr="003A0C22">
              <w:t>Ce projet de point de l'ordre du jour sera étudié dans le cadre des procédures normales et du budget prévu de l'UIT-R.</w:t>
            </w:r>
          </w:p>
        </w:tc>
      </w:tr>
      <w:tr w:rsidR="001D2A76" w:rsidRPr="003A0C22" w14:paraId="240F35D6" w14:textId="77777777" w:rsidTr="00CF27E7">
        <w:tc>
          <w:tcPr>
            <w:tcW w:w="4814" w:type="dxa"/>
            <w:tcBorders>
              <w:left w:val="nil"/>
            </w:tcBorders>
          </w:tcPr>
          <w:p w14:paraId="573837D9" w14:textId="77777777" w:rsidR="006E3E28" w:rsidRPr="003A0C22" w:rsidRDefault="001D2A76" w:rsidP="0018289E">
            <w:r w:rsidRPr="003A0C22">
              <w:rPr>
                <w:b/>
                <w:bCs/>
                <w:i/>
                <w:iCs/>
              </w:rPr>
              <w:t>Proposition régionale commune</w:t>
            </w:r>
            <w:r w:rsidRPr="003A0C22">
              <w:rPr>
                <w:b/>
                <w:bCs/>
              </w:rPr>
              <w:t>:</w:t>
            </w:r>
          </w:p>
          <w:p w14:paraId="40602044" w14:textId="6F4D37AA" w:rsidR="006E3E28" w:rsidRPr="003A0C22" w:rsidRDefault="00423E3C" w:rsidP="0018289E">
            <w:r w:rsidRPr="003A0C22">
              <w:t>Non.</w:t>
            </w:r>
          </w:p>
        </w:tc>
        <w:tc>
          <w:tcPr>
            <w:tcW w:w="4815" w:type="dxa"/>
            <w:tcBorders>
              <w:right w:val="nil"/>
            </w:tcBorders>
          </w:tcPr>
          <w:p w14:paraId="7233826A" w14:textId="77777777" w:rsidR="001D2A76" w:rsidRPr="003A0C22" w:rsidRDefault="00580BDE" w:rsidP="0018289E">
            <w:r w:rsidRPr="003A0C22">
              <w:rPr>
                <w:b/>
                <w:bCs/>
                <w:i/>
                <w:iCs/>
              </w:rPr>
              <w:t>Proposition soumise par plusieurs pays</w:t>
            </w:r>
            <w:r w:rsidRPr="003A0C22">
              <w:rPr>
                <w:b/>
                <w:bCs/>
              </w:rPr>
              <w:t>:</w:t>
            </w:r>
          </w:p>
          <w:p w14:paraId="69F42E06" w14:textId="4B4D7A1C" w:rsidR="0032688A" w:rsidRPr="003A0C22" w:rsidRDefault="00423E3C" w:rsidP="0018289E">
            <w:r w:rsidRPr="003A0C22">
              <w:t>Non.</w:t>
            </w:r>
          </w:p>
          <w:p w14:paraId="73266C21" w14:textId="7E29B028" w:rsidR="0032688A" w:rsidRPr="003A0C22" w:rsidRDefault="0032688A" w:rsidP="0018289E">
            <w:pPr>
              <w:spacing w:after="120"/>
              <w:rPr>
                <w:bCs/>
              </w:rPr>
            </w:pPr>
            <w:r w:rsidRPr="003A0C22">
              <w:rPr>
                <w:b/>
                <w:i/>
                <w:iCs/>
              </w:rPr>
              <w:t>Nombre de pays</w:t>
            </w:r>
            <w:r w:rsidRPr="003A0C22">
              <w:rPr>
                <w:bCs/>
                <w:iCs/>
              </w:rPr>
              <w:t>:</w:t>
            </w:r>
            <w:r w:rsidR="00423E3C" w:rsidRPr="003A0C22">
              <w:rPr>
                <w:bCs/>
                <w:iCs/>
              </w:rPr>
              <w:t xml:space="preserve"> </w:t>
            </w:r>
            <w:r w:rsidR="003A0C22" w:rsidRPr="003A0C22">
              <w:rPr>
                <w:bCs/>
                <w:iCs/>
              </w:rPr>
              <w:t>s</w:t>
            </w:r>
            <w:r w:rsidR="00423E3C" w:rsidRPr="003A0C22">
              <w:rPr>
                <w:bCs/>
                <w:iCs/>
              </w:rPr>
              <w:t>ans objet</w:t>
            </w:r>
          </w:p>
        </w:tc>
      </w:tr>
      <w:tr w:rsidR="00335560" w:rsidRPr="003A0C22" w14:paraId="4A50DB8B" w14:textId="77777777" w:rsidTr="00CF27E7">
        <w:tc>
          <w:tcPr>
            <w:tcW w:w="9629" w:type="dxa"/>
            <w:gridSpan w:val="2"/>
            <w:tcBorders>
              <w:left w:val="nil"/>
              <w:bottom w:val="single" w:sz="4" w:space="0" w:color="auto"/>
              <w:right w:val="nil"/>
            </w:tcBorders>
          </w:tcPr>
          <w:p w14:paraId="6B1902FF" w14:textId="7D2664C3" w:rsidR="00335560" w:rsidRPr="003A0C22" w:rsidRDefault="00580BDE" w:rsidP="0018289E">
            <w:pPr>
              <w:rPr>
                <w:b/>
                <w:bCs/>
                <w:i/>
                <w:iCs/>
              </w:rPr>
            </w:pPr>
            <w:r w:rsidRPr="003A0C22">
              <w:rPr>
                <w:b/>
                <w:bCs/>
                <w:i/>
                <w:iCs/>
              </w:rPr>
              <w:t>Observations</w:t>
            </w:r>
            <w:r w:rsidR="0018289E" w:rsidRPr="003A0C22">
              <w:rPr>
                <w:b/>
                <w:bCs/>
              </w:rPr>
              <w:t>:</w:t>
            </w:r>
          </w:p>
          <w:p w14:paraId="03A0C922" w14:textId="53A96A08" w:rsidR="00423E3C" w:rsidRPr="003A0C22" w:rsidRDefault="0018289E" w:rsidP="003E4106">
            <w:pPr>
              <w:spacing w:after="120"/>
              <w:rPr>
                <w:bCs/>
                <w:iCs/>
              </w:rPr>
            </w:pPr>
            <w:r w:rsidRPr="003A0C22">
              <w:rPr>
                <w:bCs/>
                <w:iCs/>
              </w:rPr>
              <w:t>S</w:t>
            </w:r>
            <w:r w:rsidR="00423E3C" w:rsidRPr="003A0C22">
              <w:rPr>
                <w:bCs/>
                <w:iCs/>
              </w:rPr>
              <w:t>ans objet</w:t>
            </w:r>
            <w:r w:rsidRPr="003A0C22">
              <w:rPr>
                <w:bCs/>
                <w:iCs/>
              </w:rPr>
              <w:t>.</w:t>
            </w:r>
          </w:p>
        </w:tc>
      </w:tr>
    </w:tbl>
    <w:p w14:paraId="7E4E6C9C" w14:textId="0065C8CF" w:rsidR="00335560" w:rsidRPr="003A0C22" w:rsidRDefault="00C7567A" w:rsidP="00CF27E7">
      <w:pPr>
        <w:jc w:val="center"/>
      </w:pPr>
      <w:r w:rsidRPr="003A0C22">
        <w:t>______________</w:t>
      </w:r>
    </w:p>
    <w:sectPr w:rsidR="00335560" w:rsidRPr="003A0C22">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60A7" w14:textId="77777777" w:rsidR="007B6D15" w:rsidRDefault="007B6D15">
      <w:r>
        <w:separator/>
      </w:r>
    </w:p>
  </w:endnote>
  <w:endnote w:type="continuationSeparator" w:id="0">
    <w:p w14:paraId="3129E77C" w14:textId="77777777" w:rsidR="007B6D15" w:rsidRDefault="007B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8058" w14:textId="02CB7D06" w:rsidR="00936D25" w:rsidRDefault="00936D25">
    <w:pPr>
      <w:rPr>
        <w:lang w:val="en-US"/>
      </w:rPr>
    </w:pPr>
    <w:r>
      <w:fldChar w:fldCharType="begin"/>
    </w:r>
    <w:r>
      <w:rPr>
        <w:lang w:val="en-US"/>
      </w:rPr>
      <w:instrText xml:space="preserve"> FILENAME \p  \* MERGEFORMAT </w:instrText>
    </w:r>
    <w:r>
      <w:fldChar w:fldCharType="separate"/>
    </w:r>
    <w:r w:rsidR="003E4106">
      <w:rPr>
        <w:noProof/>
        <w:lang w:val="en-US"/>
      </w:rPr>
      <w:t>P:\FRA\ITU-R\CONF-R\CMR23\000\099ADD27ADD01F.docx</w:t>
    </w:r>
    <w:r>
      <w:fldChar w:fldCharType="end"/>
    </w:r>
    <w:r>
      <w:rPr>
        <w:lang w:val="en-US"/>
      </w:rPr>
      <w:tab/>
    </w:r>
    <w:r>
      <w:fldChar w:fldCharType="begin"/>
    </w:r>
    <w:r>
      <w:instrText xml:space="preserve"> SAVEDATE \@ DD.MM.YY </w:instrText>
    </w:r>
    <w:r>
      <w:fldChar w:fldCharType="separate"/>
    </w:r>
    <w:r w:rsidR="003A0C22">
      <w:rPr>
        <w:noProof/>
      </w:rPr>
      <w:t>09.11.23</w:t>
    </w:r>
    <w:r>
      <w:fldChar w:fldCharType="end"/>
    </w:r>
    <w:r>
      <w:rPr>
        <w:lang w:val="en-US"/>
      </w:rPr>
      <w:tab/>
    </w:r>
    <w:r>
      <w:fldChar w:fldCharType="begin"/>
    </w:r>
    <w:r>
      <w:instrText xml:space="preserve"> PRINTDATE \@ DD.MM.YY </w:instrText>
    </w:r>
    <w:r>
      <w:fldChar w:fldCharType="separate"/>
    </w:r>
    <w:r w:rsidR="003E4106">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5433" w14:textId="625C78E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E4106">
      <w:rPr>
        <w:lang w:val="en-US"/>
      </w:rPr>
      <w:t>P:\FRA\ITU-R\CONF-R\CMR23\000\099ADD27ADD01F.docx</w:t>
    </w:r>
    <w:r>
      <w:fldChar w:fldCharType="end"/>
    </w:r>
    <w:r w:rsidR="0001535D">
      <w:t xml:space="preserve"> </w:t>
    </w:r>
    <w:r w:rsidR="00554B5F">
      <w:t>(530159)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AA4E" w14:textId="35BF060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E4106">
      <w:rPr>
        <w:lang w:val="en-US"/>
      </w:rPr>
      <w:t>P:\FRA\ITU-R\CONF-R\CMR23\000\099ADD27ADD01F.docx</w:t>
    </w:r>
    <w:r>
      <w:fldChar w:fldCharType="end"/>
    </w:r>
    <w:r w:rsidR="00554B5F">
      <w:t>(530159)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F644" w14:textId="77777777" w:rsidR="007B6D15" w:rsidRDefault="007B6D15">
      <w:r>
        <w:rPr>
          <w:b/>
        </w:rPr>
        <w:t>_______________</w:t>
      </w:r>
    </w:p>
  </w:footnote>
  <w:footnote w:type="continuationSeparator" w:id="0">
    <w:p w14:paraId="6C97E16C" w14:textId="77777777" w:rsidR="007B6D15" w:rsidRDefault="007B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EE6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76EEFDB" w14:textId="77777777" w:rsidR="004F1F8E" w:rsidRDefault="00225CF2" w:rsidP="00FD7AA3">
    <w:pPr>
      <w:pStyle w:val="Header"/>
    </w:pPr>
    <w:r>
      <w:t>WRC</w:t>
    </w:r>
    <w:r w:rsidR="00D3426F">
      <w:t>23</w:t>
    </w:r>
    <w:r w:rsidR="004F1F8E">
      <w:t>/</w:t>
    </w:r>
    <w:r w:rsidR="006A4B45">
      <w:t>99(Add.27)(Add.1)-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E5A06B2"/>
    <w:multiLevelType w:val="hybridMultilevel"/>
    <w:tmpl w:val="1E060F52"/>
    <w:lvl w:ilvl="0" w:tplc="1FE85D24">
      <w:start w:val="1"/>
      <w:numFmt w:val="bullet"/>
      <w:pStyle w:val="ennuml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6C4B68"/>
    <w:multiLevelType w:val="hybridMultilevel"/>
    <w:tmpl w:val="1CBA8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8650046">
    <w:abstractNumId w:val="0"/>
  </w:num>
  <w:num w:numId="2" w16cid:durableId="4696408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27361256">
    <w:abstractNumId w:val="2"/>
  </w:num>
  <w:num w:numId="4" w16cid:durableId="1595168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35D"/>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8289E"/>
    <w:rsid w:val="0019352B"/>
    <w:rsid w:val="001960D0"/>
    <w:rsid w:val="001A11F6"/>
    <w:rsid w:val="001D2A76"/>
    <w:rsid w:val="001F17E8"/>
    <w:rsid w:val="00204306"/>
    <w:rsid w:val="00212213"/>
    <w:rsid w:val="00225CF2"/>
    <w:rsid w:val="00232B1E"/>
    <w:rsid w:val="00232FD2"/>
    <w:rsid w:val="0026554E"/>
    <w:rsid w:val="00274278"/>
    <w:rsid w:val="002A4622"/>
    <w:rsid w:val="002A6F8F"/>
    <w:rsid w:val="002B17E5"/>
    <w:rsid w:val="002C0EBF"/>
    <w:rsid w:val="002C28A4"/>
    <w:rsid w:val="002C5B58"/>
    <w:rsid w:val="002D7E0A"/>
    <w:rsid w:val="002F1543"/>
    <w:rsid w:val="003069DC"/>
    <w:rsid w:val="00315AFE"/>
    <w:rsid w:val="0032688A"/>
    <w:rsid w:val="00335560"/>
    <w:rsid w:val="003411F6"/>
    <w:rsid w:val="003606A6"/>
    <w:rsid w:val="0036650C"/>
    <w:rsid w:val="00393ACD"/>
    <w:rsid w:val="003A0C22"/>
    <w:rsid w:val="003A583E"/>
    <w:rsid w:val="003E112B"/>
    <w:rsid w:val="003E1D1C"/>
    <w:rsid w:val="003E4106"/>
    <w:rsid w:val="003E7B05"/>
    <w:rsid w:val="003F3719"/>
    <w:rsid w:val="003F6F2D"/>
    <w:rsid w:val="0040688C"/>
    <w:rsid w:val="00423E3C"/>
    <w:rsid w:val="00457D2E"/>
    <w:rsid w:val="00466211"/>
    <w:rsid w:val="00483196"/>
    <w:rsid w:val="004834A9"/>
    <w:rsid w:val="004D01FC"/>
    <w:rsid w:val="004E28C3"/>
    <w:rsid w:val="004F1F8E"/>
    <w:rsid w:val="00512A32"/>
    <w:rsid w:val="005343DA"/>
    <w:rsid w:val="00554B5F"/>
    <w:rsid w:val="00560874"/>
    <w:rsid w:val="00580BDE"/>
    <w:rsid w:val="00586596"/>
    <w:rsid w:val="00586CF2"/>
    <w:rsid w:val="00594480"/>
    <w:rsid w:val="005A31FF"/>
    <w:rsid w:val="005A7C75"/>
    <w:rsid w:val="005B35AD"/>
    <w:rsid w:val="005B3A15"/>
    <w:rsid w:val="005C3768"/>
    <w:rsid w:val="005C4292"/>
    <w:rsid w:val="005C6C3F"/>
    <w:rsid w:val="005E0868"/>
    <w:rsid w:val="00607F61"/>
    <w:rsid w:val="00613635"/>
    <w:rsid w:val="0062093D"/>
    <w:rsid w:val="00637ECF"/>
    <w:rsid w:val="00647B59"/>
    <w:rsid w:val="00690C7B"/>
    <w:rsid w:val="006A4B45"/>
    <w:rsid w:val="006B1519"/>
    <w:rsid w:val="006B694C"/>
    <w:rsid w:val="006D4724"/>
    <w:rsid w:val="006E3E28"/>
    <w:rsid w:val="006F3FE3"/>
    <w:rsid w:val="006F5F31"/>
    <w:rsid w:val="006F5FA2"/>
    <w:rsid w:val="0070076C"/>
    <w:rsid w:val="00701BAE"/>
    <w:rsid w:val="00721F04"/>
    <w:rsid w:val="00730E95"/>
    <w:rsid w:val="007426B9"/>
    <w:rsid w:val="00764342"/>
    <w:rsid w:val="00774362"/>
    <w:rsid w:val="00786598"/>
    <w:rsid w:val="00790C74"/>
    <w:rsid w:val="007A04E8"/>
    <w:rsid w:val="007B2C34"/>
    <w:rsid w:val="007B6D15"/>
    <w:rsid w:val="007E592A"/>
    <w:rsid w:val="007F282B"/>
    <w:rsid w:val="008011B7"/>
    <w:rsid w:val="00830086"/>
    <w:rsid w:val="00851625"/>
    <w:rsid w:val="00863C0A"/>
    <w:rsid w:val="008A3120"/>
    <w:rsid w:val="008A4B97"/>
    <w:rsid w:val="008C0C45"/>
    <w:rsid w:val="008C5B8E"/>
    <w:rsid w:val="008C5DD5"/>
    <w:rsid w:val="008C7123"/>
    <w:rsid w:val="008D41BE"/>
    <w:rsid w:val="008D58D3"/>
    <w:rsid w:val="008E3BC9"/>
    <w:rsid w:val="00923064"/>
    <w:rsid w:val="00930FFD"/>
    <w:rsid w:val="00936D25"/>
    <w:rsid w:val="00941EA5"/>
    <w:rsid w:val="00954506"/>
    <w:rsid w:val="00964700"/>
    <w:rsid w:val="00966C16"/>
    <w:rsid w:val="00974CE8"/>
    <w:rsid w:val="0098732F"/>
    <w:rsid w:val="00995CE9"/>
    <w:rsid w:val="009A045F"/>
    <w:rsid w:val="009A6A2B"/>
    <w:rsid w:val="009C7E7C"/>
    <w:rsid w:val="00A00473"/>
    <w:rsid w:val="00A03C9B"/>
    <w:rsid w:val="00A37105"/>
    <w:rsid w:val="00A606C3"/>
    <w:rsid w:val="00A83B09"/>
    <w:rsid w:val="00A84541"/>
    <w:rsid w:val="00AE36A0"/>
    <w:rsid w:val="00AF7D67"/>
    <w:rsid w:val="00B00294"/>
    <w:rsid w:val="00B12A51"/>
    <w:rsid w:val="00B3749C"/>
    <w:rsid w:val="00B64FD0"/>
    <w:rsid w:val="00BA5BD0"/>
    <w:rsid w:val="00BB1D82"/>
    <w:rsid w:val="00BC217E"/>
    <w:rsid w:val="00BD51C5"/>
    <w:rsid w:val="00BF26E7"/>
    <w:rsid w:val="00BF29B5"/>
    <w:rsid w:val="00C1305F"/>
    <w:rsid w:val="00C53FCA"/>
    <w:rsid w:val="00C71DEB"/>
    <w:rsid w:val="00C7567A"/>
    <w:rsid w:val="00C76BAF"/>
    <w:rsid w:val="00C814B9"/>
    <w:rsid w:val="00CB685A"/>
    <w:rsid w:val="00CC602D"/>
    <w:rsid w:val="00CD516F"/>
    <w:rsid w:val="00CF27E7"/>
    <w:rsid w:val="00D119A7"/>
    <w:rsid w:val="00D25FBA"/>
    <w:rsid w:val="00D32B28"/>
    <w:rsid w:val="00D3426F"/>
    <w:rsid w:val="00D42954"/>
    <w:rsid w:val="00D51798"/>
    <w:rsid w:val="00D66EAC"/>
    <w:rsid w:val="00D730DF"/>
    <w:rsid w:val="00D772F0"/>
    <w:rsid w:val="00D77BDC"/>
    <w:rsid w:val="00D92A57"/>
    <w:rsid w:val="00DC402B"/>
    <w:rsid w:val="00DE0932"/>
    <w:rsid w:val="00DF15E8"/>
    <w:rsid w:val="00E03A27"/>
    <w:rsid w:val="00E049F1"/>
    <w:rsid w:val="00E37A25"/>
    <w:rsid w:val="00E537FF"/>
    <w:rsid w:val="00E60CB2"/>
    <w:rsid w:val="00E6539B"/>
    <w:rsid w:val="00E70A31"/>
    <w:rsid w:val="00E723A7"/>
    <w:rsid w:val="00E80C79"/>
    <w:rsid w:val="00EA3F38"/>
    <w:rsid w:val="00EA5AB6"/>
    <w:rsid w:val="00EC7615"/>
    <w:rsid w:val="00ED16AA"/>
    <w:rsid w:val="00ED6B8D"/>
    <w:rsid w:val="00EE3D7B"/>
    <w:rsid w:val="00EF3F81"/>
    <w:rsid w:val="00EF662E"/>
    <w:rsid w:val="00F10064"/>
    <w:rsid w:val="00F148F1"/>
    <w:rsid w:val="00F16609"/>
    <w:rsid w:val="00F711A7"/>
    <w:rsid w:val="00FA3BBF"/>
    <w:rsid w:val="00FC41F8"/>
    <w:rsid w:val="00FD7AA3"/>
    <w:rsid w:val="00FF143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000D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2C5B58"/>
    <w:pPr>
      <w:ind w:left="720"/>
      <w:contextualSpacing/>
    </w:pPr>
  </w:style>
  <w:style w:type="paragraph" w:customStyle="1" w:styleId="ennumle">
    <w:name w:val="ennumle"/>
    <w:basedOn w:val="ListParagraph"/>
    <w:rsid w:val="002C5B58"/>
    <w:pPr>
      <w:numPr>
        <w:numId w:val="3"/>
      </w:numPr>
    </w:pPr>
  </w:style>
  <w:style w:type="character" w:customStyle="1" w:styleId="CallChar">
    <w:name w:val="Call Char"/>
    <w:basedOn w:val="DefaultParagraphFont"/>
    <w:link w:val="Call"/>
    <w:qFormat/>
    <w:locked/>
    <w:rsid w:val="002F1543"/>
    <w:rPr>
      <w:rFonts w:ascii="Times New Roman" w:hAnsi="Times New Roman"/>
      <w:i/>
      <w:sz w:val="24"/>
      <w:lang w:val="fr-FR" w:eastAsia="en-US"/>
    </w:rPr>
  </w:style>
  <w:style w:type="character" w:styleId="Strong">
    <w:name w:val="Strong"/>
    <w:basedOn w:val="DefaultParagraphFont"/>
    <w:uiPriority w:val="22"/>
    <w:qFormat/>
    <w:rsid w:val="007E592A"/>
    <w:rPr>
      <w:b/>
      <w:bCs/>
    </w:rPr>
  </w:style>
  <w:style w:type="character" w:styleId="CommentReference">
    <w:name w:val="annotation reference"/>
    <w:basedOn w:val="DefaultParagraphFont"/>
    <w:semiHidden/>
    <w:unhideWhenUsed/>
    <w:rsid w:val="00BF29B5"/>
    <w:rPr>
      <w:sz w:val="16"/>
      <w:szCs w:val="16"/>
    </w:rPr>
  </w:style>
  <w:style w:type="paragraph" w:styleId="CommentText">
    <w:name w:val="annotation text"/>
    <w:basedOn w:val="Normal"/>
    <w:link w:val="CommentTextChar"/>
    <w:unhideWhenUsed/>
    <w:rsid w:val="00BF29B5"/>
    <w:rPr>
      <w:sz w:val="20"/>
    </w:rPr>
  </w:style>
  <w:style w:type="character" w:customStyle="1" w:styleId="CommentTextChar">
    <w:name w:val="Comment Text Char"/>
    <w:basedOn w:val="DefaultParagraphFont"/>
    <w:link w:val="CommentText"/>
    <w:rsid w:val="00BF29B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F29B5"/>
    <w:rPr>
      <w:b/>
      <w:bCs/>
    </w:rPr>
  </w:style>
  <w:style w:type="character" w:customStyle="1" w:styleId="CommentSubjectChar">
    <w:name w:val="Comment Subject Char"/>
    <w:basedOn w:val="CommentTextChar"/>
    <w:link w:val="CommentSubject"/>
    <w:semiHidden/>
    <w:rsid w:val="00BF29B5"/>
    <w:rPr>
      <w:rFonts w:ascii="Times New Roman" w:hAnsi="Times New Roman"/>
      <w:b/>
      <w:bCs/>
      <w:lang w:val="fr-FR" w:eastAsia="en-US"/>
    </w:rPr>
  </w:style>
  <w:style w:type="paragraph" w:styleId="Revision">
    <w:name w:val="Revision"/>
    <w:hidden/>
    <w:uiPriority w:val="99"/>
    <w:semiHidden/>
    <w:rsid w:val="008C0C4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R23-WRC23-C-0099!A27-A1!MSW-F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B06A6-B50A-4247-B806-D003BC503742}">
  <ds:schemaRefs>
    <ds:schemaRef ds:uri="http://schemas.openxmlformats.org/officeDocument/2006/bibliography"/>
  </ds:schemaRefs>
</ds:datastoreItem>
</file>

<file path=customXml/itemProps2.xml><?xml version="1.0" encoding="utf-8"?>
<ds:datastoreItem xmlns:ds="http://schemas.openxmlformats.org/officeDocument/2006/customXml" ds:itemID="{DB0C5E10-934F-47D2-B17E-BC4D11D95E57}">
  <ds:schemaRefs>
    <ds:schemaRef ds:uri="http://schemas.microsoft.com/sharepoint/events"/>
  </ds:schemaRefs>
</ds:datastoreItem>
</file>

<file path=customXml/itemProps3.xml><?xml version="1.0" encoding="utf-8"?>
<ds:datastoreItem xmlns:ds="http://schemas.openxmlformats.org/officeDocument/2006/customXml" ds:itemID="{B1A927F7-70D2-4BAF-AD31-3B673EAAB169}">
  <ds:schemaRefs>
    <ds:schemaRef ds:uri="http://purl.org/dc/elements/1.1/"/>
    <ds:schemaRef ds:uri="http://www.w3.org/XML/1998/namespace"/>
    <ds:schemaRef ds:uri="996b2e75-67fd-4955-a3b0-5ab9934cb50b"/>
    <ds:schemaRef ds:uri="http://purl.org/dc/terms/"/>
    <ds:schemaRef ds:uri="32a1a8c5-2265-4ebc-b7a0-2071e2c5c9bb"/>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A92E6A2-A6C1-479F-9BDC-B153871E5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1567</Words>
  <Characters>8639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R23-WRC23-C-0099!A27-A1!MSW-F</vt:lpstr>
      <vt:lpstr>R23-WRC23-C-0099!A27-A1!MSW-F</vt:lpstr>
    </vt:vector>
  </TitlesOfParts>
  <Manager>Secrétariat général - Pool</Manager>
  <Company>Union internationale des télécommunications (UIT)</Company>
  <LinksUpToDate>false</LinksUpToDate>
  <CharactersWithSpaces>10186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R23-WRC23-C-0099!A27-A1!MSW-F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2023-11-09T16:41:00Z</dcterms:created>
  <dcterms:modified xsi:type="dcterms:W3CDTF">2023-11-10T11:01:00Z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