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93FEE" w14:paraId="08EAC8F7" w14:textId="77777777" w:rsidTr="00F320AA">
        <w:trPr>
          <w:cantSplit/>
        </w:trPr>
        <w:tc>
          <w:tcPr>
            <w:tcW w:w="1418" w:type="dxa"/>
            <w:vAlign w:val="center"/>
          </w:tcPr>
          <w:p w14:paraId="35107DFF" w14:textId="77777777" w:rsidR="00F320AA" w:rsidRPr="00293FEE" w:rsidRDefault="00F320AA" w:rsidP="00F320AA">
            <w:pPr>
              <w:spacing w:before="0"/>
              <w:rPr>
                <w:rFonts w:ascii="Verdana" w:hAnsi="Verdana"/>
                <w:position w:val="6"/>
              </w:rPr>
            </w:pPr>
            <w:r w:rsidRPr="00293FEE">
              <w:drawing>
                <wp:inline distT="0" distB="0" distL="0" distR="0" wp14:anchorId="2601F190" wp14:editId="339CDDB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4BE7CB2" w14:textId="77777777" w:rsidR="00F320AA" w:rsidRPr="00293FEE" w:rsidRDefault="00F320AA" w:rsidP="00F320AA">
            <w:pPr>
              <w:spacing w:before="400" w:after="48" w:line="240" w:lineRule="atLeast"/>
              <w:rPr>
                <w:rFonts w:ascii="Verdana" w:hAnsi="Verdana"/>
                <w:position w:val="6"/>
              </w:rPr>
            </w:pPr>
            <w:r w:rsidRPr="00293FEE">
              <w:rPr>
                <w:rFonts w:ascii="Verdana" w:hAnsi="Verdana" w:cs="Times"/>
                <w:b/>
                <w:position w:val="6"/>
                <w:sz w:val="22"/>
                <w:szCs w:val="22"/>
              </w:rPr>
              <w:t>World Radiocommunication Conference (WRC-23)</w:t>
            </w:r>
            <w:r w:rsidRPr="00293FEE">
              <w:rPr>
                <w:rFonts w:ascii="Verdana" w:hAnsi="Verdana" w:cs="Times"/>
                <w:b/>
                <w:position w:val="6"/>
                <w:sz w:val="26"/>
                <w:szCs w:val="26"/>
              </w:rPr>
              <w:br/>
            </w:r>
            <w:r w:rsidRPr="00293FEE">
              <w:rPr>
                <w:rFonts w:ascii="Verdana" w:hAnsi="Verdana"/>
                <w:b/>
                <w:bCs/>
                <w:position w:val="6"/>
                <w:sz w:val="18"/>
                <w:szCs w:val="18"/>
              </w:rPr>
              <w:t>Dubai, 20 November - 15 December 2023</w:t>
            </w:r>
          </w:p>
        </w:tc>
        <w:tc>
          <w:tcPr>
            <w:tcW w:w="1951" w:type="dxa"/>
            <w:vAlign w:val="center"/>
          </w:tcPr>
          <w:p w14:paraId="2AC2A96F" w14:textId="77777777" w:rsidR="00F320AA" w:rsidRPr="00293FEE" w:rsidRDefault="00EB0812" w:rsidP="00F320AA">
            <w:pPr>
              <w:spacing w:before="0" w:line="240" w:lineRule="atLeast"/>
            </w:pPr>
            <w:r w:rsidRPr="00293FEE">
              <w:drawing>
                <wp:inline distT="0" distB="0" distL="0" distR="0" wp14:anchorId="23F22BAB" wp14:editId="1C81FA7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93FEE" w14:paraId="67013FED" w14:textId="77777777">
        <w:trPr>
          <w:cantSplit/>
        </w:trPr>
        <w:tc>
          <w:tcPr>
            <w:tcW w:w="6911" w:type="dxa"/>
            <w:gridSpan w:val="2"/>
            <w:tcBorders>
              <w:bottom w:val="single" w:sz="12" w:space="0" w:color="auto"/>
            </w:tcBorders>
          </w:tcPr>
          <w:p w14:paraId="322C63B4" w14:textId="77777777" w:rsidR="00A066F1" w:rsidRPr="00293FE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BF9BE2A" w14:textId="77777777" w:rsidR="00A066F1" w:rsidRPr="00293FEE" w:rsidRDefault="00A066F1" w:rsidP="00A066F1">
            <w:pPr>
              <w:spacing w:before="0" w:line="240" w:lineRule="atLeast"/>
              <w:rPr>
                <w:rFonts w:ascii="Verdana" w:hAnsi="Verdana"/>
                <w:szCs w:val="24"/>
              </w:rPr>
            </w:pPr>
          </w:p>
        </w:tc>
      </w:tr>
      <w:tr w:rsidR="00A066F1" w:rsidRPr="00293FEE" w14:paraId="779F1D58" w14:textId="77777777">
        <w:trPr>
          <w:cantSplit/>
        </w:trPr>
        <w:tc>
          <w:tcPr>
            <w:tcW w:w="6911" w:type="dxa"/>
            <w:gridSpan w:val="2"/>
            <w:tcBorders>
              <w:top w:val="single" w:sz="12" w:space="0" w:color="auto"/>
            </w:tcBorders>
          </w:tcPr>
          <w:p w14:paraId="35FE4BE1" w14:textId="77777777" w:rsidR="00A066F1" w:rsidRPr="00293FE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7B1B5FA" w14:textId="77777777" w:rsidR="00A066F1" w:rsidRPr="00293FEE" w:rsidRDefault="00A066F1" w:rsidP="00A066F1">
            <w:pPr>
              <w:spacing w:before="0" w:line="240" w:lineRule="atLeast"/>
              <w:rPr>
                <w:rFonts w:ascii="Verdana" w:hAnsi="Verdana"/>
                <w:sz w:val="20"/>
              </w:rPr>
            </w:pPr>
          </w:p>
        </w:tc>
      </w:tr>
      <w:tr w:rsidR="00A066F1" w:rsidRPr="00293FEE" w14:paraId="5D29C54B" w14:textId="77777777">
        <w:trPr>
          <w:cantSplit/>
          <w:trHeight w:val="23"/>
        </w:trPr>
        <w:tc>
          <w:tcPr>
            <w:tcW w:w="6911" w:type="dxa"/>
            <w:gridSpan w:val="2"/>
            <w:shd w:val="clear" w:color="auto" w:fill="auto"/>
          </w:tcPr>
          <w:p w14:paraId="2E35BDF8" w14:textId="77777777" w:rsidR="00A066F1" w:rsidRPr="00293FE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93FEE">
              <w:rPr>
                <w:rFonts w:ascii="Verdana" w:hAnsi="Verdana"/>
                <w:sz w:val="20"/>
                <w:szCs w:val="20"/>
              </w:rPr>
              <w:t>PLENARY MEETING</w:t>
            </w:r>
          </w:p>
        </w:tc>
        <w:tc>
          <w:tcPr>
            <w:tcW w:w="3120" w:type="dxa"/>
            <w:gridSpan w:val="2"/>
          </w:tcPr>
          <w:p w14:paraId="5EC59674" w14:textId="77777777" w:rsidR="00A066F1" w:rsidRPr="00293FEE" w:rsidRDefault="00E55816" w:rsidP="00AA666F">
            <w:pPr>
              <w:tabs>
                <w:tab w:val="left" w:pos="851"/>
              </w:tabs>
              <w:spacing w:before="0" w:line="240" w:lineRule="atLeast"/>
              <w:rPr>
                <w:rFonts w:ascii="Verdana" w:hAnsi="Verdana"/>
                <w:sz w:val="20"/>
              </w:rPr>
            </w:pPr>
            <w:r w:rsidRPr="00293FEE">
              <w:rPr>
                <w:rFonts w:ascii="Verdana" w:hAnsi="Verdana"/>
                <w:b/>
                <w:sz w:val="20"/>
              </w:rPr>
              <w:t>Addendum 1 to</w:t>
            </w:r>
            <w:r w:rsidRPr="00293FEE">
              <w:rPr>
                <w:rFonts w:ascii="Verdana" w:hAnsi="Verdana"/>
                <w:b/>
                <w:sz w:val="20"/>
              </w:rPr>
              <w:br/>
              <w:t>Document 99(Add.27)</w:t>
            </w:r>
            <w:r w:rsidR="00A066F1" w:rsidRPr="00293FEE">
              <w:rPr>
                <w:rFonts w:ascii="Verdana" w:hAnsi="Verdana"/>
                <w:b/>
                <w:sz w:val="20"/>
              </w:rPr>
              <w:t>-</w:t>
            </w:r>
            <w:r w:rsidR="005E10C9" w:rsidRPr="00293FEE">
              <w:rPr>
                <w:rFonts w:ascii="Verdana" w:hAnsi="Verdana"/>
                <w:b/>
                <w:sz w:val="20"/>
              </w:rPr>
              <w:t>E</w:t>
            </w:r>
          </w:p>
        </w:tc>
      </w:tr>
      <w:tr w:rsidR="00A066F1" w:rsidRPr="00293FEE" w14:paraId="412E441F" w14:textId="77777777">
        <w:trPr>
          <w:cantSplit/>
          <w:trHeight w:val="23"/>
        </w:trPr>
        <w:tc>
          <w:tcPr>
            <w:tcW w:w="6911" w:type="dxa"/>
            <w:gridSpan w:val="2"/>
            <w:shd w:val="clear" w:color="auto" w:fill="auto"/>
          </w:tcPr>
          <w:p w14:paraId="2682B054" w14:textId="77777777" w:rsidR="00A066F1" w:rsidRPr="00293FE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EB3576F" w14:textId="77777777" w:rsidR="00A066F1" w:rsidRPr="00293FEE" w:rsidRDefault="00420873" w:rsidP="00A066F1">
            <w:pPr>
              <w:tabs>
                <w:tab w:val="left" w:pos="993"/>
              </w:tabs>
              <w:spacing w:before="0"/>
              <w:rPr>
                <w:rFonts w:ascii="Verdana" w:hAnsi="Verdana"/>
                <w:sz w:val="20"/>
              </w:rPr>
            </w:pPr>
            <w:r w:rsidRPr="00293FEE">
              <w:rPr>
                <w:rFonts w:ascii="Verdana" w:hAnsi="Verdana"/>
                <w:b/>
                <w:sz w:val="20"/>
              </w:rPr>
              <w:t>27 October 2023</w:t>
            </w:r>
          </w:p>
        </w:tc>
      </w:tr>
      <w:tr w:rsidR="00A066F1" w:rsidRPr="00293FEE" w14:paraId="56ECE2F8" w14:textId="77777777">
        <w:trPr>
          <w:cantSplit/>
          <w:trHeight w:val="23"/>
        </w:trPr>
        <w:tc>
          <w:tcPr>
            <w:tcW w:w="6911" w:type="dxa"/>
            <w:gridSpan w:val="2"/>
            <w:shd w:val="clear" w:color="auto" w:fill="auto"/>
          </w:tcPr>
          <w:p w14:paraId="26F82A69" w14:textId="77777777" w:rsidR="00A066F1" w:rsidRPr="00293FE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97FCD1F" w14:textId="77777777" w:rsidR="00A066F1" w:rsidRPr="00293FEE" w:rsidRDefault="00E55816" w:rsidP="00A066F1">
            <w:pPr>
              <w:tabs>
                <w:tab w:val="left" w:pos="993"/>
              </w:tabs>
              <w:spacing w:before="0"/>
              <w:rPr>
                <w:rFonts w:ascii="Verdana" w:hAnsi="Verdana"/>
                <w:b/>
                <w:sz w:val="20"/>
              </w:rPr>
            </w:pPr>
            <w:r w:rsidRPr="00293FEE">
              <w:rPr>
                <w:rFonts w:ascii="Verdana" w:hAnsi="Verdana"/>
                <w:b/>
                <w:sz w:val="20"/>
              </w:rPr>
              <w:t>Original: English</w:t>
            </w:r>
          </w:p>
        </w:tc>
      </w:tr>
      <w:tr w:rsidR="00A066F1" w:rsidRPr="00293FEE" w14:paraId="2CE3E61F" w14:textId="77777777" w:rsidTr="00025864">
        <w:trPr>
          <w:cantSplit/>
          <w:trHeight w:val="23"/>
        </w:trPr>
        <w:tc>
          <w:tcPr>
            <w:tcW w:w="10031" w:type="dxa"/>
            <w:gridSpan w:val="4"/>
            <w:shd w:val="clear" w:color="auto" w:fill="auto"/>
          </w:tcPr>
          <w:p w14:paraId="58CC3396" w14:textId="77777777" w:rsidR="00A066F1" w:rsidRPr="00293FEE" w:rsidRDefault="00A066F1" w:rsidP="00A066F1">
            <w:pPr>
              <w:tabs>
                <w:tab w:val="left" w:pos="993"/>
              </w:tabs>
              <w:spacing w:before="0"/>
              <w:rPr>
                <w:rFonts w:ascii="Verdana" w:hAnsi="Verdana"/>
                <w:b/>
                <w:sz w:val="20"/>
              </w:rPr>
            </w:pPr>
          </w:p>
        </w:tc>
      </w:tr>
      <w:tr w:rsidR="00E55816" w:rsidRPr="00293FEE" w14:paraId="22B013DF" w14:textId="77777777" w:rsidTr="00025864">
        <w:trPr>
          <w:cantSplit/>
          <w:trHeight w:val="23"/>
        </w:trPr>
        <w:tc>
          <w:tcPr>
            <w:tcW w:w="10031" w:type="dxa"/>
            <w:gridSpan w:val="4"/>
            <w:shd w:val="clear" w:color="auto" w:fill="auto"/>
          </w:tcPr>
          <w:p w14:paraId="3E000AEE" w14:textId="77777777" w:rsidR="00E55816" w:rsidRPr="00293FEE" w:rsidRDefault="00884D60" w:rsidP="00E55816">
            <w:pPr>
              <w:pStyle w:val="Source"/>
            </w:pPr>
            <w:r w:rsidRPr="00293FEE">
              <w:t>Japan</w:t>
            </w:r>
          </w:p>
        </w:tc>
      </w:tr>
      <w:tr w:rsidR="00E55816" w:rsidRPr="00293FEE" w14:paraId="3B32B73A" w14:textId="77777777" w:rsidTr="00025864">
        <w:trPr>
          <w:cantSplit/>
          <w:trHeight w:val="23"/>
        </w:trPr>
        <w:tc>
          <w:tcPr>
            <w:tcW w:w="10031" w:type="dxa"/>
            <w:gridSpan w:val="4"/>
            <w:shd w:val="clear" w:color="auto" w:fill="auto"/>
          </w:tcPr>
          <w:p w14:paraId="57F70975" w14:textId="77777777" w:rsidR="00E55816" w:rsidRPr="00293FEE" w:rsidRDefault="007D5320" w:rsidP="00E55816">
            <w:pPr>
              <w:pStyle w:val="Title1"/>
            </w:pPr>
            <w:r w:rsidRPr="00293FEE">
              <w:t>PROPOSALS FOR THE WORK OF THE CONFERENCE</w:t>
            </w:r>
          </w:p>
        </w:tc>
      </w:tr>
      <w:tr w:rsidR="00E55816" w:rsidRPr="00293FEE" w14:paraId="1B1D99CA" w14:textId="77777777" w:rsidTr="00025864">
        <w:trPr>
          <w:cantSplit/>
          <w:trHeight w:val="23"/>
        </w:trPr>
        <w:tc>
          <w:tcPr>
            <w:tcW w:w="10031" w:type="dxa"/>
            <w:gridSpan w:val="4"/>
            <w:shd w:val="clear" w:color="auto" w:fill="auto"/>
          </w:tcPr>
          <w:p w14:paraId="23AC113A" w14:textId="77777777" w:rsidR="00E55816" w:rsidRPr="00293FEE" w:rsidRDefault="00E55816" w:rsidP="00E55816">
            <w:pPr>
              <w:pStyle w:val="Title2"/>
            </w:pPr>
          </w:p>
        </w:tc>
      </w:tr>
      <w:tr w:rsidR="00A538A6" w:rsidRPr="00293FEE" w14:paraId="2A35AFC5" w14:textId="77777777" w:rsidTr="00025864">
        <w:trPr>
          <w:cantSplit/>
          <w:trHeight w:val="23"/>
        </w:trPr>
        <w:tc>
          <w:tcPr>
            <w:tcW w:w="10031" w:type="dxa"/>
            <w:gridSpan w:val="4"/>
            <w:shd w:val="clear" w:color="auto" w:fill="auto"/>
          </w:tcPr>
          <w:p w14:paraId="59A1AB4E" w14:textId="77777777" w:rsidR="00A538A6" w:rsidRPr="00293FEE" w:rsidRDefault="004B13CB" w:rsidP="004B13CB">
            <w:pPr>
              <w:pStyle w:val="Agendaitem"/>
              <w:rPr>
                <w:lang w:val="en-GB"/>
              </w:rPr>
            </w:pPr>
            <w:r w:rsidRPr="00293FEE">
              <w:rPr>
                <w:lang w:val="en-GB"/>
              </w:rPr>
              <w:t>Agenda item 10</w:t>
            </w:r>
          </w:p>
        </w:tc>
      </w:tr>
    </w:tbl>
    <w:bookmarkEnd w:id="5"/>
    <w:bookmarkEnd w:id="6"/>
    <w:p w14:paraId="68A4E9A3" w14:textId="77777777" w:rsidR="00187BD9" w:rsidRPr="00293FEE" w:rsidRDefault="003E7F1F" w:rsidP="00025A01">
      <w:r w:rsidRPr="00293FEE">
        <w:t>10</w:t>
      </w:r>
      <w:r w:rsidRPr="00293FEE">
        <w:rPr>
          <w:b/>
          <w:bCs/>
        </w:rPr>
        <w:tab/>
      </w:r>
      <w:r w:rsidRPr="00293FEE">
        <w:t xml:space="preserve">to recommend to the ITU Council items for inclusion in the agenda for the next world radiocommunication conference, </w:t>
      </w:r>
      <w:r w:rsidRPr="00293FEE">
        <w:rPr>
          <w:iCs/>
        </w:rPr>
        <w:t xml:space="preserve">and items for the preliminary agenda of future conferences, </w:t>
      </w:r>
      <w:r w:rsidRPr="00293FEE">
        <w:t xml:space="preserve">in accordance with Article 7 of the ITU Convention </w:t>
      </w:r>
      <w:r w:rsidRPr="00293FEE">
        <w:rPr>
          <w:iCs/>
        </w:rPr>
        <w:t xml:space="preserve">and Resolution </w:t>
      </w:r>
      <w:r w:rsidRPr="00293FEE">
        <w:rPr>
          <w:b/>
          <w:bCs/>
          <w:iCs/>
        </w:rPr>
        <w:t>804 (Rev.WRC</w:t>
      </w:r>
      <w:r w:rsidRPr="00293FEE">
        <w:rPr>
          <w:b/>
          <w:bCs/>
          <w:iCs/>
        </w:rPr>
        <w:noBreakHyphen/>
        <w:t>19)</w:t>
      </w:r>
      <w:r w:rsidRPr="00293FEE">
        <w:rPr>
          <w:iCs/>
        </w:rPr>
        <w:t>,</w:t>
      </w:r>
    </w:p>
    <w:p w14:paraId="7BCBBE39" w14:textId="77777777" w:rsidR="003679AA" w:rsidRPr="00293FEE" w:rsidRDefault="003679AA" w:rsidP="003679AA">
      <w:pPr>
        <w:pStyle w:val="Headingb"/>
        <w:rPr>
          <w:lang w:val="en-GB"/>
        </w:rPr>
      </w:pPr>
      <w:r w:rsidRPr="00293FEE">
        <w:rPr>
          <w:lang w:val="en-GB"/>
        </w:rPr>
        <w:t>Introduction</w:t>
      </w:r>
    </w:p>
    <w:p w14:paraId="19A40096" w14:textId="7DF77AC1" w:rsidR="00241FA2" w:rsidRPr="00293FEE" w:rsidRDefault="003679AA" w:rsidP="003679AA">
      <w:pPr>
        <w:rPr>
          <w:rFonts w:eastAsia="MS PMincho"/>
          <w:lang w:eastAsia="ja-JP"/>
        </w:rPr>
      </w:pPr>
      <w:r w:rsidRPr="00293FEE">
        <w:rPr>
          <w:rFonts w:eastAsia="MS PMincho"/>
          <w:lang w:eastAsia="ja-JP"/>
        </w:rPr>
        <w:t xml:space="preserve">Japan proposes a new agenda item for WRC-27 to consider new allocations to the </w:t>
      </w:r>
      <w:r w:rsidR="00113956" w:rsidRPr="00293FEE">
        <w:rPr>
          <w:rFonts w:eastAsia="MS PMincho"/>
          <w:lang w:eastAsia="ja-JP"/>
        </w:rPr>
        <w:t>mobile</w:t>
      </w:r>
      <w:r w:rsidR="00AF1DF8" w:rsidRPr="00293FEE">
        <w:rPr>
          <w:rFonts w:eastAsia="MS PMincho"/>
          <w:lang w:eastAsia="ja-JP"/>
        </w:rPr>
        <w:t>-</w:t>
      </w:r>
      <w:r w:rsidR="00113956" w:rsidRPr="00293FEE">
        <w:rPr>
          <w:rFonts w:eastAsia="MS PMincho"/>
          <w:lang w:eastAsia="ja-JP"/>
        </w:rPr>
        <w:t xml:space="preserve">satellite service </w:t>
      </w:r>
      <w:r w:rsidRPr="00293FEE">
        <w:rPr>
          <w:rFonts w:eastAsia="MS PMincho"/>
          <w:lang w:eastAsia="ja-JP"/>
        </w:rPr>
        <w:t>(MSS) intended to use only for direct communications between non-GSO satellite and IMT user equipment in terrestrial IMT systems with a view to ensuring the protection of services to which the frequency bands are allocated on a primary basis, in the frequency bands of 698-960</w:t>
      </w:r>
      <w:r w:rsidR="00672EEC" w:rsidRPr="00293FEE">
        <w:rPr>
          <w:rFonts w:eastAsia="MS PMincho"/>
          <w:lang w:eastAsia="ja-JP"/>
        </w:rPr>
        <w:t> </w:t>
      </w:r>
      <w:r w:rsidRPr="00293FEE">
        <w:rPr>
          <w:rFonts w:eastAsia="MS PMincho"/>
          <w:lang w:eastAsia="ja-JP"/>
        </w:rPr>
        <w:t>MHz, 1</w:t>
      </w:r>
      <w:r w:rsidRPr="00293FEE">
        <w:rPr>
          <w:rFonts w:eastAsiaTheme="minorEastAsia"/>
          <w:lang w:eastAsia="ja-JP"/>
        </w:rPr>
        <w:t> </w:t>
      </w:r>
      <w:r w:rsidRPr="00293FEE">
        <w:rPr>
          <w:rFonts w:eastAsia="MS PMincho"/>
          <w:lang w:eastAsia="ja-JP"/>
        </w:rPr>
        <w:t>427-1</w:t>
      </w:r>
      <w:r w:rsidRPr="00293FEE">
        <w:rPr>
          <w:rFonts w:eastAsiaTheme="minorEastAsia"/>
          <w:lang w:eastAsia="ja-JP"/>
        </w:rPr>
        <w:t> </w:t>
      </w:r>
      <w:r w:rsidRPr="00293FEE">
        <w:rPr>
          <w:rFonts w:eastAsia="MS PMincho"/>
          <w:lang w:eastAsia="ja-JP"/>
        </w:rPr>
        <w:t>518 MHz, 1</w:t>
      </w:r>
      <w:r w:rsidRPr="00293FEE">
        <w:rPr>
          <w:rFonts w:eastAsiaTheme="minorEastAsia"/>
          <w:lang w:eastAsia="ja-JP"/>
        </w:rPr>
        <w:t> </w:t>
      </w:r>
      <w:r w:rsidRPr="00293FEE">
        <w:rPr>
          <w:rFonts w:eastAsia="MS PMincho"/>
          <w:lang w:eastAsia="ja-JP"/>
        </w:rPr>
        <w:t>710</w:t>
      </w:r>
      <w:r w:rsidR="001F151C" w:rsidRPr="00293FEE">
        <w:rPr>
          <w:rFonts w:eastAsia="MS PMincho"/>
          <w:lang w:eastAsia="ja-JP"/>
        </w:rPr>
        <w:t>-</w:t>
      </w:r>
      <w:r w:rsidRPr="00293FEE">
        <w:rPr>
          <w:rFonts w:eastAsia="MS PMincho"/>
          <w:lang w:eastAsia="ja-JP"/>
        </w:rPr>
        <w:t>1</w:t>
      </w:r>
      <w:r w:rsidRPr="00293FEE">
        <w:rPr>
          <w:rFonts w:eastAsiaTheme="minorEastAsia"/>
          <w:lang w:eastAsia="ja-JP"/>
        </w:rPr>
        <w:t> </w:t>
      </w:r>
      <w:r w:rsidRPr="00293FEE">
        <w:rPr>
          <w:rFonts w:eastAsia="MS PMincho"/>
          <w:lang w:eastAsia="ja-JP"/>
        </w:rPr>
        <w:t>980 MHz, 2</w:t>
      </w:r>
      <w:r w:rsidRPr="00293FEE">
        <w:rPr>
          <w:rFonts w:eastAsiaTheme="minorEastAsia"/>
          <w:lang w:eastAsia="ja-JP"/>
        </w:rPr>
        <w:t> </w:t>
      </w:r>
      <w:r w:rsidRPr="00293FEE">
        <w:rPr>
          <w:rFonts w:eastAsia="MS PMincho"/>
          <w:lang w:eastAsia="ja-JP"/>
        </w:rPr>
        <w:t>010-2</w:t>
      </w:r>
      <w:r w:rsidRPr="00293FEE">
        <w:rPr>
          <w:rFonts w:eastAsiaTheme="minorEastAsia"/>
          <w:lang w:eastAsia="ja-JP"/>
        </w:rPr>
        <w:t> </w:t>
      </w:r>
      <w:r w:rsidRPr="00293FEE">
        <w:rPr>
          <w:rFonts w:eastAsia="MS PMincho"/>
          <w:lang w:eastAsia="ja-JP"/>
        </w:rPr>
        <w:t>025 MHz and 2</w:t>
      </w:r>
      <w:r w:rsidRPr="00293FEE">
        <w:rPr>
          <w:rFonts w:eastAsiaTheme="minorEastAsia"/>
          <w:lang w:eastAsia="ja-JP"/>
        </w:rPr>
        <w:t> </w:t>
      </w:r>
      <w:r w:rsidRPr="00293FEE">
        <w:rPr>
          <w:rFonts w:eastAsia="MS PMincho"/>
          <w:lang w:eastAsia="ja-JP"/>
        </w:rPr>
        <w:t>110-2</w:t>
      </w:r>
      <w:r w:rsidRPr="00293FEE">
        <w:rPr>
          <w:rFonts w:eastAsiaTheme="minorEastAsia"/>
          <w:lang w:eastAsia="ja-JP"/>
        </w:rPr>
        <w:t> </w:t>
      </w:r>
      <w:r w:rsidRPr="00293FEE">
        <w:rPr>
          <w:rFonts w:eastAsia="MS PMincho"/>
          <w:lang w:eastAsia="ja-JP"/>
        </w:rPr>
        <w:t xml:space="preserve">170 MHz identified to terrestrial component of IMT, </w:t>
      </w:r>
      <w:r w:rsidRPr="00293FEE">
        <w:rPr>
          <w:lang w:eastAsia="ja-JP"/>
        </w:rPr>
        <w:t>under the condition that the newly allocated MSS shall not cause harmful interference to, nor claim protection from, the stations of other services allocated on a primary basis, including the terrestrial IMT systems in the neighbouring countries.</w:t>
      </w:r>
    </w:p>
    <w:p w14:paraId="1F3E9853" w14:textId="5EDD37D5" w:rsidR="006D1EED" w:rsidRPr="00293FEE" w:rsidRDefault="006D1EED" w:rsidP="006D1EED">
      <w:pPr>
        <w:pStyle w:val="Headingb"/>
        <w:rPr>
          <w:lang w:val="en-GB"/>
        </w:rPr>
      </w:pPr>
      <w:r w:rsidRPr="00293FEE">
        <w:rPr>
          <w:lang w:val="en-GB"/>
        </w:rPr>
        <w:t>Proposal</w:t>
      </w:r>
    </w:p>
    <w:p w14:paraId="43B74353" w14:textId="77777777" w:rsidR="00187BD9" w:rsidRPr="00293FEE" w:rsidRDefault="00187BD9" w:rsidP="00187BD9">
      <w:pPr>
        <w:tabs>
          <w:tab w:val="clear" w:pos="1134"/>
          <w:tab w:val="clear" w:pos="1871"/>
          <w:tab w:val="clear" w:pos="2268"/>
        </w:tabs>
        <w:overflowPunct/>
        <w:autoSpaceDE/>
        <w:autoSpaceDN/>
        <w:adjustRightInd/>
        <w:spacing w:before="0"/>
        <w:textAlignment w:val="auto"/>
      </w:pPr>
      <w:r w:rsidRPr="00293FEE">
        <w:br w:type="page"/>
      </w:r>
    </w:p>
    <w:p w14:paraId="689E8FE8" w14:textId="77777777" w:rsidR="00E51B6D" w:rsidRPr="00293FEE" w:rsidRDefault="003E7F1F">
      <w:pPr>
        <w:pStyle w:val="Proposal"/>
      </w:pPr>
      <w:r w:rsidRPr="00293FEE">
        <w:lastRenderedPageBreak/>
        <w:t>ADD</w:t>
      </w:r>
      <w:r w:rsidRPr="00293FEE">
        <w:tab/>
        <w:t>J/99A27A1/1</w:t>
      </w:r>
    </w:p>
    <w:p w14:paraId="3EA21FD0" w14:textId="326C18C6" w:rsidR="00323A8A" w:rsidRPr="00293FEE" w:rsidRDefault="00323A8A" w:rsidP="00AF1DF8">
      <w:pPr>
        <w:pStyle w:val="ResNo"/>
      </w:pPr>
      <w:bookmarkStart w:id="7" w:name="_Toc450048854"/>
      <w:r w:rsidRPr="00293FEE">
        <w:t>RESOLUTION [below 2.2</w:t>
      </w:r>
      <w:r w:rsidR="00A87403" w:rsidRPr="00293FEE">
        <w:t> </w:t>
      </w:r>
      <w:r w:rsidRPr="00293FEE">
        <w:t>GHz MSS for IMT] (WRC</w:t>
      </w:r>
      <w:r w:rsidR="00A87403" w:rsidRPr="00293FEE">
        <w:noBreakHyphen/>
      </w:r>
      <w:r w:rsidRPr="00293FEE">
        <w:t>23)</w:t>
      </w:r>
      <w:bookmarkEnd w:id="7"/>
    </w:p>
    <w:p w14:paraId="7D621619" w14:textId="13C0F976" w:rsidR="00B86BEE" w:rsidRPr="00293FEE" w:rsidRDefault="00B86BEE" w:rsidP="00B86BEE">
      <w:pPr>
        <w:pStyle w:val="Restitle"/>
      </w:pPr>
      <w:bookmarkStart w:id="8" w:name="_Toc319401924"/>
      <w:bookmarkStart w:id="9" w:name="_Toc450048855"/>
      <w:r w:rsidRPr="00293FEE">
        <w:t>Studies on frequency-related matters of the bands below 2.2</w:t>
      </w:r>
      <w:r w:rsidR="00A87403" w:rsidRPr="00293FEE">
        <w:t> </w:t>
      </w:r>
      <w:r w:rsidRPr="00293FEE">
        <w:t>GHz identified to IMT for the future development of mobile-satellite systems</w:t>
      </w:r>
      <w:bookmarkEnd w:id="8"/>
      <w:bookmarkEnd w:id="9"/>
    </w:p>
    <w:p w14:paraId="11BE3211" w14:textId="77777777" w:rsidR="001E7A9E" w:rsidRPr="00293FEE" w:rsidRDefault="001E7A9E" w:rsidP="00AF1DF8">
      <w:pPr>
        <w:pStyle w:val="Normalaftertitle"/>
      </w:pPr>
      <w:r w:rsidRPr="00293FEE">
        <w:t>The World Radiocommunication Conference (Dubai, 2023),</w:t>
      </w:r>
    </w:p>
    <w:p w14:paraId="48937A5C" w14:textId="77777777" w:rsidR="001E7A9E" w:rsidRPr="00293FEE" w:rsidRDefault="001E7A9E" w:rsidP="001E7A9E">
      <w:pPr>
        <w:pStyle w:val="Call"/>
        <w:rPr>
          <w:lang w:eastAsia="ko-KR"/>
        </w:rPr>
      </w:pPr>
      <w:r w:rsidRPr="00293FEE">
        <w:t>considering</w:t>
      </w:r>
    </w:p>
    <w:p w14:paraId="5CCA0080" w14:textId="6D0CDF88" w:rsidR="001E7A9E" w:rsidRPr="00293FEE" w:rsidRDefault="00AF1DF8" w:rsidP="00AF1DF8">
      <w:r w:rsidRPr="00293FEE">
        <w:rPr>
          <w:i/>
          <w:iCs/>
        </w:rPr>
        <w:t>a)</w:t>
      </w:r>
      <w:r w:rsidRPr="00293FEE">
        <w:tab/>
      </w:r>
      <w:r w:rsidR="001E7A9E" w:rsidRPr="00293FEE">
        <w:t xml:space="preserve">that there may be a need for additional frequency bands allocated to the </w:t>
      </w:r>
      <w:r w:rsidR="004B4B39" w:rsidRPr="00293FEE">
        <w:t xml:space="preserve">mobile-satellite </w:t>
      </w:r>
      <w:r w:rsidR="003F653E" w:rsidRPr="00293FEE">
        <w:t>service</w:t>
      </w:r>
      <w:r w:rsidR="004B4B39" w:rsidRPr="00293FEE">
        <w:t xml:space="preserve"> (</w:t>
      </w:r>
      <w:r w:rsidR="001E7A9E" w:rsidRPr="00293FEE">
        <w:t>MSS</w:t>
      </w:r>
      <w:r w:rsidR="004B4B39" w:rsidRPr="00293FEE">
        <w:t>)</w:t>
      </w:r>
      <w:r w:rsidR="001E7A9E" w:rsidRPr="00293FEE">
        <w:t xml:space="preserve"> below 2.2</w:t>
      </w:r>
      <w:r w:rsidR="00611739" w:rsidRPr="00293FEE">
        <w:t> </w:t>
      </w:r>
      <w:r w:rsidR="001E7A9E" w:rsidRPr="00293FEE">
        <w:t xml:space="preserve">GHz to complement the terrestrial component of </w:t>
      </w:r>
      <w:r w:rsidR="00B75B0C" w:rsidRPr="00293FEE">
        <w:t>International Mobile Telecommunications (</w:t>
      </w:r>
      <w:r w:rsidR="001E7A9E" w:rsidRPr="00293FEE">
        <w:t>IMT</w:t>
      </w:r>
      <w:r w:rsidR="00B75B0C" w:rsidRPr="00293FEE">
        <w:t>)</w:t>
      </w:r>
      <w:r w:rsidR="001E7A9E" w:rsidRPr="00293FEE">
        <w:t xml:space="preserve"> for mobile users globally;</w:t>
      </w:r>
    </w:p>
    <w:p w14:paraId="4C82099D" w14:textId="585919FE" w:rsidR="001E7A9E" w:rsidRPr="00293FEE" w:rsidRDefault="00AF1DF8" w:rsidP="00AF1DF8">
      <w:r w:rsidRPr="00293FEE">
        <w:rPr>
          <w:i/>
          <w:iCs/>
        </w:rPr>
        <w:t>b)</w:t>
      </w:r>
      <w:r w:rsidRPr="00293FEE">
        <w:tab/>
      </w:r>
      <w:r w:rsidR="001E7A9E" w:rsidRPr="00293FEE">
        <w:rPr>
          <w:rFonts w:eastAsia="MS Mincho"/>
        </w:rPr>
        <w:t xml:space="preserve">that some satellite network operators are collaborating with terrestrial IMT network operators around the world to develop a network enabling direct communications between </w:t>
      </w:r>
      <w:r w:rsidR="001E7A9E" w:rsidRPr="00293FEE">
        <w:t>mobile-satellite system</w:t>
      </w:r>
      <w:r w:rsidR="00B75B0C" w:rsidRPr="00293FEE">
        <w:t>s</w:t>
      </w:r>
      <w:r w:rsidR="001E7A9E" w:rsidRPr="00293FEE">
        <w:rPr>
          <w:rFonts w:eastAsia="MS Mincho"/>
        </w:rPr>
        <w:t xml:space="preserve"> and existing IMT user equipment (UE) using the frequency bands identified to IMT in the Radio Regulations (RR);</w:t>
      </w:r>
    </w:p>
    <w:p w14:paraId="33B7A114" w14:textId="6D471BE2" w:rsidR="001E7A9E" w:rsidRPr="00293FEE" w:rsidRDefault="00AF1DF8" w:rsidP="00AF1DF8">
      <w:r w:rsidRPr="00293FEE">
        <w:rPr>
          <w:i/>
          <w:iCs/>
        </w:rPr>
        <w:t>c)</w:t>
      </w:r>
      <w:r w:rsidRPr="00293FEE">
        <w:tab/>
      </w:r>
      <w:r w:rsidR="001E7A9E" w:rsidRPr="00293FEE">
        <w:t>that mobile-satellite system</w:t>
      </w:r>
      <w:r w:rsidR="00B75B0C" w:rsidRPr="00293FEE">
        <w:t>s</w:t>
      </w:r>
      <w:r w:rsidR="001E7A9E" w:rsidRPr="00293FEE">
        <w:t xml:space="preserve"> may provide supplemental coverage for mobile connectivity from space as a part of IMT systems to areas such as </w:t>
      </w:r>
      <w:r w:rsidR="001E7A9E" w:rsidRPr="00293FEE">
        <w:rPr>
          <w:rFonts w:eastAsia="MS PMincho"/>
          <w:lang w:eastAsia="ja-JP"/>
        </w:rPr>
        <w:t>high mountains, remote islands and deserts, where reliable power sources along with other infrastructure are not sufficient to deploy terrestrial base stations</w:t>
      </w:r>
      <w:r w:rsidR="001E7A9E" w:rsidRPr="00293FEE">
        <w:t>;</w:t>
      </w:r>
    </w:p>
    <w:p w14:paraId="26AB5C53" w14:textId="3E268ED4" w:rsidR="001E7A9E" w:rsidRPr="00293FEE" w:rsidRDefault="00AF1DF8" w:rsidP="00AF1DF8">
      <w:r w:rsidRPr="00293FEE">
        <w:rPr>
          <w:i/>
          <w:iCs/>
        </w:rPr>
        <w:t>d)</w:t>
      </w:r>
      <w:r w:rsidRPr="00293FEE">
        <w:tab/>
      </w:r>
      <w:r w:rsidR="001E7A9E" w:rsidRPr="00293FEE">
        <w:t xml:space="preserve">that the mobile-satellite system may provide </w:t>
      </w:r>
      <w:r w:rsidR="001E7A9E" w:rsidRPr="00293FEE">
        <w:rPr>
          <w:rFonts w:eastAsia="MS PMincho"/>
          <w:lang w:eastAsia="ja-JP"/>
        </w:rPr>
        <w:t>alternative network resilience in case of failure of terrestrial IMT base stations due to unexpected incidents, such as natural disasters and network outages;</w:t>
      </w:r>
    </w:p>
    <w:p w14:paraId="1701B0C0" w14:textId="1DAF8AEC" w:rsidR="001E7A9E" w:rsidRPr="00293FEE" w:rsidRDefault="00AF1DF8" w:rsidP="00AF1DF8">
      <w:r w:rsidRPr="00293FEE">
        <w:rPr>
          <w:i/>
          <w:iCs/>
        </w:rPr>
        <w:t>e)</w:t>
      </w:r>
      <w:r w:rsidRPr="00293FEE">
        <w:tab/>
      </w:r>
      <w:r w:rsidR="001E7A9E" w:rsidRPr="00293FEE">
        <w:rPr>
          <w:rFonts w:eastAsia="MS Mincho"/>
        </w:rPr>
        <w:t>that IMT systems have evolved significantly in terms of spectrum identification, network deployment and radio access technology, with the standardization of IMT</w:t>
      </w:r>
      <w:r w:rsidR="001E7A9E" w:rsidRPr="00293FEE">
        <w:rPr>
          <w:rFonts w:eastAsia="MS Mincho"/>
        </w:rPr>
        <w:noBreakHyphen/>
        <w:t>Advanced and IMT</w:t>
      </w:r>
      <w:r w:rsidR="001E7A9E" w:rsidRPr="00293FEE">
        <w:rPr>
          <w:rFonts w:eastAsia="MS Mincho"/>
        </w:rPr>
        <w:noBreakHyphen/>
        <w:t>2020;</w:t>
      </w:r>
    </w:p>
    <w:p w14:paraId="36E66C00" w14:textId="68748EC9" w:rsidR="001E7A9E" w:rsidRPr="00293FEE" w:rsidRDefault="00AF1DF8" w:rsidP="00AF1DF8">
      <w:r w:rsidRPr="00293FEE">
        <w:rPr>
          <w:i/>
          <w:iCs/>
        </w:rPr>
        <w:t>f)</w:t>
      </w:r>
      <w:r w:rsidRPr="00293FEE">
        <w:tab/>
      </w:r>
      <w:r w:rsidR="001E7A9E" w:rsidRPr="00293FEE">
        <w:rPr>
          <w:rFonts w:eastAsia="MS Mincho"/>
        </w:rPr>
        <w:t>that studies of new IMT network topologies may provide increased spectrum efficiency for the frequency bands already identified to IMT;</w:t>
      </w:r>
    </w:p>
    <w:p w14:paraId="40CA02F5" w14:textId="55ABF153" w:rsidR="001E7A9E" w:rsidRPr="00293FEE" w:rsidRDefault="00AF1DF8" w:rsidP="00AF1DF8">
      <w:r w:rsidRPr="00293FEE">
        <w:rPr>
          <w:i/>
          <w:iCs/>
        </w:rPr>
        <w:t>g)</w:t>
      </w:r>
      <w:r w:rsidRPr="00293FEE">
        <w:tab/>
      </w:r>
      <w:r w:rsidR="001E7A9E" w:rsidRPr="00293FEE">
        <w:t xml:space="preserve">that </w:t>
      </w:r>
      <w:r w:rsidR="00293FEE" w:rsidRPr="00293FEE">
        <w:t xml:space="preserve">the </w:t>
      </w:r>
      <w:r w:rsidR="001E7A9E" w:rsidRPr="00293FEE">
        <w:t>non-terrestrial network (NTN) is expected to be one of the technology enablers to enhance IMT-2030 terrestrial network</w:t>
      </w:r>
      <w:r w:rsidR="00611739" w:rsidRPr="00293FEE">
        <w:t>;</w:t>
      </w:r>
    </w:p>
    <w:p w14:paraId="20E04B5F" w14:textId="6D2ED4F1" w:rsidR="001E7A9E" w:rsidRPr="00293FEE" w:rsidRDefault="00AF1DF8" w:rsidP="00AF1DF8">
      <w:r w:rsidRPr="00293FEE">
        <w:rPr>
          <w:i/>
          <w:iCs/>
        </w:rPr>
        <w:t>h)</w:t>
      </w:r>
      <w:r w:rsidRPr="00293FEE">
        <w:tab/>
      </w:r>
      <w:r w:rsidR="001E7A9E" w:rsidRPr="00293FEE">
        <w:t>that mobile-satellite system</w:t>
      </w:r>
      <w:r w:rsidR="00A87403" w:rsidRPr="00293FEE">
        <w:t>s</w:t>
      </w:r>
      <w:r w:rsidR="001E7A9E" w:rsidRPr="00293FEE">
        <w:t xml:space="preserve"> may provide mobile connectivity to underserved communities and in rural and remote areas;</w:t>
      </w:r>
    </w:p>
    <w:p w14:paraId="57B8313C" w14:textId="4D0637A9" w:rsidR="001E7A9E" w:rsidRPr="00293FEE" w:rsidRDefault="00AF1DF8" w:rsidP="00AF1DF8">
      <w:r w:rsidRPr="00293FEE">
        <w:rPr>
          <w:i/>
          <w:iCs/>
        </w:rPr>
        <w:t>i)</w:t>
      </w:r>
      <w:r w:rsidRPr="00293FEE">
        <w:tab/>
      </w:r>
      <w:r w:rsidR="001E7A9E" w:rsidRPr="00293FEE">
        <w:t>that ITU</w:t>
      </w:r>
      <w:r w:rsidR="001E7A9E" w:rsidRPr="00293FEE">
        <w:noBreakHyphen/>
        <w:t>R has performed studies on integrated MSS and ground component systems, and that some administrations have performed such usage;</w:t>
      </w:r>
    </w:p>
    <w:p w14:paraId="5045ADB4" w14:textId="2B1CC1E7" w:rsidR="001E7A9E" w:rsidRPr="00293FEE" w:rsidRDefault="00AF1DF8" w:rsidP="00AF1DF8">
      <w:r w:rsidRPr="00293FEE">
        <w:rPr>
          <w:i/>
          <w:iCs/>
        </w:rPr>
        <w:t>j)</w:t>
      </w:r>
      <w:r w:rsidRPr="00293FEE">
        <w:tab/>
      </w:r>
      <w:r w:rsidR="00E81C87" w:rsidRPr="00293FEE">
        <w:t xml:space="preserve">with </w:t>
      </w:r>
      <w:r w:rsidR="001E7A9E" w:rsidRPr="00293FEE">
        <w:t>the development of technology, mobile-satellite system</w:t>
      </w:r>
      <w:r w:rsidR="00A87403" w:rsidRPr="00293FEE">
        <w:t>s</w:t>
      </w:r>
      <w:r w:rsidR="001E7A9E" w:rsidRPr="00293FEE">
        <w:t xml:space="preserve"> can be compatible and shared with existing services under specific technical method</w:t>
      </w:r>
      <w:r w:rsidR="00A87403" w:rsidRPr="00293FEE">
        <w:t>s</w:t>
      </w:r>
      <w:r w:rsidR="001E7A9E" w:rsidRPr="00293FEE">
        <w:t xml:space="preserve"> and conditions below 2.2</w:t>
      </w:r>
      <w:r w:rsidR="00A87403" w:rsidRPr="00293FEE">
        <w:t> </w:t>
      </w:r>
      <w:r w:rsidR="001E7A9E" w:rsidRPr="00293FEE">
        <w:t>GHz;</w:t>
      </w:r>
    </w:p>
    <w:p w14:paraId="1C25A33E" w14:textId="18371E44" w:rsidR="001E7A9E" w:rsidRPr="00293FEE" w:rsidRDefault="00AF1DF8" w:rsidP="00AF1DF8">
      <w:r w:rsidRPr="00293FEE">
        <w:rPr>
          <w:i/>
          <w:iCs/>
        </w:rPr>
        <w:t>k)</w:t>
      </w:r>
      <w:r w:rsidRPr="00293FEE">
        <w:tab/>
      </w:r>
      <w:r w:rsidR="001E7A9E" w:rsidRPr="00293FEE">
        <w:t>that in consideration of the frequency band below 2.2</w:t>
      </w:r>
      <w:r w:rsidR="00A87403" w:rsidRPr="00293FEE">
        <w:t> </w:t>
      </w:r>
      <w:r w:rsidR="001E7A9E" w:rsidRPr="00293FEE">
        <w:t>GHz for new allocation of MSS, there is a need to determine the co-existence conditions and regulatory provisions between the services sharing this band</w:t>
      </w:r>
      <w:r w:rsidR="00E7212B" w:rsidRPr="00293FEE">
        <w:t>,</w:t>
      </w:r>
    </w:p>
    <w:p w14:paraId="6AF4349F" w14:textId="77777777" w:rsidR="001E7A9E" w:rsidRPr="00293FEE" w:rsidRDefault="001E7A9E" w:rsidP="008B45C2">
      <w:pPr>
        <w:pStyle w:val="Call"/>
        <w:rPr>
          <w:i w:val="0"/>
          <w:iCs/>
          <w:lang w:eastAsia="ja-JP"/>
        </w:rPr>
      </w:pPr>
      <w:r w:rsidRPr="00293FEE">
        <w:rPr>
          <w:lang w:eastAsia="ja-JP"/>
        </w:rPr>
        <w:t>recognizing</w:t>
      </w:r>
    </w:p>
    <w:p w14:paraId="3593B352" w14:textId="033EBD79" w:rsidR="001E7A9E" w:rsidRPr="00293FEE" w:rsidRDefault="00AF1DF8" w:rsidP="00AF1DF8">
      <w:r w:rsidRPr="00293FEE">
        <w:rPr>
          <w:i/>
          <w:iCs/>
        </w:rPr>
        <w:t>a)</w:t>
      </w:r>
      <w:r w:rsidRPr="00293FEE">
        <w:tab/>
      </w:r>
      <w:r w:rsidR="001E7A9E" w:rsidRPr="00293FEE">
        <w:t>that the frequency band 698-960</w:t>
      </w:r>
      <w:r w:rsidR="00A87403" w:rsidRPr="00293FEE">
        <w:t> </w:t>
      </w:r>
      <w:r w:rsidR="001E7A9E" w:rsidRPr="00293FEE">
        <w:t xml:space="preserve">MHz </w:t>
      </w:r>
      <w:r w:rsidR="001E7A9E" w:rsidRPr="00293FEE">
        <w:rPr>
          <w:rFonts w:eastAsiaTheme="minorEastAsia"/>
          <w:lang w:eastAsia="ja-JP"/>
        </w:rPr>
        <w:t>is</w:t>
      </w:r>
      <w:r w:rsidR="001E7A9E" w:rsidRPr="00293FEE">
        <w:t xml:space="preserve"> identified to IMT in accordance with Nos.</w:t>
      </w:r>
      <w:r w:rsidR="00A87403" w:rsidRPr="00293FEE">
        <w:t> </w:t>
      </w:r>
      <w:r w:rsidR="001E7A9E" w:rsidRPr="00293FEE">
        <w:rPr>
          <w:b/>
          <w:bCs/>
        </w:rPr>
        <w:t>5.313A</w:t>
      </w:r>
      <w:r w:rsidR="001E7A9E" w:rsidRPr="00293FEE">
        <w:t xml:space="preserve"> and</w:t>
      </w:r>
      <w:r w:rsidR="00A87403" w:rsidRPr="00293FEE">
        <w:t> </w:t>
      </w:r>
      <w:r w:rsidR="001E7A9E" w:rsidRPr="00293FEE">
        <w:rPr>
          <w:b/>
          <w:bCs/>
        </w:rPr>
        <w:t>5.317A</w:t>
      </w:r>
      <w:r w:rsidR="001E7A9E" w:rsidRPr="00293FEE">
        <w:t>;</w:t>
      </w:r>
    </w:p>
    <w:p w14:paraId="7E53187E" w14:textId="54CD19C8" w:rsidR="001E7A9E" w:rsidRPr="00293FEE" w:rsidRDefault="00AF1DF8" w:rsidP="00AF1DF8">
      <w:r w:rsidRPr="00293FEE">
        <w:rPr>
          <w:i/>
          <w:iCs/>
        </w:rPr>
        <w:lastRenderedPageBreak/>
        <w:t>b)</w:t>
      </w:r>
      <w:r w:rsidRPr="00293FEE">
        <w:tab/>
      </w:r>
      <w:r w:rsidR="001E7A9E" w:rsidRPr="00293FEE">
        <w:rPr>
          <w:rFonts w:eastAsia="SimSun"/>
          <w:lang w:eastAsia="zh-CN"/>
        </w:rPr>
        <w:t>that the frequency bands 1</w:t>
      </w:r>
      <w:r w:rsidR="001E7A9E" w:rsidRPr="00293FEE">
        <w:rPr>
          <w:rFonts w:eastAsiaTheme="minorEastAsia"/>
          <w:lang w:eastAsia="ja-JP"/>
        </w:rPr>
        <w:t> </w:t>
      </w:r>
      <w:r w:rsidR="001E7A9E" w:rsidRPr="00293FEE">
        <w:rPr>
          <w:rFonts w:eastAsia="SimSun"/>
          <w:lang w:eastAsia="zh-CN"/>
        </w:rPr>
        <w:t>427-1</w:t>
      </w:r>
      <w:r w:rsidR="001E7A9E" w:rsidRPr="00293FEE">
        <w:rPr>
          <w:rFonts w:eastAsiaTheme="minorEastAsia"/>
          <w:lang w:eastAsia="ja-JP"/>
        </w:rPr>
        <w:t> </w:t>
      </w:r>
      <w:r w:rsidR="001E7A9E" w:rsidRPr="00293FEE">
        <w:rPr>
          <w:rFonts w:eastAsia="SimSun"/>
          <w:lang w:eastAsia="zh-CN"/>
        </w:rPr>
        <w:t>452</w:t>
      </w:r>
      <w:r w:rsidR="00A87403" w:rsidRPr="00293FEE">
        <w:rPr>
          <w:rFonts w:eastAsia="SimSun"/>
          <w:lang w:eastAsia="zh-CN"/>
        </w:rPr>
        <w:t> </w:t>
      </w:r>
      <w:r w:rsidR="001E7A9E" w:rsidRPr="00293FEE">
        <w:rPr>
          <w:rFonts w:eastAsia="SimSun"/>
          <w:lang w:eastAsia="zh-CN"/>
        </w:rPr>
        <w:t>MHz, 1</w:t>
      </w:r>
      <w:r w:rsidR="001E7A9E" w:rsidRPr="00293FEE">
        <w:rPr>
          <w:rFonts w:eastAsiaTheme="minorEastAsia"/>
          <w:lang w:eastAsia="ja-JP"/>
        </w:rPr>
        <w:t> </w:t>
      </w:r>
      <w:r w:rsidR="001E7A9E" w:rsidRPr="00293FEE">
        <w:rPr>
          <w:rFonts w:eastAsia="SimSun"/>
          <w:lang w:eastAsia="zh-CN"/>
        </w:rPr>
        <w:t>452-1</w:t>
      </w:r>
      <w:r w:rsidR="001E7A9E" w:rsidRPr="00293FEE">
        <w:rPr>
          <w:rFonts w:eastAsiaTheme="minorEastAsia"/>
          <w:lang w:eastAsia="ja-JP"/>
        </w:rPr>
        <w:t> </w:t>
      </w:r>
      <w:r w:rsidR="001E7A9E" w:rsidRPr="00293FEE">
        <w:rPr>
          <w:rFonts w:eastAsia="SimSun"/>
          <w:lang w:eastAsia="zh-CN"/>
        </w:rPr>
        <w:t>492</w:t>
      </w:r>
      <w:r w:rsidR="00A87403" w:rsidRPr="00293FEE">
        <w:rPr>
          <w:rFonts w:eastAsia="SimSun"/>
          <w:lang w:eastAsia="zh-CN"/>
        </w:rPr>
        <w:t> </w:t>
      </w:r>
      <w:r w:rsidR="001E7A9E" w:rsidRPr="00293FEE">
        <w:rPr>
          <w:rFonts w:eastAsia="SimSun"/>
          <w:lang w:eastAsia="zh-CN"/>
        </w:rPr>
        <w:t>MHz and 1</w:t>
      </w:r>
      <w:r w:rsidR="001E7A9E" w:rsidRPr="00293FEE">
        <w:rPr>
          <w:rFonts w:eastAsiaTheme="minorEastAsia"/>
          <w:lang w:eastAsia="ja-JP"/>
        </w:rPr>
        <w:t> </w:t>
      </w:r>
      <w:r w:rsidR="001E7A9E" w:rsidRPr="00293FEE">
        <w:rPr>
          <w:rFonts w:eastAsia="SimSun"/>
          <w:lang w:eastAsia="zh-CN"/>
        </w:rPr>
        <w:t>492-1</w:t>
      </w:r>
      <w:r w:rsidR="001E7A9E" w:rsidRPr="00293FEE">
        <w:rPr>
          <w:rFonts w:eastAsiaTheme="minorEastAsia"/>
          <w:lang w:eastAsia="ja-JP"/>
        </w:rPr>
        <w:t> </w:t>
      </w:r>
      <w:r w:rsidR="001E7A9E" w:rsidRPr="00293FEE">
        <w:rPr>
          <w:rFonts w:eastAsia="SimSun"/>
          <w:lang w:eastAsia="zh-CN"/>
        </w:rPr>
        <w:t>518</w:t>
      </w:r>
      <w:r w:rsidR="00A87403" w:rsidRPr="00293FEE">
        <w:rPr>
          <w:rFonts w:eastAsia="SimSun"/>
          <w:lang w:eastAsia="zh-CN"/>
        </w:rPr>
        <w:t> </w:t>
      </w:r>
      <w:r w:rsidR="001E7A9E" w:rsidRPr="00293FEE">
        <w:rPr>
          <w:rFonts w:eastAsia="SimSun"/>
          <w:lang w:eastAsia="zh-CN"/>
        </w:rPr>
        <w:t xml:space="preserve">MHz are </w:t>
      </w:r>
      <w:r w:rsidR="001E7A9E" w:rsidRPr="00293FEE">
        <w:t>identified to IMT in accordance with Nos.</w:t>
      </w:r>
      <w:r w:rsidR="00A87403" w:rsidRPr="00293FEE">
        <w:t> </w:t>
      </w:r>
      <w:r w:rsidR="001E7A9E" w:rsidRPr="00293FEE">
        <w:rPr>
          <w:b/>
          <w:bCs/>
        </w:rPr>
        <w:t>5.341A</w:t>
      </w:r>
      <w:r w:rsidR="001E7A9E" w:rsidRPr="00293FEE">
        <w:t xml:space="preserve">, </w:t>
      </w:r>
      <w:r w:rsidR="001E7A9E" w:rsidRPr="00293FEE">
        <w:rPr>
          <w:b/>
          <w:bCs/>
        </w:rPr>
        <w:t>5.341B</w:t>
      </w:r>
      <w:r w:rsidR="001E7A9E" w:rsidRPr="00293FEE">
        <w:t xml:space="preserve">, </w:t>
      </w:r>
      <w:r w:rsidR="001E7A9E" w:rsidRPr="00293FEE">
        <w:rPr>
          <w:b/>
          <w:bCs/>
        </w:rPr>
        <w:t>5.341C</w:t>
      </w:r>
      <w:r w:rsidR="001E7A9E" w:rsidRPr="00293FEE">
        <w:t xml:space="preserve">, </w:t>
      </w:r>
      <w:r w:rsidR="001E7A9E" w:rsidRPr="00293FEE">
        <w:rPr>
          <w:b/>
          <w:bCs/>
        </w:rPr>
        <w:t>5.346</w:t>
      </w:r>
      <w:r w:rsidR="001E7A9E" w:rsidRPr="00293FEE">
        <w:t xml:space="preserve"> and</w:t>
      </w:r>
      <w:r w:rsidR="00A87403" w:rsidRPr="00293FEE">
        <w:t> </w:t>
      </w:r>
      <w:r w:rsidR="001E7A9E" w:rsidRPr="00293FEE">
        <w:rPr>
          <w:b/>
          <w:bCs/>
        </w:rPr>
        <w:t>5.346A</w:t>
      </w:r>
      <w:r w:rsidR="001E7A9E" w:rsidRPr="00293FEE">
        <w:t>;</w:t>
      </w:r>
    </w:p>
    <w:p w14:paraId="54DF9375" w14:textId="2C8C2A6E" w:rsidR="001E7A9E" w:rsidRPr="00293FEE" w:rsidRDefault="00AF1DF8" w:rsidP="00AF1DF8">
      <w:r w:rsidRPr="00293FEE">
        <w:rPr>
          <w:i/>
          <w:iCs/>
        </w:rPr>
        <w:t>c)</w:t>
      </w:r>
      <w:r w:rsidRPr="00293FEE">
        <w:tab/>
      </w:r>
      <w:r w:rsidR="001E7A9E" w:rsidRPr="00293FEE">
        <w:t xml:space="preserve">that the frequency bands </w:t>
      </w:r>
      <w:r w:rsidR="001E7A9E" w:rsidRPr="00293FEE">
        <w:rPr>
          <w:rFonts w:eastAsia="SimSun"/>
          <w:lang w:eastAsia="zh-CN"/>
        </w:rPr>
        <w:t>1</w:t>
      </w:r>
      <w:r w:rsidR="001E7A9E" w:rsidRPr="00293FEE">
        <w:rPr>
          <w:rFonts w:eastAsiaTheme="minorEastAsia"/>
          <w:lang w:eastAsia="ja-JP"/>
        </w:rPr>
        <w:t> </w:t>
      </w:r>
      <w:r w:rsidR="001E7A9E" w:rsidRPr="00293FEE">
        <w:rPr>
          <w:rFonts w:eastAsia="SimSun"/>
          <w:lang w:eastAsia="zh-CN"/>
        </w:rPr>
        <w:t>710-1</w:t>
      </w:r>
      <w:r w:rsidR="001E7A9E" w:rsidRPr="00293FEE">
        <w:rPr>
          <w:rFonts w:eastAsiaTheme="minorEastAsia"/>
          <w:lang w:eastAsia="ja-JP"/>
        </w:rPr>
        <w:t> </w:t>
      </w:r>
      <w:r w:rsidR="001E7A9E" w:rsidRPr="00293FEE">
        <w:rPr>
          <w:rFonts w:eastAsia="SimSun"/>
          <w:lang w:eastAsia="zh-CN"/>
        </w:rPr>
        <w:t>885</w:t>
      </w:r>
      <w:r w:rsidR="00A87403" w:rsidRPr="00293FEE">
        <w:rPr>
          <w:rFonts w:eastAsia="SimSun"/>
          <w:lang w:eastAsia="zh-CN"/>
        </w:rPr>
        <w:t> </w:t>
      </w:r>
      <w:r w:rsidR="001E7A9E" w:rsidRPr="00293FEE">
        <w:rPr>
          <w:rFonts w:eastAsia="SimSun"/>
          <w:lang w:eastAsia="zh-CN"/>
        </w:rPr>
        <w:t>MHz, 1</w:t>
      </w:r>
      <w:r w:rsidR="001E7A9E" w:rsidRPr="00293FEE">
        <w:rPr>
          <w:rFonts w:eastAsiaTheme="minorEastAsia"/>
          <w:lang w:eastAsia="ja-JP"/>
        </w:rPr>
        <w:t> </w:t>
      </w:r>
      <w:r w:rsidR="001E7A9E" w:rsidRPr="00293FEE">
        <w:rPr>
          <w:rFonts w:eastAsia="SimSun"/>
          <w:lang w:eastAsia="zh-CN"/>
        </w:rPr>
        <w:t>885-2</w:t>
      </w:r>
      <w:r w:rsidR="001E7A9E" w:rsidRPr="00293FEE">
        <w:rPr>
          <w:rFonts w:eastAsiaTheme="minorEastAsia"/>
          <w:lang w:eastAsia="ja-JP"/>
        </w:rPr>
        <w:t> </w:t>
      </w:r>
      <w:r w:rsidR="001E7A9E" w:rsidRPr="00293FEE">
        <w:rPr>
          <w:rFonts w:eastAsia="SimSun"/>
          <w:lang w:eastAsia="zh-CN"/>
        </w:rPr>
        <w:t>025</w:t>
      </w:r>
      <w:r w:rsidR="00A87403" w:rsidRPr="00293FEE">
        <w:rPr>
          <w:rFonts w:eastAsia="SimSun"/>
          <w:lang w:eastAsia="zh-CN"/>
        </w:rPr>
        <w:t> </w:t>
      </w:r>
      <w:r w:rsidR="001E7A9E" w:rsidRPr="00293FEE">
        <w:rPr>
          <w:rFonts w:eastAsia="SimSun"/>
          <w:lang w:eastAsia="zh-CN"/>
        </w:rPr>
        <w:t>MHz, and 2</w:t>
      </w:r>
      <w:r w:rsidR="001E7A9E" w:rsidRPr="00293FEE">
        <w:rPr>
          <w:rFonts w:eastAsiaTheme="minorEastAsia"/>
          <w:lang w:eastAsia="ja-JP"/>
        </w:rPr>
        <w:t> </w:t>
      </w:r>
      <w:r w:rsidR="001E7A9E" w:rsidRPr="00293FEE">
        <w:rPr>
          <w:rFonts w:eastAsia="SimSun"/>
          <w:lang w:eastAsia="zh-CN"/>
        </w:rPr>
        <w:t>110-2</w:t>
      </w:r>
      <w:r w:rsidR="001E7A9E" w:rsidRPr="00293FEE">
        <w:rPr>
          <w:rFonts w:eastAsiaTheme="minorEastAsia"/>
          <w:lang w:eastAsia="ja-JP"/>
        </w:rPr>
        <w:t> </w:t>
      </w:r>
      <w:r w:rsidR="001E7A9E" w:rsidRPr="00293FEE">
        <w:rPr>
          <w:rFonts w:eastAsia="SimSun"/>
          <w:lang w:eastAsia="zh-CN"/>
        </w:rPr>
        <w:t>200</w:t>
      </w:r>
      <w:r w:rsidR="00A87403" w:rsidRPr="00293FEE">
        <w:rPr>
          <w:rFonts w:eastAsia="SimSun"/>
          <w:lang w:eastAsia="zh-CN"/>
        </w:rPr>
        <w:t> </w:t>
      </w:r>
      <w:r w:rsidR="001E7A9E" w:rsidRPr="00293FEE">
        <w:rPr>
          <w:rFonts w:eastAsia="SimSun"/>
          <w:lang w:eastAsia="zh-CN"/>
        </w:rPr>
        <w:t xml:space="preserve">MHz are </w:t>
      </w:r>
      <w:r w:rsidR="001E7A9E" w:rsidRPr="00293FEE">
        <w:t>identified to IMT in accordance with Nos.</w:t>
      </w:r>
      <w:r w:rsidR="00A87403" w:rsidRPr="00293FEE">
        <w:t> </w:t>
      </w:r>
      <w:r w:rsidR="001E7A9E" w:rsidRPr="00293FEE">
        <w:rPr>
          <w:b/>
          <w:bCs/>
        </w:rPr>
        <w:t>5.384A</w:t>
      </w:r>
      <w:r w:rsidR="001E7A9E" w:rsidRPr="00293FEE">
        <w:t xml:space="preserve"> and</w:t>
      </w:r>
      <w:r w:rsidR="00A87403" w:rsidRPr="00293FEE">
        <w:t> </w:t>
      </w:r>
      <w:r w:rsidR="001E7A9E" w:rsidRPr="00293FEE">
        <w:rPr>
          <w:b/>
          <w:bCs/>
        </w:rPr>
        <w:t>5.388</w:t>
      </w:r>
      <w:r w:rsidR="001E7A9E" w:rsidRPr="00293FEE">
        <w:t>;</w:t>
      </w:r>
    </w:p>
    <w:p w14:paraId="57AA07AD" w14:textId="2B8F2C5B" w:rsidR="001E7A9E" w:rsidRPr="00293FEE" w:rsidRDefault="00AF1DF8" w:rsidP="00AF1DF8">
      <w:r w:rsidRPr="00293FEE">
        <w:rPr>
          <w:i/>
          <w:iCs/>
        </w:rPr>
        <w:t>d)</w:t>
      </w:r>
      <w:r w:rsidRPr="00293FEE">
        <w:tab/>
      </w:r>
      <w:r w:rsidR="001E7A9E" w:rsidRPr="00293FEE">
        <w:t>that the frequency bands 1</w:t>
      </w:r>
      <w:r w:rsidR="001E7A9E" w:rsidRPr="00293FEE">
        <w:rPr>
          <w:rFonts w:eastAsiaTheme="minorEastAsia"/>
          <w:lang w:eastAsia="ja-JP"/>
        </w:rPr>
        <w:t> </w:t>
      </w:r>
      <w:r w:rsidR="001E7A9E" w:rsidRPr="00293FEE">
        <w:t>980-2</w:t>
      </w:r>
      <w:r w:rsidR="001E7A9E" w:rsidRPr="00293FEE">
        <w:rPr>
          <w:rFonts w:eastAsiaTheme="minorEastAsia"/>
          <w:lang w:eastAsia="ja-JP"/>
        </w:rPr>
        <w:t> </w:t>
      </w:r>
      <w:r w:rsidR="001E7A9E" w:rsidRPr="00293FEE">
        <w:t>010</w:t>
      </w:r>
      <w:r w:rsidR="00A87403" w:rsidRPr="00293FEE">
        <w:t> </w:t>
      </w:r>
      <w:r w:rsidR="001E7A9E" w:rsidRPr="00293FEE">
        <w:t>MHz and 2</w:t>
      </w:r>
      <w:r w:rsidR="001E7A9E" w:rsidRPr="00293FEE">
        <w:rPr>
          <w:rFonts w:eastAsiaTheme="minorEastAsia"/>
          <w:lang w:eastAsia="ja-JP"/>
        </w:rPr>
        <w:t> </w:t>
      </w:r>
      <w:r w:rsidR="001E7A9E" w:rsidRPr="00293FEE">
        <w:t>170-2</w:t>
      </w:r>
      <w:r w:rsidR="001E7A9E" w:rsidRPr="00293FEE">
        <w:rPr>
          <w:rFonts w:eastAsiaTheme="minorEastAsia"/>
          <w:lang w:eastAsia="ja-JP"/>
        </w:rPr>
        <w:t> </w:t>
      </w:r>
      <w:r w:rsidR="001E7A9E" w:rsidRPr="00293FEE">
        <w:t>200</w:t>
      </w:r>
      <w:r w:rsidR="00A87403" w:rsidRPr="00293FEE">
        <w:t> </w:t>
      </w:r>
      <w:r w:rsidR="001E7A9E" w:rsidRPr="00293FEE">
        <w:t>MHz are allocated to the MSS on a primary basis</w:t>
      </w:r>
      <w:r w:rsidR="008B45C2" w:rsidRPr="00293FEE">
        <w:t>,</w:t>
      </w:r>
    </w:p>
    <w:p w14:paraId="30F54BD8" w14:textId="77777777" w:rsidR="001E7A9E" w:rsidRPr="00293FEE" w:rsidRDefault="001E7A9E" w:rsidP="008B45C2">
      <w:pPr>
        <w:pStyle w:val="Call"/>
      </w:pPr>
      <w:r w:rsidRPr="00293FEE">
        <w:t>resolves to invite ITU Radiocommunication Sector</w:t>
      </w:r>
    </w:p>
    <w:p w14:paraId="2C9C5C97" w14:textId="0BB4B806" w:rsidR="001E7A9E" w:rsidRPr="00293FEE" w:rsidRDefault="001E7A9E" w:rsidP="00A5578F">
      <w:pPr>
        <w:tabs>
          <w:tab w:val="clear" w:pos="1134"/>
        </w:tabs>
        <w:snapToGrid w:val="0"/>
      </w:pPr>
      <w:r w:rsidRPr="00293FEE">
        <w:t>to conduct the appropriate sharing and compatibility, technical, operational and regulatory studies, in time for consideration by WRC</w:t>
      </w:r>
      <w:r w:rsidR="002F6A25" w:rsidRPr="00293FEE">
        <w:noBreakHyphen/>
      </w:r>
      <w:r w:rsidRPr="00293FEE">
        <w:t>27, pertaining to</w:t>
      </w:r>
      <w:r w:rsidRPr="00293FEE" w:rsidDel="007A6016">
        <w:t xml:space="preserve"> </w:t>
      </w:r>
      <w:r w:rsidRPr="00293FEE">
        <w:t xml:space="preserve">the MSS intended to use only for direct communications between non-GSO satellite and IMT user equipment in terrestrial IMT systems with a view to ensuring the protection of services to which the frequency bands are allocated on a primary basis, in the following frequency bands identified to terrestrial component of IMT </w:t>
      </w:r>
      <w:r w:rsidRPr="00293FEE">
        <w:rPr>
          <w:lang w:eastAsia="ja-JP"/>
        </w:rPr>
        <w:t xml:space="preserve">under the condition that the newly allocated </w:t>
      </w:r>
      <w:r w:rsidRPr="00293FEE">
        <w:rPr>
          <w:rFonts w:eastAsia="MS PMincho"/>
          <w:lang w:eastAsia="ja-JP"/>
        </w:rPr>
        <w:t>MSS</w:t>
      </w:r>
      <w:r w:rsidRPr="00293FEE">
        <w:rPr>
          <w:lang w:eastAsia="ja-JP"/>
        </w:rPr>
        <w:t xml:space="preserve"> shall not cause harmful interference to, nor claim protection from, the stations of other services allocated on a primary basis, including </w:t>
      </w:r>
      <w:r w:rsidRPr="00293FEE">
        <w:rPr>
          <w:rFonts w:eastAsia="MS PMincho"/>
          <w:lang w:eastAsia="ja-JP"/>
        </w:rPr>
        <w:t xml:space="preserve">the terrestrial IMT systems in the </w:t>
      </w:r>
      <w:r w:rsidR="008B45C2" w:rsidRPr="00293FEE">
        <w:rPr>
          <w:rFonts w:eastAsia="MS PMincho"/>
          <w:lang w:eastAsia="ja-JP"/>
        </w:rPr>
        <w:t>neighbouring</w:t>
      </w:r>
      <w:r w:rsidRPr="00293FEE">
        <w:rPr>
          <w:rFonts w:eastAsia="MS PMincho"/>
          <w:lang w:eastAsia="ja-JP"/>
        </w:rPr>
        <w:t xml:space="preserve"> countries</w:t>
      </w:r>
      <w:r w:rsidR="00611739" w:rsidRPr="00293FEE">
        <w:t>:</w:t>
      </w:r>
    </w:p>
    <w:p w14:paraId="0598E43A" w14:textId="59C25D9B" w:rsidR="001E7A9E" w:rsidRPr="00293FEE" w:rsidRDefault="00AF1DF8" w:rsidP="00AF1DF8">
      <w:pPr>
        <w:pStyle w:val="enumlev1"/>
        <w:rPr>
          <w:rFonts w:eastAsia="MS PMincho"/>
          <w:lang w:eastAsia="ja-JP"/>
        </w:rPr>
      </w:pPr>
      <w:r w:rsidRPr="00293FEE">
        <w:t>•</w:t>
      </w:r>
      <w:r w:rsidRPr="00293FEE">
        <w:tab/>
      </w:r>
      <w:r w:rsidR="001E7A9E" w:rsidRPr="00293FEE">
        <w:t>698-960</w:t>
      </w:r>
      <w:r w:rsidR="002F6A25" w:rsidRPr="00293FEE">
        <w:t> </w:t>
      </w:r>
      <w:r w:rsidR="001E7A9E" w:rsidRPr="00293FEE">
        <w:t>MHz;</w:t>
      </w:r>
    </w:p>
    <w:p w14:paraId="5578309A" w14:textId="2F04D9FC" w:rsidR="001E7A9E" w:rsidRPr="00293FEE" w:rsidRDefault="00AF1DF8" w:rsidP="00AF1DF8">
      <w:pPr>
        <w:pStyle w:val="enumlev1"/>
        <w:rPr>
          <w:rFonts w:eastAsia="MS PMincho"/>
          <w:lang w:eastAsia="ja-JP"/>
        </w:rPr>
      </w:pPr>
      <w:r w:rsidRPr="00293FEE">
        <w:t>•</w:t>
      </w:r>
      <w:r w:rsidRPr="00293FEE">
        <w:tab/>
      </w:r>
      <w:r w:rsidR="001E7A9E" w:rsidRPr="00293FEE">
        <w:rPr>
          <w:rFonts w:eastAsia="MS PMincho"/>
          <w:lang w:eastAsia="ja-JP"/>
        </w:rPr>
        <w:t>1</w:t>
      </w:r>
      <w:r w:rsidR="001E7A9E" w:rsidRPr="00293FEE">
        <w:rPr>
          <w:rFonts w:eastAsiaTheme="minorEastAsia"/>
          <w:lang w:eastAsia="ja-JP"/>
        </w:rPr>
        <w:t> </w:t>
      </w:r>
      <w:r w:rsidR="001E7A9E" w:rsidRPr="00293FEE">
        <w:rPr>
          <w:rFonts w:eastAsia="MS PMincho"/>
          <w:lang w:eastAsia="ja-JP"/>
        </w:rPr>
        <w:t>427-1</w:t>
      </w:r>
      <w:r w:rsidR="001E7A9E" w:rsidRPr="00293FEE">
        <w:rPr>
          <w:rFonts w:eastAsiaTheme="minorEastAsia"/>
          <w:lang w:eastAsia="ja-JP"/>
        </w:rPr>
        <w:t> </w:t>
      </w:r>
      <w:r w:rsidR="001E7A9E" w:rsidRPr="00293FEE">
        <w:rPr>
          <w:rFonts w:eastAsia="MS PMincho"/>
          <w:lang w:eastAsia="ja-JP"/>
        </w:rPr>
        <w:t>518</w:t>
      </w:r>
      <w:r w:rsidR="002F6A25" w:rsidRPr="00293FEE">
        <w:rPr>
          <w:rFonts w:eastAsia="MS PMincho"/>
          <w:lang w:eastAsia="ja-JP"/>
        </w:rPr>
        <w:t> </w:t>
      </w:r>
      <w:r w:rsidR="001E7A9E" w:rsidRPr="00293FEE">
        <w:rPr>
          <w:rFonts w:eastAsia="MS PMincho"/>
          <w:lang w:eastAsia="ja-JP"/>
        </w:rPr>
        <w:t>MHz;</w:t>
      </w:r>
    </w:p>
    <w:p w14:paraId="7EED723C" w14:textId="63AB0A56" w:rsidR="001E7A9E" w:rsidRPr="00293FEE" w:rsidRDefault="00AF1DF8" w:rsidP="00AF1DF8">
      <w:pPr>
        <w:pStyle w:val="enumlev1"/>
        <w:rPr>
          <w:rFonts w:eastAsia="MS PMincho"/>
          <w:lang w:eastAsia="ja-JP"/>
        </w:rPr>
      </w:pPr>
      <w:r w:rsidRPr="00293FEE">
        <w:t>•</w:t>
      </w:r>
      <w:r w:rsidRPr="00293FEE">
        <w:tab/>
      </w:r>
      <w:r w:rsidR="001E7A9E" w:rsidRPr="00293FEE">
        <w:rPr>
          <w:rFonts w:eastAsia="MS PMincho"/>
          <w:lang w:eastAsia="ja-JP"/>
        </w:rPr>
        <w:t>1</w:t>
      </w:r>
      <w:r w:rsidR="001E7A9E" w:rsidRPr="00293FEE">
        <w:rPr>
          <w:rFonts w:eastAsiaTheme="minorEastAsia"/>
          <w:lang w:eastAsia="ja-JP"/>
        </w:rPr>
        <w:t> </w:t>
      </w:r>
      <w:r w:rsidR="001E7A9E" w:rsidRPr="00293FEE">
        <w:rPr>
          <w:rFonts w:eastAsia="MS PMincho"/>
          <w:lang w:eastAsia="ja-JP"/>
        </w:rPr>
        <w:t>710-1</w:t>
      </w:r>
      <w:r w:rsidR="001E7A9E" w:rsidRPr="00293FEE">
        <w:rPr>
          <w:rFonts w:eastAsiaTheme="minorEastAsia"/>
          <w:lang w:eastAsia="ja-JP"/>
        </w:rPr>
        <w:t> </w:t>
      </w:r>
      <w:r w:rsidR="001E7A9E" w:rsidRPr="00293FEE">
        <w:rPr>
          <w:rFonts w:eastAsia="MS PMincho"/>
          <w:lang w:eastAsia="ja-JP"/>
        </w:rPr>
        <w:t>980</w:t>
      </w:r>
      <w:r w:rsidR="002F6A25" w:rsidRPr="00293FEE">
        <w:rPr>
          <w:rFonts w:eastAsia="MS PMincho"/>
          <w:lang w:eastAsia="ja-JP"/>
        </w:rPr>
        <w:t> </w:t>
      </w:r>
      <w:r w:rsidR="001E7A9E" w:rsidRPr="00293FEE">
        <w:rPr>
          <w:rFonts w:eastAsia="MS PMincho"/>
          <w:lang w:eastAsia="ja-JP"/>
        </w:rPr>
        <w:t>MHz;</w:t>
      </w:r>
    </w:p>
    <w:p w14:paraId="76447662" w14:textId="460CF8CE" w:rsidR="001E7A9E" w:rsidRPr="00293FEE" w:rsidRDefault="00AF1DF8" w:rsidP="00AF1DF8">
      <w:pPr>
        <w:pStyle w:val="enumlev1"/>
        <w:rPr>
          <w:rFonts w:eastAsia="MS PMincho"/>
          <w:i/>
          <w:szCs w:val="24"/>
          <w:lang w:eastAsia="ja-JP"/>
        </w:rPr>
      </w:pPr>
      <w:r w:rsidRPr="00293FEE">
        <w:t>•</w:t>
      </w:r>
      <w:r w:rsidRPr="00293FEE">
        <w:tab/>
      </w:r>
      <w:r w:rsidR="001E7A9E" w:rsidRPr="00293FEE">
        <w:rPr>
          <w:rFonts w:eastAsia="MS PMincho"/>
          <w:lang w:eastAsia="ja-JP"/>
        </w:rPr>
        <w:t>2</w:t>
      </w:r>
      <w:r w:rsidR="001E7A9E" w:rsidRPr="00293FEE">
        <w:rPr>
          <w:rFonts w:eastAsiaTheme="minorEastAsia"/>
          <w:lang w:eastAsia="ja-JP"/>
        </w:rPr>
        <w:t> </w:t>
      </w:r>
      <w:r w:rsidR="001E7A9E" w:rsidRPr="00293FEE">
        <w:rPr>
          <w:rFonts w:eastAsia="MS PMincho"/>
          <w:lang w:eastAsia="ja-JP"/>
        </w:rPr>
        <w:t>010-2</w:t>
      </w:r>
      <w:r w:rsidR="001E7A9E" w:rsidRPr="00293FEE">
        <w:rPr>
          <w:rFonts w:eastAsiaTheme="minorEastAsia"/>
          <w:lang w:eastAsia="ja-JP"/>
        </w:rPr>
        <w:t> </w:t>
      </w:r>
      <w:r w:rsidR="001E7A9E" w:rsidRPr="00293FEE">
        <w:rPr>
          <w:rFonts w:eastAsia="MS PMincho"/>
          <w:lang w:eastAsia="ja-JP"/>
        </w:rPr>
        <w:t>025</w:t>
      </w:r>
      <w:r w:rsidR="002F6A25" w:rsidRPr="00293FEE">
        <w:rPr>
          <w:rFonts w:eastAsia="MS PMincho"/>
          <w:lang w:eastAsia="ja-JP"/>
        </w:rPr>
        <w:t> </w:t>
      </w:r>
      <w:r w:rsidR="001E7A9E" w:rsidRPr="00293FEE">
        <w:rPr>
          <w:rFonts w:eastAsia="MS PMincho"/>
          <w:lang w:eastAsia="ja-JP"/>
        </w:rPr>
        <w:t>MHz;</w:t>
      </w:r>
    </w:p>
    <w:p w14:paraId="7F247FD3" w14:textId="1393A388" w:rsidR="001E7A9E" w:rsidRPr="00293FEE" w:rsidRDefault="00AF1DF8" w:rsidP="00AF1DF8">
      <w:pPr>
        <w:pStyle w:val="enumlev1"/>
        <w:rPr>
          <w:rFonts w:eastAsia="MS PMincho"/>
          <w:i/>
          <w:szCs w:val="24"/>
          <w:lang w:eastAsia="ja-JP"/>
        </w:rPr>
      </w:pPr>
      <w:r w:rsidRPr="00293FEE">
        <w:t>•</w:t>
      </w:r>
      <w:r w:rsidRPr="00293FEE">
        <w:tab/>
      </w:r>
      <w:r w:rsidR="001E7A9E" w:rsidRPr="00293FEE">
        <w:rPr>
          <w:rFonts w:eastAsia="MS PMincho"/>
          <w:lang w:eastAsia="ja-JP"/>
        </w:rPr>
        <w:t>2</w:t>
      </w:r>
      <w:r w:rsidR="001E7A9E" w:rsidRPr="00293FEE">
        <w:rPr>
          <w:rFonts w:eastAsiaTheme="minorEastAsia"/>
          <w:lang w:eastAsia="ja-JP"/>
        </w:rPr>
        <w:t> </w:t>
      </w:r>
      <w:r w:rsidR="001E7A9E" w:rsidRPr="00293FEE">
        <w:rPr>
          <w:rFonts w:eastAsia="MS PMincho"/>
          <w:lang w:eastAsia="ja-JP"/>
        </w:rPr>
        <w:t>110-2</w:t>
      </w:r>
      <w:r w:rsidR="001E7A9E" w:rsidRPr="00293FEE">
        <w:rPr>
          <w:rFonts w:eastAsiaTheme="minorEastAsia"/>
          <w:lang w:eastAsia="ja-JP"/>
        </w:rPr>
        <w:t> </w:t>
      </w:r>
      <w:r w:rsidR="001E7A9E" w:rsidRPr="00293FEE">
        <w:rPr>
          <w:rFonts w:eastAsia="MS PMincho"/>
          <w:lang w:eastAsia="ja-JP"/>
        </w:rPr>
        <w:t>170</w:t>
      </w:r>
      <w:r w:rsidR="002F6A25" w:rsidRPr="00293FEE">
        <w:rPr>
          <w:rFonts w:eastAsia="MS PMincho"/>
          <w:lang w:eastAsia="ja-JP"/>
        </w:rPr>
        <w:t> </w:t>
      </w:r>
      <w:r w:rsidR="001E7A9E" w:rsidRPr="00293FEE">
        <w:rPr>
          <w:rFonts w:eastAsia="MS PMincho"/>
          <w:lang w:eastAsia="ja-JP"/>
        </w:rPr>
        <w:t>MHz</w:t>
      </w:r>
      <w:r w:rsidR="00896C24" w:rsidRPr="00293FEE">
        <w:rPr>
          <w:rFonts w:eastAsia="MS PMincho"/>
          <w:lang w:eastAsia="ja-JP"/>
        </w:rPr>
        <w:t>,</w:t>
      </w:r>
    </w:p>
    <w:p w14:paraId="3648B44B" w14:textId="6C834EF7" w:rsidR="001E7A9E" w:rsidRPr="00293FEE" w:rsidRDefault="00896C24" w:rsidP="00611739">
      <w:pPr>
        <w:pStyle w:val="Call"/>
      </w:pPr>
      <w:r w:rsidRPr="00293FEE">
        <w:t>r</w:t>
      </w:r>
      <w:r w:rsidR="001E7A9E" w:rsidRPr="00293FEE">
        <w:t>esolves to invite the 2027 World Radiocommunication Conference</w:t>
      </w:r>
    </w:p>
    <w:p w14:paraId="1DB5525B" w14:textId="599DF815" w:rsidR="001E7A9E" w:rsidRPr="00293FEE" w:rsidRDefault="001E7A9E" w:rsidP="00C525D6">
      <w:pPr>
        <w:snapToGrid w:val="0"/>
      </w:pPr>
      <w:r w:rsidRPr="00293FEE">
        <w:t xml:space="preserve">based on the results of the above studies, to consider regulatory provisions, if needed, for new allocation to the non-GSO </w:t>
      </w:r>
      <w:r w:rsidRPr="00293FEE">
        <w:rPr>
          <w:rFonts w:eastAsia="MS PMincho"/>
          <w:lang w:eastAsia="ja-JP"/>
        </w:rPr>
        <w:t>MSS</w:t>
      </w:r>
      <w:r w:rsidRPr="00293FEE">
        <w:t xml:space="preserve"> below 2.2</w:t>
      </w:r>
      <w:r w:rsidR="002F6A25" w:rsidRPr="00293FEE">
        <w:t> </w:t>
      </w:r>
      <w:r w:rsidRPr="00293FEE">
        <w:t>GHz</w:t>
      </w:r>
      <w:r w:rsidR="00896C24" w:rsidRPr="00293FEE">
        <w:t>,</w:t>
      </w:r>
    </w:p>
    <w:p w14:paraId="50253BF5" w14:textId="77777777" w:rsidR="001E7A9E" w:rsidRPr="00293FEE" w:rsidRDefault="001E7A9E" w:rsidP="00896C24">
      <w:pPr>
        <w:pStyle w:val="Call"/>
      </w:pPr>
      <w:r w:rsidRPr="00293FEE">
        <w:t>invites administrations</w:t>
      </w:r>
    </w:p>
    <w:p w14:paraId="786F6254" w14:textId="7B2EB252" w:rsidR="00E51B6D" w:rsidRPr="00293FEE" w:rsidRDefault="001E7A9E" w:rsidP="00A1669B">
      <w:r w:rsidRPr="00293FEE">
        <w:t xml:space="preserve">to participate actively in these studies by submitting contributions to the ITU </w:t>
      </w:r>
      <w:r w:rsidRPr="00293FEE">
        <w:rPr>
          <w:lang w:eastAsia="zh-CN"/>
        </w:rPr>
        <w:t>R</w:t>
      </w:r>
      <w:r w:rsidRPr="00293FEE">
        <w:t>adiocommunication Sector.</w:t>
      </w:r>
    </w:p>
    <w:p w14:paraId="40545EEE" w14:textId="65A6EA51" w:rsidR="005048D4" w:rsidRPr="00293FEE" w:rsidRDefault="003E7F1F" w:rsidP="005048D4">
      <w:pPr>
        <w:pStyle w:val="Reasons"/>
        <w:rPr>
          <w:b/>
          <w:bCs/>
          <w:lang w:eastAsia="zh-CN"/>
        </w:rPr>
      </w:pPr>
      <w:r w:rsidRPr="00293FEE">
        <w:rPr>
          <w:b/>
        </w:rPr>
        <w:t>Reasons:</w:t>
      </w:r>
      <w:r w:rsidRPr="00293FEE">
        <w:tab/>
      </w:r>
      <w:r w:rsidR="005048D4" w:rsidRPr="00293FEE">
        <w:rPr>
          <w:lang w:eastAsia="zh-CN"/>
        </w:rPr>
        <w:t xml:space="preserve">See the following Table that has been prepared using the template given in Annex 2 to Resolution </w:t>
      </w:r>
      <w:r w:rsidR="005048D4" w:rsidRPr="00293FEE">
        <w:rPr>
          <w:b/>
          <w:bCs/>
          <w:lang w:eastAsia="zh-CN"/>
        </w:rPr>
        <w:t>804 (Rev.WRC-19)</w:t>
      </w:r>
      <w:r w:rsidR="00D22439" w:rsidRPr="00293FEE">
        <w:rPr>
          <w:lang w:eastAsia="zh-CN"/>
        </w:rPr>
        <w:t>.</w:t>
      </w:r>
    </w:p>
    <w:p w14:paraId="7FCA965E" w14:textId="77777777" w:rsidR="005048D4" w:rsidRPr="00293FEE" w:rsidRDefault="005048D4" w:rsidP="005048D4">
      <w:pPr>
        <w:tabs>
          <w:tab w:val="clear" w:pos="1134"/>
          <w:tab w:val="clear" w:pos="1871"/>
          <w:tab w:val="clear" w:pos="2268"/>
        </w:tabs>
        <w:overflowPunct/>
        <w:autoSpaceDE/>
        <w:autoSpaceDN/>
        <w:adjustRightInd/>
        <w:spacing w:before="0"/>
        <w:textAlignment w:val="auto"/>
        <w:rPr>
          <w:rFonts w:eastAsia="BatangChe"/>
          <w:b/>
          <w:bCs/>
          <w:sz w:val="28"/>
          <w:szCs w:val="28"/>
        </w:rPr>
      </w:pPr>
      <w:r w:rsidRPr="00293FEE">
        <w:rPr>
          <w:b/>
          <w:bCs/>
          <w:sz w:val="28"/>
          <w:szCs w:val="28"/>
        </w:rPr>
        <w:br w:type="page"/>
      </w:r>
    </w:p>
    <w:p w14:paraId="641C1FEF" w14:textId="62522BF6" w:rsidR="00E51B6D" w:rsidRPr="00293FEE" w:rsidRDefault="00DF68C2" w:rsidP="00DF68C2">
      <w:pPr>
        <w:pStyle w:val="Annextitle"/>
      </w:pPr>
      <w:r w:rsidRPr="00293FEE">
        <w:lastRenderedPageBreak/>
        <w:t>Template for the submission of proposals for agenda items</w:t>
      </w:r>
    </w:p>
    <w:tbl>
      <w:tblPr>
        <w:tblpPr w:leftFromText="180" w:rightFromText="180" w:vertAnchor="text" w:tblpX="-84" w:tblpY="1"/>
        <w:tblOverlap w:val="never"/>
        <w:tblW w:w="9781" w:type="dxa"/>
        <w:tblLayout w:type="fixed"/>
        <w:tblLook w:val="04A0" w:firstRow="1" w:lastRow="0" w:firstColumn="1" w:lastColumn="0" w:noHBand="0" w:noVBand="1"/>
      </w:tblPr>
      <w:tblGrid>
        <w:gridCol w:w="9781"/>
      </w:tblGrid>
      <w:tr w:rsidR="00C57B2B" w:rsidRPr="00293FEE" w14:paraId="39B3A0D2" w14:textId="77777777" w:rsidTr="00AE1C3D">
        <w:trPr>
          <w:cantSplit/>
        </w:trPr>
        <w:tc>
          <w:tcPr>
            <w:tcW w:w="9781" w:type="dxa"/>
          </w:tcPr>
          <w:p w14:paraId="669F4466" w14:textId="590FB86A" w:rsidR="00C57B2B" w:rsidRPr="00293FEE" w:rsidRDefault="00C57B2B" w:rsidP="00666A03">
            <w:pPr>
              <w:keepNext/>
              <w:spacing w:after="120"/>
              <w:rPr>
                <w:bCs/>
              </w:rPr>
            </w:pPr>
            <w:r w:rsidRPr="00293FEE">
              <w:rPr>
                <w:b/>
                <w:bCs/>
              </w:rPr>
              <w:t>Subject:</w:t>
            </w:r>
            <w:r w:rsidR="007A4032" w:rsidRPr="00293FEE">
              <w:t xml:space="preserve"> </w:t>
            </w:r>
            <w:r w:rsidRPr="00293FEE">
              <w:rPr>
                <w:bCs/>
              </w:rPr>
              <w:t xml:space="preserve">Studies </w:t>
            </w:r>
            <w:r w:rsidRPr="00293FEE">
              <w:rPr>
                <w:bCs/>
                <w:lang w:eastAsia="zh-CN"/>
              </w:rPr>
              <w:t xml:space="preserve">on </w:t>
            </w:r>
            <w:r w:rsidRPr="00293FEE">
              <w:rPr>
                <w:bCs/>
              </w:rPr>
              <w:t>frequency-related matters of the bands below 2.2</w:t>
            </w:r>
            <w:r w:rsidR="002F6A25" w:rsidRPr="00293FEE">
              <w:rPr>
                <w:bCs/>
              </w:rPr>
              <w:t> </w:t>
            </w:r>
            <w:r w:rsidRPr="00293FEE">
              <w:rPr>
                <w:bCs/>
              </w:rPr>
              <w:t>GHz for the future development of mobile-satellite systems</w:t>
            </w:r>
          </w:p>
          <w:tbl>
            <w:tblPr>
              <w:tblpPr w:leftFromText="180" w:rightFromText="180" w:vertAnchor="text" w:tblpX="-84" w:tblpY="1"/>
              <w:tblOverlap w:val="never"/>
              <w:tblW w:w="9723" w:type="dxa"/>
              <w:tblLayout w:type="fixed"/>
              <w:tblLook w:val="04A0" w:firstRow="1" w:lastRow="0" w:firstColumn="1" w:lastColumn="0" w:noHBand="0" w:noVBand="1"/>
            </w:tblPr>
            <w:tblGrid>
              <w:gridCol w:w="4897"/>
              <w:gridCol w:w="4826"/>
            </w:tblGrid>
            <w:tr w:rsidR="00C57B2B" w:rsidRPr="00293FEE" w14:paraId="0A48AC1A" w14:textId="77777777" w:rsidTr="00AE1C3D">
              <w:trPr>
                <w:cantSplit/>
              </w:trPr>
              <w:tc>
                <w:tcPr>
                  <w:tcW w:w="9723" w:type="dxa"/>
                  <w:gridSpan w:val="2"/>
                  <w:tcBorders>
                    <w:bottom w:val="single" w:sz="4" w:space="0" w:color="auto"/>
                  </w:tcBorders>
                </w:tcPr>
                <w:p w14:paraId="070FF578" w14:textId="383F9FB6" w:rsidR="00C57B2B" w:rsidRPr="00293FEE" w:rsidRDefault="00C57B2B" w:rsidP="00AE1C3D">
                  <w:pPr>
                    <w:keepNext/>
                    <w:spacing w:before="240" w:after="120"/>
                    <w:rPr>
                      <w:b/>
                      <w:i/>
                      <w:color w:val="000000"/>
                    </w:rPr>
                  </w:pPr>
                  <w:r w:rsidRPr="00293FEE">
                    <w:rPr>
                      <w:b/>
                      <w:bCs/>
                    </w:rPr>
                    <w:t>Origin:</w:t>
                  </w:r>
                  <w:r w:rsidR="007A4032" w:rsidRPr="00293FEE">
                    <w:rPr>
                      <w:b/>
                      <w:bCs/>
                    </w:rPr>
                    <w:t xml:space="preserve"> </w:t>
                  </w:r>
                  <w:r w:rsidRPr="00293FEE">
                    <w:rPr>
                      <w:b/>
                      <w:bCs/>
                    </w:rPr>
                    <w:t>Japan</w:t>
                  </w:r>
                </w:p>
              </w:tc>
            </w:tr>
            <w:tr w:rsidR="00C57B2B" w:rsidRPr="00293FEE" w14:paraId="1B302135" w14:textId="77777777" w:rsidTr="00AE1C3D">
              <w:trPr>
                <w:cantSplit/>
              </w:trPr>
              <w:tc>
                <w:tcPr>
                  <w:tcW w:w="9723" w:type="dxa"/>
                  <w:gridSpan w:val="2"/>
                  <w:tcBorders>
                    <w:top w:val="single" w:sz="4" w:space="0" w:color="auto"/>
                    <w:bottom w:val="single" w:sz="4" w:space="0" w:color="auto"/>
                  </w:tcBorders>
                </w:tcPr>
                <w:p w14:paraId="20FF1B11" w14:textId="77777777" w:rsidR="00C57B2B" w:rsidRPr="00293FEE" w:rsidRDefault="00C57B2B" w:rsidP="00AE1C3D">
                  <w:pPr>
                    <w:keepNext/>
                    <w:spacing w:after="50"/>
                    <w:rPr>
                      <w:b/>
                      <w:i/>
                    </w:rPr>
                  </w:pPr>
                  <w:r w:rsidRPr="00293FEE">
                    <w:rPr>
                      <w:b/>
                      <w:i/>
                    </w:rPr>
                    <w:t>Proposal:</w:t>
                  </w:r>
                </w:p>
                <w:p w14:paraId="75BE28CC" w14:textId="0A065BF9" w:rsidR="00C57B2B" w:rsidRPr="00293FEE" w:rsidRDefault="00666A03" w:rsidP="00666A03">
                  <w:pPr>
                    <w:keepNext/>
                    <w:spacing w:after="120"/>
                    <w:rPr>
                      <w:rFonts w:eastAsiaTheme="minorEastAsia"/>
                      <w:bCs/>
                      <w:iCs/>
                      <w:color w:val="000000"/>
                      <w:lang w:eastAsia="ja-JP"/>
                    </w:rPr>
                  </w:pPr>
                  <w:r w:rsidRPr="00293FEE">
                    <w:rPr>
                      <w:rFonts w:eastAsiaTheme="minorEastAsia"/>
                      <w:bCs/>
                      <w:iCs/>
                      <w:color w:val="000000"/>
                      <w:lang w:eastAsia="ja-JP"/>
                    </w:rPr>
                    <w:t xml:space="preserve">to </w:t>
                  </w:r>
                  <w:r w:rsidR="00C57B2B" w:rsidRPr="00293FEE">
                    <w:rPr>
                      <w:rFonts w:eastAsiaTheme="minorEastAsia"/>
                      <w:bCs/>
                      <w:iCs/>
                      <w:color w:val="000000"/>
                      <w:lang w:eastAsia="ja-JP"/>
                    </w:rPr>
                    <w:t xml:space="preserve">consider new allocations to the </w:t>
                  </w:r>
                  <w:r w:rsidRPr="00293FEE">
                    <w:rPr>
                      <w:iCs/>
                    </w:rPr>
                    <w:t>mobile</w:t>
                  </w:r>
                  <w:r w:rsidRPr="00293FEE">
                    <w:rPr>
                      <w:rFonts w:eastAsiaTheme="minorEastAsia"/>
                      <w:bCs/>
                      <w:iCs/>
                      <w:color w:val="000000"/>
                      <w:lang w:eastAsia="ja-JP"/>
                    </w:rPr>
                    <w:t xml:space="preserve">-satellite service </w:t>
                  </w:r>
                  <w:r w:rsidR="00C57B2B" w:rsidRPr="00293FEE">
                    <w:rPr>
                      <w:rFonts w:eastAsiaTheme="minorEastAsia"/>
                      <w:bCs/>
                      <w:iCs/>
                      <w:color w:val="000000"/>
                      <w:lang w:eastAsia="ja-JP"/>
                    </w:rPr>
                    <w:t>(MSS) on a primary basis in the frequency bands below 2.2</w:t>
                  </w:r>
                  <w:r w:rsidR="002F6A25" w:rsidRPr="00293FEE">
                    <w:rPr>
                      <w:rFonts w:eastAsiaTheme="minorEastAsia"/>
                      <w:bCs/>
                      <w:iCs/>
                      <w:color w:val="000000"/>
                      <w:lang w:eastAsia="ja-JP"/>
                    </w:rPr>
                    <w:t> </w:t>
                  </w:r>
                  <w:r w:rsidR="00C57B2B" w:rsidRPr="00293FEE">
                    <w:rPr>
                      <w:rFonts w:eastAsiaTheme="minorEastAsia"/>
                      <w:bCs/>
                      <w:iCs/>
                      <w:color w:val="000000"/>
                      <w:lang w:eastAsia="ja-JP"/>
                    </w:rPr>
                    <w:t>GHz identified to IMT</w:t>
                  </w:r>
                </w:p>
              </w:tc>
            </w:tr>
            <w:tr w:rsidR="00C57B2B" w:rsidRPr="00293FEE" w14:paraId="19F7F3D5" w14:textId="77777777" w:rsidTr="00AE1C3D">
              <w:trPr>
                <w:cantSplit/>
              </w:trPr>
              <w:tc>
                <w:tcPr>
                  <w:tcW w:w="9723" w:type="dxa"/>
                  <w:gridSpan w:val="2"/>
                  <w:tcBorders>
                    <w:top w:val="single" w:sz="4" w:space="0" w:color="auto"/>
                    <w:bottom w:val="single" w:sz="4" w:space="0" w:color="auto"/>
                  </w:tcBorders>
                </w:tcPr>
                <w:p w14:paraId="2076B4EA" w14:textId="77777777" w:rsidR="00C57B2B" w:rsidRPr="00293FEE" w:rsidRDefault="00C57B2B" w:rsidP="00AE1C3D">
                  <w:pPr>
                    <w:keepNext/>
                    <w:spacing w:after="50"/>
                    <w:rPr>
                      <w:rFonts w:eastAsiaTheme="minorEastAsia"/>
                      <w:bCs/>
                      <w:iCs/>
                      <w:color w:val="000000"/>
                      <w:lang w:eastAsia="ja-JP"/>
                    </w:rPr>
                  </w:pPr>
                  <w:r w:rsidRPr="00293FEE">
                    <w:rPr>
                      <w:b/>
                      <w:i/>
                    </w:rPr>
                    <w:t>Background/reason:</w:t>
                  </w:r>
                </w:p>
                <w:p w14:paraId="05073380" w14:textId="77777777" w:rsidR="00C57B2B" w:rsidRPr="00293FEE" w:rsidRDefault="00C57B2B" w:rsidP="00666A03">
                  <w:pPr>
                    <w:rPr>
                      <w:rFonts w:eastAsiaTheme="minorEastAsia"/>
                      <w:bCs/>
                      <w:iCs/>
                      <w:color w:val="000000"/>
                      <w:lang w:eastAsia="ja-JP"/>
                    </w:rPr>
                  </w:pPr>
                  <w:r w:rsidRPr="00293FEE">
                    <w:rPr>
                      <w:rFonts w:eastAsia="MS PMincho"/>
                      <w:lang w:eastAsia="ja-JP"/>
                    </w:rPr>
                    <w:t xml:space="preserve">In recent years, the cost for deployment of non-GSO satellite constellations, which can provide broadband connectivity, is decreasing </w:t>
                  </w:r>
                  <w:proofErr w:type="gramStart"/>
                  <w:r w:rsidRPr="00293FEE">
                    <w:rPr>
                      <w:rFonts w:eastAsia="MS PMincho"/>
                      <w:lang w:eastAsia="ja-JP"/>
                    </w:rPr>
                    <w:t>as a result of</w:t>
                  </w:r>
                  <w:proofErr w:type="gramEnd"/>
                  <w:r w:rsidRPr="00293FEE">
                    <w:rPr>
                      <w:rFonts w:eastAsia="MS PMincho"/>
                      <w:lang w:eastAsia="ja-JP"/>
                    </w:rPr>
                    <w:t xml:space="preserve"> innovations of satellite technologies. Besides,</w:t>
                  </w:r>
                  <w:r w:rsidRPr="00293FEE">
                    <w:t xml:space="preserve"> </w:t>
                  </w:r>
                  <w:r w:rsidRPr="00293FEE">
                    <w:rPr>
                      <w:rFonts w:eastAsia="MS PMincho"/>
                      <w:lang w:eastAsia="ja-JP"/>
                    </w:rPr>
                    <w:t xml:space="preserve">progress in communication technologies have made it possible for satellites and terrestrial systems to share the same frequencies without causing harmful interference to terrestrial systems. Since terrestrial IMT systems tend to provide coverage from the population point of view, the extension of geographical coverage is one of the key issues to be solved by mobile operators. Thus, </w:t>
                  </w:r>
                  <w:r w:rsidRPr="00293FEE">
                    <w:rPr>
                      <w:bCs/>
                    </w:rPr>
                    <w:t>it would be beneficial to provide IMT connectivity via satellite systems to existing unmodified mobile terminals.</w:t>
                  </w:r>
                </w:p>
                <w:p w14:paraId="0449B02A" w14:textId="65D12A3E" w:rsidR="00C57B2B" w:rsidRPr="00293FEE" w:rsidRDefault="00C57B2B" w:rsidP="00666A03">
                  <w:pPr>
                    <w:keepNext/>
                    <w:spacing w:before="0" w:after="120"/>
                    <w:rPr>
                      <w:bCs/>
                      <w:iCs/>
                      <w:color w:val="000000"/>
                      <w:lang w:eastAsia="ja-JP"/>
                    </w:rPr>
                  </w:pPr>
                  <w:proofErr w:type="gramStart"/>
                  <w:r w:rsidRPr="00293FEE">
                    <w:rPr>
                      <w:rFonts w:eastAsia="MS PMincho"/>
                      <w:lang w:eastAsia="ja-JP"/>
                    </w:rPr>
                    <w:t>In order to</w:t>
                  </w:r>
                  <w:proofErr w:type="gramEnd"/>
                  <w:r w:rsidRPr="00293FEE">
                    <w:rPr>
                      <w:rFonts w:eastAsia="MS PMincho"/>
                      <w:lang w:eastAsia="ja-JP"/>
                    </w:rPr>
                    <w:t xml:space="preserve"> achieve the above objectives, it would be natural that mobile operators will use their authorized spectrum to extend their mobile broadband coverage to currently unserved areas. Currently, there are no allocations to the MSS in most of the frequency bands used for terrestrial </w:t>
                  </w:r>
                  <w:r w:rsidRPr="00293FEE">
                    <w:rPr>
                      <w:rFonts w:eastAsiaTheme="minorEastAsia"/>
                      <w:bCs/>
                      <w:iCs/>
                      <w:color w:val="000000"/>
                      <w:lang w:eastAsia="ja-JP"/>
                    </w:rPr>
                    <w:t xml:space="preserve">IMT systems. It should be also noted that for developing such networks in a timely manner, it is desirable that the scope of studies and considerations to be focused to the frequency bands having higher feasibility (i.e. low frequency bands identified to IMT, which tend to be occupied and used by terrestrial IMT systems). </w:t>
                  </w:r>
                  <w:r w:rsidRPr="00293FEE">
                    <w:rPr>
                      <w:rFonts w:eastAsia="MS PMincho"/>
                      <w:lang w:eastAsia="ja-JP"/>
                    </w:rPr>
                    <w:t>In this regard</w:t>
                  </w:r>
                  <w:r w:rsidRPr="00293FEE">
                    <w:rPr>
                      <w:rFonts w:eastAsiaTheme="minorEastAsia"/>
                      <w:bCs/>
                      <w:iCs/>
                      <w:color w:val="000000"/>
                      <w:lang w:eastAsia="ja-JP"/>
                    </w:rPr>
                    <w:t xml:space="preserve">, allocations to the </w:t>
                  </w:r>
                  <w:r w:rsidRPr="00293FEE">
                    <w:rPr>
                      <w:rFonts w:eastAsia="MS PMincho"/>
                      <w:lang w:eastAsia="ja-JP"/>
                    </w:rPr>
                    <w:t>MSS</w:t>
                  </w:r>
                  <w:r w:rsidRPr="00293FEE">
                    <w:rPr>
                      <w:rFonts w:eastAsiaTheme="minorEastAsia"/>
                      <w:bCs/>
                      <w:iCs/>
                      <w:color w:val="000000"/>
                      <w:lang w:eastAsia="ja-JP"/>
                    </w:rPr>
                    <w:t>, which is intended to use only for direct communications between non-GSO satellite and IMT user equipment in terrestrial IMT systems in the frequency bands below 2.2</w:t>
                  </w:r>
                  <w:r w:rsidR="002F6A25" w:rsidRPr="00293FEE">
                    <w:rPr>
                      <w:rFonts w:eastAsiaTheme="minorEastAsia"/>
                      <w:bCs/>
                      <w:iCs/>
                      <w:color w:val="000000"/>
                      <w:lang w:eastAsia="ja-JP"/>
                    </w:rPr>
                    <w:t> </w:t>
                  </w:r>
                  <w:r w:rsidRPr="00293FEE">
                    <w:rPr>
                      <w:rFonts w:eastAsiaTheme="minorEastAsia"/>
                      <w:bCs/>
                      <w:iCs/>
                      <w:color w:val="000000"/>
                      <w:lang w:eastAsia="ja-JP"/>
                    </w:rPr>
                    <w:t>GHz identified to IMT, should be considered.</w:t>
                  </w:r>
                </w:p>
              </w:tc>
            </w:tr>
            <w:tr w:rsidR="00C57B2B" w:rsidRPr="00293FEE" w14:paraId="1FE31C30" w14:textId="77777777" w:rsidTr="00AE1C3D">
              <w:trPr>
                <w:cantSplit/>
              </w:trPr>
              <w:tc>
                <w:tcPr>
                  <w:tcW w:w="9723" w:type="dxa"/>
                  <w:gridSpan w:val="2"/>
                  <w:tcBorders>
                    <w:top w:val="single" w:sz="4" w:space="0" w:color="auto"/>
                    <w:bottom w:val="single" w:sz="4" w:space="0" w:color="auto"/>
                  </w:tcBorders>
                </w:tcPr>
                <w:p w14:paraId="5851F98C" w14:textId="77777777" w:rsidR="00C57B2B" w:rsidRPr="00293FEE" w:rsidRDefault="00C57B2B" w:rsidP="00AE1C3D">
                  <w:pPr>
                    <w:keepNext/>
                    <w:spacing w:after="50"/>
                    <w:rPr>
                      <w:b/>
                      <w:i/>
                    </w:rPr>
                  </w:pPr>
                  <w:r w:rsidRPr="00293FEE">
                    <w:rPr>
                      <w:b/>
                      <w:i/>
                    </w:rPr>
                    <w:t>Radiocommunication services concerned:</w:t>
                  </w:r>
                </w:p>
                <w:p w14:paraId="5BDF483C" w14:textId="502EC210" w:rsidR="00C57B2B" w:rsidRPr="00293FEE" w:rsidRDefault="00666A03" w:rsidP="00AE1C3D">
                  <w:pPr>
                    <w:keepNext/>
                    <w:spacing w:after="120"/>
                    <w:jc w:val="both"/>
                    <w:rPr>
                      <w:rFonts w:eastAsiaTheme="minorEastAsia"/>
                      <w:bCs/>
                      <w:iCs/>
                      <w:color w:val="000000"/>
                      <w:lang w:eastAsia="ja-JP"/>
                    </w:rPr>
                  </w:pPr>
                  <w:r w:rsidRPr="00293FEE">
                    <w:rPr>
                      <w:rFonts w:eastAsiaTheme="minorEastAsia"/>
                      <w:bCs/>
                      <w:iCs/>
                      <w:color w:val="000000"/>
                      <w:lang w:eastAsia="ja-JP"/>
                    </w:rPr>
                    <w:t>mobile service</w:t>
                  </w:r>
                  <w:r w:rsidR="00C57B2B" w:rsidRPr="00293FEE">
                    <w:rPr>
                      <w:rFonts w:eastAsiaTheme="minorEastAsia"/>
                      <w:bCs/>
                      <w:iCs/>
                      <w:color w:val="000000"/>
                      <w:lang w:eastAsia="ja-JP"/>
                    </w:rPr>
                    <w:t xml:space="preserve">, </w:t>
                  </w:r>
                  <w:r w:rsidRPr="00293FEE">
                    <w:rPr>
                      <w:rFonts w:eastAsiaTheme="minorEastAsia"/>
                      <w:bCs/>
                      <w:iCs/>
                      <w:color w:val="000000"/>
                      <w:lang w:eastAsia="ja-JP"/>
                    </w:rPr>
                    <w:t>fixed service</w:t>
                  </w:r>
                  <w:r w:rsidR="00C57B2B" w:rsidRPr="00293FEE">
                    <w:rPr>
                      <w:rFonts w:eastAsiaTheme="minorEastAsia"/>
                      <w:bCs/>
                      <w:iCs/>
                      <w:color w:val="000000"/>
                      <w:lang w:eastAsia="ja-JP"/>
                    </w:rPr>
                    <w:t xml:space="preserve">, </w:t>
                  </w:r>
                  <w:r w:rsidRPr="00293FEE">
                    <w:rPr>
                      <w:rFonts w:eastAsiaTheme="minorEastAsia"/>
                      <w:bCs/>
                      <w:iCs/>
                      <w:color w:val="000000"/>
                      <w:lang w:eastAsia="ja-JP"/>
                    </w:rPr>
                    <w:t>broadcasting service</w:t>
                  </w:r>
                  <w:r w:rsidR="00C57B2B" w:rsidRPr="00293FEE">
                    <w:rPr>
                      <w:rFonts w:eastAsiaTheme="minorEastAsia"/>
                      <w:bCs/>
                      <w:iCs/>
                      <w:color w:val="000000"/>
                      <w:lang w:eastAsia="ja-JP"/>
                    </w:rPr>
                    <w:t xml:space="preserve">, </w:t>
                  </w:r>
                  <w:r w:rsidRPr="00293FEE">
                    <w:rPr>
                      <w:rFonts w:eastAsiaTheme="minorEastAsia"/>
                      <w:bCs/>
                      <w:iCs/>
                      <w:color w:val="000000"/>
                      <w:lang w:eastAsia="ja-JP"/>
                    </w:rPr>
                    <w:t>mobile-satellite service</w:t>
                  </w:r>
                  <w:r w:rsidR="00C57B2B" w:rsidRPr="00293FEE">
                    <w:rPr>
                      <w:rFonts w:eastAsiaTheme="minorEastAsia"/>
                      <w:bCs/>
                      <w:iCs/>
                      <w:color w:val="000000"/>
                      <w:lang w:eastAsia="ja-JP"/>
                    </w:rPr>
                    <w:t>, and other services</w:t>
                  </w:r>
                </w:p>
              </w:tc>
            </w:tr>
            <w:tr w:rsidR="00C57B2B" w:rsidRPr="00293FEE" w14:paraId="0D3FEF0B" w14:textId="77777777" w:rsidTr="00AE1C3D">
              <w:trPr>
                <w:cantSplit/>
              </w:trPr>
              <w:tc>
                <w:tcPr>
                  <w:tcW w:w="9723" w:type="dxa"/>
                  <w:gridSpan w:val="2"/>
                  <w:tcBorders>
                    <w:top w:val="single" w:sz="4" w:space="0" w:color="auto"/>
                    <w:bottom w:val="single" w:sz="4" w:space="0" w:color="auto"/>
                  </w:tcBorders>
                </w:tcPr>
                <w:p w14:paraId="66BD109D" w14:textId="77777777" w:rsidR="00C57B2B" w:rsidRPr="00293FEE" w:rsidRDefault="00C57B2B" w:rsidP="00AE1C3D">
                  <w:pPr>
                    <w:keepNext/>
                    <w:spacing w:after="50"/>
                    <w:rPr>
                      <w:rFonts w:eastAsia="MS PMincho"/>
                      <w:lang w:eastAsia="ja-JP"/>
                    </w:rPr>
                  </w:pPr>
                  <w:r w:rsidRPr="00293FEE">
                    <w:rPr>
                      <w:b/>
                      <w:i/>
                    </w:rPr>
                    <w:t>Indication of possible difficulties:</w:t>
                  </w:r>
                </w:p>
                <w:p w14:paraId="7E333332" w14:textId="415BB75D" w:rsidR="00C57B2B" w:rsidRPr="00293FEE" w:rsidRDefault="00C57B2B" w:rsidP="00AE1C3D">
                  <w:pPr>
                    <w:keepNext/>
                    <w:spacing w:after="120"/>
                    <w:jc w:val="both"/>
                    <w:rPr>
                      <w:rFonts w:eastAsiaTheme="minorEastAsia"/>
                      <w:bCs/>
                      <w:iCs/>
                      <w:color w:val="000000"/>
                      <w:lang w:eastAsia="ja-JP"/>
                    </w:rPr>
                  </w:pPr>
                  <w:r w:rsidRPr="00293FEE">
                    <w:rPr>
                      <w:rFonts w:eastAsiaTheme="minorEastAsia"/>
                      <w:bCs/>
                      <w:iCs/>
                      <w:color w:val="000000"/>
                      <w:lang w:eastAsia="ja-JP"/>
                    </w:rPr>
                    <w:t xml:space="preserve">How to protect the incumbent services on a primary basis from the newly allocated </w:t>
                  </w:r>
                  <w:r w:rsidRPr="00293FEE">
                    <w:rPr>
                      <w:rFonts w:eastAsia="MS PMincho"/>
                      <w:lang w:eastAsia="ja-JP"/>
                    </w:rPr>
                    <w:t>MSS</w:t>
                  </w:r>
                  <w:r w:rsidRPr="00293FEE">
                    <w:rPr>
                      <w:rFonts w:eastAsiaTheme="minorEastAsia"/>
                      <w:bCs/>
                      <w:iCs/>
                      <w:color w:val="000000"/>
                      <w:lang w:eastAsia="ja-JP"/>
                    </w:rPr>
                    <w:t>.</w:t>
                  </w:r>
                </w:p>
              </w:tc>
            </w:tr>
            <w:tr w:rsidR="00C57B2B" w:rsidRPr="00293FEE" w14:paraId="0889D3E8" w14:textId="77777777" w:rsidTr="00AE1C3D">
              <w:trPr>
                <w:cantSplit/>
              </w:trPr>
              <w:tc>
                <w:tcPr>
                  <w:tcW w:w="9723" w:type="dxa"/>
                  <w:gridSpan w:val="2"/>
                  <w:tcBorders>
                    <w:top w:val="single" w:sz="4" w:space="0" w:color="auto"/>
                    <w:bottom w:val="single" w:sz="4" w:space="0" w:color="auto"/>
                  </w:tcBorders>
                </w:tcPr>
                <w:p w14:paraId="68C21F6F" w14:textId="77777777" w:rsidR="00C57B2B" w:rsidRPr="00293FEE" w:rsidRDefault="00C57B2B" w:rsidP="00AE1C3D">
                  <w:pPr>
                    <w:keepNext/>
                    <w:spacing w:after="50"/>
                    <w:rPr>
                      <w:b/>
                      <w:i/>
                    </w:rPr>
                  </w:pPr>
                  <w:r w:rsidRPr="00293FEE">
                    <w:rPr>
                      <w:b/>
                      <w:i/>
                    </w:rPr>
                    <w:t>Previous/ongoing studies on the issue:</w:t>
                  </w:r>
                </w:p>
                <w:p w14:paraId="7A3CC621" w14:textId="77777777" w:rsidR="00C57B2B" w:rsidRPr="00293FEE" w:rsidRDefault="00C57B2B" w:rsidP="00AE1C3D">
                  <w:pPr>
                    <w:keepNext/>
                    <w:spacing w:after="120"/>
                    <w:rPr>
                      <w:rFonts w:eastAsiaTheme="minorEastAsia"/>
                      <w:bCs/>
                      <w:iCs/>
                      <w:color w:val="000000"/>
                      <w:lang w:eastAsia="ja-JP"/>
                    </w:rPr>
                  </w:pPr>
                  <w:r w:rsidRPr="00293FEE">
                    <w:rPr>
                      <w:rFonts w:eastAsiaTheme="minorEastAsia"/>
                      <w:bCs/>
                      <w:iCs/>
                      <w:color w:val="000000"/>
                      <w:lang w:eastAsia="ja-JP"/>
                    </w:rPr>
                    <w:t>None.</w:t>
                  </w:r>
                </w:p>
              </w:tc>
            </w:tr>
            <w:tr w:rsidR="00C57B2B" w:rsidRPr="00293FEE" w14:paraId="7D107914" w14:textId="77777777" w:rsidTr="00AE1C3D">
              <w:trPr>
                <w:cantSplit/>
              </w:trPr>
              <w:tc>
                <w:tcPr>
                  <w:tcW w:w="4897" w:type="dxa"/>
                  <w:tcBorders>
                    <w:top w:val="single" w:sz="4" w:space="0" w:color="auto"/>
                    <w:bottom w:val="single" w:sz="4" w:space="0" w:color="auto"/>
                  </w:tcBorders>
                </w:tcPr>
                <w:p w14:paraId="2A931EC2" w14:textId="77777777" w:rsidR="00C57B2B" w:rsidRPr="00293FEE" w:rsidRDefault="00C57B2B" w:rsidP="00AE1C3D">
                  <w:pPr>
                    <w:keepNext/>
                    <w:spacing w:after="50"/>
                    <w:rPr>
                      <w:b/>
                      <w:i/>
                    </w:rPr>
                  </w:pPr>
                  <w:r w:rsidRPr="00293FEE">
                    <w:rPr>
                      <w:b/>
                      <w:i/>
                    </w:rPr>
                    <w:t>Studies to be carried out by:</w:t>
                  </w:r>
                </w:p>
                <w:p w14:paraId="690FCA25" w14:textId="59E1408B" w:rsidR="00C57B2B" w:rsidRPr="00293FEE" w:rsidRDefault="00C57B2B" w:rsidP="00AE1C3D">
                  <w:pPr>
                    <w:keepNext/>
                    <w:spacing w:after="120"/>
                    <w:rPr>
                      <w:rFonts w:eastAsiaTheme="minorEastAsia"/>
                      <w:bCs/>
                      <w:iCs/>
                      <w:color w:val="000000"/>
                      <w:lang w:eastAsia="ja-JP"/>
                    </w:rPr>
                  </w:pPr>
                  <w:r w:rsidRPr="00293FEE">
                    <w:rPr>
                      <w:rFonts w:eastAsiaTheme="minorEastAsia"/>
                      <w:bCs/>
                      <w:iCs/>
                      <w:color w:val="000000"/>
                      <w:lang w:eastAsia="ja-JP"/>
                    </w:rPr>
                    <w:t>ITU</w:t>
                  </w:r>
                  <w:r w:rsidR="002F6A25" w:rsidRPr="00293FEE">
                    <w:rPr>
                      <w:rFonts w:eastAsiaTheme="minorEastAsia"/>
                      <w:bCs/>
                      <w:iCs/>
                      <w:color w:val="000000"/>
                      <w:lang w:eastAsia="ja-JP"/>
                    </w:rPr>
                    <w:noBreakHyphen/>
                  </w:r>
                  <w:r w:rsidRPr="00293FEE">
                    <w:rPr>
                      <w:rFonts w:eastAsiaTheme="minorEastAsia"/>
                      <w:bCs/>
                      <w:iCs/>
                      <w:color w:val="000000"/>
                      <w:lang w:eastAsia="ja-JP"/>
                    </w:rPr>
                    <w:t>R WP 4C as responsible group</w:t>
                  </w:r>
                </w:p>
              </w:tc>
              <w:tc>
                <w:tcPr>
                  <w:tcW w:w="4826" w:type="dxa"/>
                  <w:tcBorders>
                    <w:top w:val="single" w:sz="4" w:space="0" w:color="auto"/>
                    <w:bottom w:val="single" w:sz="4" w:space="0" w:color="auto"/>
                  </w:tcBorders>
                </w:tcPr>
                <w:p w14:paraId="1DCAED32" w14:textId="77777777" w:rsidR="00C57B2B" w:rsidRPr="00293FEE" w:rsidRDefault="00C57B2B" w:rsidP="00AE1C3D">
                  <w:pPr>
                    <w:keepNext/>
                    <w:spacing w:after="50"/>
                    <w:rPr>
                      <w:b/>
                      <w:i/>
                    </w:rPr>
                  </w:pPr>
                  <w:r w:rsidRPr="00293FEE">
                    <w:rPr>
                      <w:b/>
                      <w:i/>
                    </w:rPr>
                    <w:t>with the participation of:</w:t>
                  </w:r>
                </w:p>
                <w:p w14:paraId="0CFA6565" w14:textId="152280F5" w:rsidR="00C57B2B" w:rsidRPr="00293FEE" w:rsidRDefault="00C57B2B" w:rsidP="00AE1C3D">
                  <w:pPr>
                    <w:keepNext/>
                    <w:spacing w:after="120"/>
                    <w:rPr>
                      <w:bCs/>
                      <w:iCs/>
                      <w:color w:val="000000"/>
                      <w:lang w:eastAsia="ja-JP"/>
                    </w:rPr>
                  </w:pPr>
                  <w:r w:rsidRPr="00293FEE">
                    <w:rPr>
                      <w:rFonts w:eastAsiaTheme="minorEastAsia"/>
                      <w:bCs/>
                      <w:iCs/>
                      <w:color w:val="000000"/>
                      <w:lang w:eastAsia="ja-JP"/>
                    </w:rPr>
                    <w:t>Administrations and sector members of the ITU</w:t>
                  </w:r>
                  <w:r w:rsidR="002F6A25" w:rsidRPr="00293FEE">
                    <w:rPr>
                      <w:rFonts w:eastAsiaTheme="minorEastAsia"/>
                      <w:bCs/>
                      <w:iCs/>
                      <w:color w:val="000000"/>
                      <w:lang w:eastAsia="ja-JP"/>
                    </w:rPr>
                    <w:noBreakHyphen/>
                  </w:r>
                  <w:r w:rsidRPr="00293FEE">
                    <w:rPr>
                      <w:rFonts w:eastAsiaTheme="minorEastAsia"/>
                      <w:bCs/>
                      <w:iCs/>
                      <w:color w:val="000000"/>
                      <w:lang w:eastAsia="ja-JP"/>
                    </w:rPr>
                    <w:t>R</w:t>
                  </w:r>
                </w:p>
              </w:tc>
            </w:tr>
            <w:tr w:rsidR="00C57B2B" w:rsidRPr="00293FEE" w14:paraId="31855123" w14:textId="77777777" w:rsidTr="00AE1C3D">
              <w:trPr>
                <w:cantSplit/>
              </w:trPr>
              <w:tc>
                <w:tcPr>
                  <w:tcW w:w="9723" w:type="dxa"/>
                  <w:gridSpan w:val="2"/>
                  <w:tcBorders>
                    <w:top w:val="single" w:sz="4" w:space="0" w:color="auto"/>
                    <w:bottom w:val="single" w:sz="4" w:space="0" w:color="auto"/>
                  </w:tcBorders>
                </w:tcPr>
                <w:p w14:paraId="7C01E69A" w14:textId="77777777" w:rsidR="00C57B2B" w:rsidRPr="00293FEE" w:rsidRDefault="00C57B2B" w:rsidP="00AE1C3D">
                  <w:pPr>
                    <w:keepNext/>
                    <w:spacing w:after="50"/>
                    <w:rPr>
                      <w:b/>
                      <w:i/>
                    </w:rPr>
                  </w:pPr>
                  <w:r w:rsidRPr="00293FEE">
                    <w:rPr>
                      <w:b/>
                      <w:i/>
                    </w:rPr>
                    <w:t>ITU</w:t>
                  </w:r>
                  <w:r w:rsidRPr="00293FEE">
                    <w:rPr>
                      <w:b/>
                      <w:i/>
                    </w:rPr>
                    <w:noBreakHyphen/>
                    <w:t>R Study Groups concerned:</w:t>
                  </w:r>
                </w:p>
                <w:p w14:paraId="6FF8A957" w14:textId="77777777" w:rsidR="00C57B2B" w:rsidRPr="00293FEE" w:rsidRDefault="00C57B2B" w:rsidP="00AE1C3D">
                  <w:pPr>
                    <w:keepNext/>
                    <w:spacing w:after="120"/>
                    <w:rPr>
                      <w:rFonts w:eastAsiaTheme="minorEastAsia"/>
                      <w:bCs/>
                      <w:iCs/>
                      <w:color w:val="000000"/>
                      <w:lang w:eastAsia="ja-JP"/>
                    </w:rPr>
                  </w:pPr>
                  <w:r w:rsidRPr="00293FEE">
                    <w:rPr>
                      <w:rFonts w:eastAsiaTheme="minorEastAsia"/>
                      <w:bCs/>
                      <w:iCs/>
                      <w:color w:val="000000"/>
                      <w:lang w:eastAsia="ja-JP"/>
                    </w:rPr>
                    <w:t>Study Groups 4, 5, 6 and 7</w:t>
                  </w:r>
                </w:p>
              </w:tc>
            </w:tr>
            <w:tr w:rsidR="00C57B2B" w:rsidRPr="00293FEE" w14:paraId="6931773C" w14:textId="77777777" w:rsidTr="00AE1C3D">
              <w:trPr>
                <w:cantSplit/>
              </w:trPr>
              <w:tc>
                <w:tcPr>
                  <w:tcW w:w="9723" w:type="dxa"/>
                  <w:gridSpan w:val="2"/>
                  <w:tcBorders>
                    <w:top w:val="single" w:sz="4" w:space="0" w:color="auto"/>
                    <w:bottom w:val="single" w:sz="4" w:space="0" w:color="auto"/>
                  </w:tcBorders>
                </w:tcPr>
                <w:p w14:paraId="62868028" w14:textId="77777777" w:rsidR="00C57B2B" w:rsidRPr="00293FEE" w:rsidRDefault="00C57B2B" w:rsidP="00AE1C3D">
                  <w:pPr>
                    <w:keepNext/>
                    <w:spacing w:after="50"/>
                    <w:rPr>
                      <w:b/>
                      <w:i/>
                    </w:rPr>
                  </w:pPr>
                  <w:r w:rsidRPr="00293FEE">
                    <w:rPr>
                      <w:b/>
                      <w:i/>
                    </w:rPr>
                    <w:t>ITU resource implications, including financial implications (refer to CV126):</w:t>
                  </w:r>
                </w:p>
                <w:p w14:paraId="5CEF7391" w14:textId="668432E4" w:rsidR="00C57B2B" w:rsidRPr="00293FEE" w:rsidRDefault="00C57B2B" w:rsidP="00AE1C3D">
                  <w:pPr>
                    <w:keepNext/>
                    <w:spacing w:after="120"/>
                    <w:jc w:val="both"/>
                    <w:rPr>
                      <w:rFonts w:eastAsiaTheme="minorEastAsia"/>
                      <w:bCs/>
                      <w:iCs/>
                      <w:color w:val="000000"/>
                      <w:lang w:eastAsia="ja-JP"/>
                    </w:rPr>
                  </w:pPr>
                  <w:r w:rsidRPr="00293FEE">
                    <w:rPr>
                      <w:rFonts w:eastAsiaTheme="minorEastAsia"/>
                      <w:bCs/>
                      <w:iCs/>
                      <w:color w:val="000000"/>
                      <w:lang w:eastAsia="ja-JP"/>
                    </w:rPr>
                    <w:lastRenderedPageBreak/>
                    <w:t>This proposed agenda item will be studied within the normal ITU</w:t>
                  </w:r>
                  <w:r w:rsidR="002F6A25" w:rsidRPr="00293FEE">
                    <w:rPr>
                      <w:rFonts w:eastAsiaTheme="minorEastAsia"/>
                      <w:bCs/>
                      <w:iCs/>
                      <w:color w:val="000000"/>
                      <w:lang w:eastAsia="ja-JP"/>
                    </w:rPr>
                    <w:noBreakHyphen/>
                  </w:r>
                  <w:r w:rsidRPr="00293FEE">
                    <w:rPr>
                      <w:rFonts w:eastAsiaTheme="minorEastAsia"/>
                      <w:bCs/>
                      <w:iCs/>
                      <w:color w:val="000000"/>
                      <w:lang w:eastAsia="ja-JP"/>
                    </w:rPr>
                    <w:t>R procedures and planned budget.</w:t>
                  </w:r>
                </w:p>
              </w:tc>
            </w:tr>
            <w:tr w:rsidR="00C57B2B" w:rsidRPr="00293FEE" w14:paraId="5AC75197" w14:textId="77777777" w:rsidTr="00AE1C3D">
              <w:trPr>
                <w:cantSplit/>
              </w:trPr>
              <w:tc>
                <w:tcPr>
                  <w:tcW w:w="4897" w:type="dxa"/>
                  <w:tcBorders>
                    <w:top w:val="single" w:sz="4" w:space="0" w:color="auto"/>
                    <w:bottom w:val="single" w:sz="4" w:space="0" w:color="auto"/>
                  </w:tcBorders>
                </w:tcPr>
                <w:p w14:paraId="29B838C7" w14:textId="77777777" w:rsidR="00C57B2B" w:rsidRPr="00293FEE" w:rsidRDefault="00C57B2B" w:rsidP="00AE1C3D">
                  <w:pPr>
                    <w:keepNext/>
                    <w:spacing w:after="50"/>
                    <w:rPr>
                      <w:b/>
                      <w:i/>
                    </w:rPr>
                  </w:pPr>
                  <w:r w:rsidRPr="00293FEE">
                    <w:rPr>
                      <w:b/>
                      <w:i/>
                    </w:rPr>
                    <w:lastRenderedPageBreak/>
                    <w:t>Common regional proposal:</w:t>
                  </w:r>
                </w:p>
                <w:p w14:paraId="1B66E710" w14:textId="77777777" w:rsidR="00C57B2B" w:rsidRPr="00293FEE" w:rsidRDefault="00C57B2B" w:rsidP="00AE1C3D">
                  <w:pPr>
                    <w:keepNext/>
                    <w:spacing w:after="50"/>
                    <w:rPr>
                      <w:b/>
                      <w:iCs/>
                    </w:rPr>
                  </w:pPr>
                  <w:r w:rsidRPr="00293FEE">
                    <w:rPr>
                      <w:b/>
                      <w:i/>
                    </w:rPr>
                    <w:t>No</w:t>
                  </w:r>
                </w:p>
              </w:tc>
              <w:tc>
                <w:tcPr>
                  <w:tcW w:w="4826" w:type="dxa"/>
                  <w:tcBorders>
                    <w:top w:val="single" w:sz="4" w:space="0" w:color="auto"/>
                    <w:bottom w:val="single" w:sz="4" w:space="0" w:color="auto"/>
                  </w:tcBorders>
                </w:tcPr>
                <w:p w14:paraId="55BB1033" w14:textId="77777777" w:rsidR="00C57B2B" w:rsidRPr="00293FEE" w:rsidRDefault="00C57B2B" w:rsidP="00AE1C3D">
                  <w:pPr>
                    <w:keepNext/>
                    <w:spacing w:after="50"/>
                    <w:rPr>
                      <w:b/>
                      <w:i/>
                    </w:rPr>
                  </w:pPr>
                  <w:r w:rsidRPr="00293FEE">
                    <w:rPr>
                      <w:b/>
                      <w:i/>
                    </w:rPr>
                    <w:t>Multicountry proposal: No</w:t>
                  </w:r>
                </w:p>
                <w:p w14:paraId="046967FF" w14:textId="77777777" w:rsidR="00C57B2B" w:rsidRPr="00293FEE" w:rsidRDefault="00C57B2B" w:rsidP="00AE1C3D">
                  <w:pPr>
                    <w:keepNext/>
                    <w:spacing w:after="50"/>
                    <w:rPr>
                      <w:b/>
                      <w:i/>
                    </w:rPr>
                  </w:pPr>
                  <w:r w:rsidRPr="00293FEE">
                    <w:rPr>
                      <w:b/>
                      <w:i/>
                    </w:rPr>
                    <w:t>Number of countries: N/A</w:t>
                  </w:r>
                </w:p>
              </w:tc>
            </w:tr>
            <w:tr w:rsidR="00C57B2B" w:rsidRPr="00293FEE" w14:paraId="3E74D3A3" w14:textId="77777777" w:rsidTr="00AE1C3D">
              <w:trPr>
                <w:cantSplit/>
              </w:trPr>
              <w:tc>
                <w:tcPr>
                  <w:tcW w:w="9723" w:type="dxa"/>
                  <w:gridSpan w:val="2"/>
                  <w:tcBorders>
                    <w:top w:val="single" w:sz="4" w:space="0" w:color="auto"/>
                    <w:bottom w:val="single" w:sz="4" w:space="0" w:color="auto"/>
                  </w:tcBorders>
                </w:tcPr>
                <w:p w14:paraId="2B91F149" w14:textId="77777777" w:rsidR="00C57B2B" w:rsidRPr="00293FEE" w:rsidRDefault="00C57B2B" w:rsidP="00AE1C3D">
                  <w:pPr>
                    <w:keepNext/>
                    <w:spacing w:after="50"/>
                    <w:rPr>
                      <w:b/>
                      <w:i/>
                    </w:rPr>
                  </w:pPr>
                  <w:r w:rsidRPr="00293FEE">
                    <w:rPr>
                      <w:b/>
                      <w:i/>
                    </w:rPr>
                    <w:t>Remarks</w:t>
                  </w:r>
                </w:p>
                <w:p w14:paraId="18E258C9" w14:textId="77777777" w:rsidR="00C57B2B" w:rsidRPr="00293FEE" w:rsidRDefault="00C57B2B" w:rsidP="00AE1C3D">
                  <w:pPr>
                    <w:rPr>
                      <w:b/>
                      <w:i/>
                    </w:rPr>
                  </w:pPr>
                  <w:r w:rsidRPr="00293FEE">
                    <w:rPr>
                      <w:b/>
                      <w:i/>
                    </w:rPr>
                    <w:t>N/A</w:t>
                  </w:r>
                </w:p>
              </w:tc>
            </w:tr>
          </w:tbl>
          <w:p w14:paraId="3656C440" w14:textId="77777777" w:rsidR="00C57B2B" w:rsidRPr="00293FEE" w:rsidRDefault="00C57B2B" w:rsidP="00AE1C3D">
            <w:pPr>
              <w:jc w:val="both"/>
              <w:rPr>
                <w:lang w:eastAsia="ja-JP"/>
              </w:rPr>
            </w:pPr>
          </w:p>
        </w:tc>
      </w:tr>
    </w:tbl>
    <w:p w14:paraId="7A8E91D8" w14:textId="78A14451" w:rsidR="00DF68C2" w:rsidRPr="002F6A25" w:rsidRDefault="00BC099C" w:rsidP="002F6A25">
      <w:pPr>
        <w:tabs>
          <w:tab w:val="clear" w:pos="1871"/>
          <w:tab w:val="clear" w:pos="2268"/>
        </w:tabs>
        <w:jc w:val="center"/>
        <w:rPr>
          <w:rFonts w:eastAsiaTheme="minorEastAsia"/>
          <w:lang w:eastAsia="zh-CN"/>
        </w:rPr>
      </w:pPr>
      <w:r w:rsidRPr="00293FEE">
        <w:rPr>
          <w:rFonts w:eastAsiaTheme="minorEastAsia"/>
          <w:lang w:eastAsia="zh-CN"/>
        </w:rPr>
        <w:lastRenderedPageBreak/>
        <w:t>_____________</w:t>
      </w:r>
    </w:p>
    <w:sectPr w:rsidR="00DF68C2" w:rsidRPr="002F6A25"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78DB" w14:textId="77777777" w:rsidR="00BB55D5" w:rsidRDefault="00BB55D5">
      <w:r>
        <w:separator/>
      </w:r>
    </w:p>
  </w:endnote>
  <w:endnote w:type="continuationSeparator" w:id="0">
    <w:p w14:paraId="44BA2F66" w14:textId="77777777" w:rsidR="00BB55D5" w:rsidRDefault="00BB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946D" w14:textId="77777777" w:rsidR="00E45D05" w:rsidRDefault="00E45D05">
    <w:pPr>
      <w:framePr w:wrap="around" w:vAnchor="text" w:hAnchor="margin" w:xAlign="right" w:y="1"/>
    </w:pPr>
    <w:r>
      <w:fldChar w:fldCharType="begin"/>
    </w:r>
    <w:r>
      <w:instrText xml:space="preserve">PAGE  </w:instrText>
    </w:r>
    <w:r>
      <w:fldChar w:fldCharType="end"/>
    </w:r>
  </w:p>
  <w:p w14:paraId="3182CAAD" w14:textId="476DC6B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75B0C">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5B4A" w14:textId="50023C3F" w:rsidR="00E45D05" w:rsidRDefault="00E45D05" w:rsidP="009B1EA1">
    <w:pPr>
      <w:pStyle w:val="Footer"/>
    </w:pPr>
    <w:r>
      <w:fldChar w:fldCharType="begin"/>
    </w:r>
    <w:r w:rsidRPr="0041348E">
      <w:rPr>
        <w:lang w:val="en-US"/>
      </w:rPr>
      <w:instrText xml:space="preserve"> FILENAME \p  \* MERGEFORMAT </w:instrText>
    </w:r>
    <w:r>
      <w:fldChar w:fldCharType="separate"/>
    </w:r>
    <w:r w:rsidR="00A87403">
      <w:rPr>
        <w:lang w:val="en-US"/>
      </w:rPr>
      <w:t>P:\ENG\ITU-R\CONF-R\CMR23\000\099ADD27ADD01E.doc</w:t>
    </w:r>
    <w:r>
      <w:fldChar w:fldCharType="end"/>
    </w:r>
    <w:r w:rsidR="00A87403">
      <w:t xml:space="preserve"> (530159)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3C46" w14:textId="31B1A00D" w:rsidR="00A87403" w:rsidRPr="00A87403" w:rsidRDefault="00A87403">
    <w:pPr>
      <w:pStyle w:val="Footer"/>
    </w:pPr>
    <w:r>
      <w:fldChar w:fldCharType="begin"/>
    </w:r>
    <w:r w:rsidRPr="00A87403">
      <w:instrText xml:space="preserve"> FILENAME \p \* MERGEFORMAT </w:instrText>
    </w:r>
    <w:r>
      <w:fldChar w:fldCharType="separate"/>
    </w:r>
    <w:r w:rsidRPr="00A87403">
      <w:t>P:\ENG\ITU-R\CONF-R\CMR23\000\099ADD27ADD01E.doc</w:t>
    </w:r>
    <w:r>
      <w:fldChar w:fldCharType="end"/>
    </w:r>
    <w:r>
      <w:t xml:space="preserve"> (530159)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8A59" w14:textId="77777777" w:rsidR="00BB55D5" w:rsidRDefault="00BB55D5">
      <w:r>
        <w:rPr>
          <w:b/>
        </w:rPr>
        <w:t>_______________</w:t>
      </w:r>
    </w:p>
  </w:footnote>
  <w:footnote w:type="continuationSeparator" w:id="0">
    <w:p w14:paraId="4F9D868A" w14:textId="77777777" w:rsidR="00BB55D5" w:rsidRDefault="00BB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F22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2A998FA"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99(Add.27)(Add.1)</w:t>
    </w:r>
    <w:bookmarkEnd w:id="10"/>
    <w:bookmarkEnd w:id="11"/>
    <w:bookmarkEnd w:id="1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FD7448"/>
    <w:multiLevelType w:val="multilevel"/>
    <w:tmpl w:val="01FD7448"/>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15:restartNumberingAfterBreak="0">
    <w:nsid w:val="37F32B35"/>
    <w:multiLevelType w:val="hybridMultilevel"/>
    <w:tmpl w:val="E4FC2C0C"/>
    <w:lvl w:ilvl="0" w:tplc="43380658">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F01305"/>
    <w:multiLevelType w:val="multilevel"/>
    <w:tmpl w:val="6CF01305"/>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2511339">
    <w:abstractNumId w:val="0"/>
  </w:num>
  <w:num w:numId="2" w16cid:durableId="83391126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16037257">
    <w:abstractNumId w:val="4"/>
  </w:num>
  <w:num w:numId="4" w16cid:durableId="1130899953">
    <w:abstractNumId w:val="2"/>
  </w:num>
  <w:num w:numId="5" w16cid:durableId="1051267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3542"/>
    <w:rsid w:val="000D154B"/>
    <w:rsid w:val="000D2DAF"/>
    <w:rsid w:val="000E463E"/>
    <w:rsid w:val="000F73FF"/>
    <w:rsid w:val="00113956"/>
    <w:rsid w:val="00114CF7"/>
    <w:rsid w:val="00116C7A"/>
    <w:rsid w:val="00123B68"/>
    <w:rsid w:val="00126F2E"/>
    <w:rsid w:val="00146F6F"/>
    <w:rsid w:val="00161F26"/>
    <w:rsid w:val="00187BD9"/>
    <w:rsid w:val="00190B55"/>
    <w:rsid w:val="001C3B5F"/>
    <w:rsid w:val="001D058F"/>
    <w:rsid w:val="001E7A9E"/>
    <w:rsid w:val="001F151C"/>
    <w:rsid w:val="002009EA"/>
    <w:rsid w:val="002015E4"/>
    <w:rsid w:val="00202756"/>
    <w:rsid w:val="00202CA0"/>
    <w:rsid w:val="00216B6D"/>
    <w:rsid w:val="0022757F"/>
    <w:rsid w:val="00241FA2"/>
    <w:rsid w:val="00271316"/>
    <w:rsid w:val="00293FEE"/>
    <w:rsid w:val="002B349C"/>
    <w:rsid w:val="002D58BE"/>
    <w:rsid w:val="002F4747"/>
    <w:rsid w:val="002F6A25"/>
    <w:rsid w:val="00302605"/>
    <w:rsid w:val="00323A8A"/>
    <w:rsid w:val="00361B37"/>
    <w:rsid w:val="003679AA"/>
    <w:rsid w:val="00377BD3"/>
    <w:rsid w:val="00384088"/>
    <w:rsid w:val="003852CE"/>
    <w:rsid w:val="0039169B"/>
    <w:rsid w:val="003A7F8C"/>
    <w:rsid w:val="003B2284"/>
    <w:rsid w:val="003B532E"/>
    <w:rsid w:val="003D0F8B"/>
    <w:rsid w:val="003E0DB6"/>
    <w:rsid w:val="003E7F1F"/>
    <w:rsid w:val="003F653E"/>
    <w:rsid w:val="0041348E"/>
    <w:rsid w:val="00420873"/>
    <w:rsid w:val="00427B55"/>
    <w:rsid w:val="00455359"/>
    <w:rsid w:val="00463F57"/>
    <w:rsid w:val="00492075"/>
    <w:rsid w:val="004969AD"/>
    <w:rsid w:val="004A26C4"/>
    <w:rsid w:val="004B13CB"/>
    <w:rsid w:val="004B4B39"/>
    <w:rsid w:val="004D26EA"/>
    <w:rsid w:val="004D2BFB"/>
    <w:rsid w:val="004D5D5C"/>
    <w:rsid w:val="004F3DC0"/>
    <w:rsid w:val="0050139F"/>
    <w:rsid w:val="005048D4"/>
    <w:rsid w:val="0055140B"/>
    <w:rsid w:val="005533E3"/>
    <w:rsid w:val="005861D7"/>
    <w:rsid w:val="005964AB"/>
    <w:rsid w:val="005C099A"/>
    <w:rsid w:val="005C31A5"/>
    <w:rsid w:val="005E10C9"/>
    <w:rsid w:val="005E290B"/>
    <w:rsid w:val="005E61DD"/>
    <w:rsid w:val="005F04D8"/>
    <w:rsid w:val="006023DF"/>
    <w:rsid w:val="00611739"/>
    <w:rsid w:val="00615426"/>
    <w:rsid w:val="00616219"/>
    <w:rsid w:val="00645B7D"/>
    <w:rsid w:val="00657DE0"/>
    <w:rsid w:val="00666A03"/>
    <w:rsid w:val="00672EEC"/>
    <w:rsid w:val="00685313"/>
    <w:rsid w:val="00692833"/>
    <w:rsid w:val="006A6E9B"/>
    <w:rsid w:val="006B5780"/>
    <w:rsid w:val="006B7C2A"/>
    <w:rsid w:val="006C23DA"/>
    <w:rsid w:val="006D1EED"/>
    <w:rsid w:val="006D70B0"/>
    <w:rsid w:val="006E3D45"/>
    <w:rsid w:val="0070607A"/>
    <w:rsid w:val="007149F9"/>
    <w:rsid w:val="00733A30"/>
    <w:rsid w:val="00745AEE"/>
    <w:rsid w:val="00750F10"/>
    <w:rsid w:val="007742CA"/>
    <w:rsid w:val="00790D70"/>
    <w:rsid w:val="007A4032"/>
    <w:rsid w:val="007A6F1F"/>
    <w:rsid w:val="007D5320"/>
    <w:rsid w:val="00800972"/>
    <w:rsid w:val="00804475"/>
    <w:rsid w:val="00811633"/>
    <w:rsid w:val="00814037"/>
    <w:rsid w:val="00841216"/>
    <w:rsid w:val="00842AF0"/>
    <w:rsid w:val="0086171E"/>
    <w:rsid w:val="00872FC8"/>
    <w:rsid w:val="008845D0"/>
    <w:rsid w:val="00884D60"/>
    <w:rsid w:val="00896C24"/>
    <w:rsid w:val="00896E56"/>
    <w:rsid w:val="008B43F2"/>
    <w:rsid w:val="008B45C2"/>
    <w:rsid w:val="008B6CFF"/>
    <w:rsid w:val="00926CE6"/>
    <w:rsid w:val="009274B4"/>
    <w:rsid w:val="00934EA2"/>
    <w:rsid w:val="00944A5C"/>
    <w:rsid w:val="00952A66"/>
    <w:rsid w:val="009B1EA1"/>
    <w:rsid w:val="009B7C9A"/>
    <w:rsid w:val="009C56E5"/>
    <w:rsid w:val="009C7716"/>
    <w:rsid w:val="009E5FC8"/>
    <w:rsid w:val="009E687A"/>
    <w:rsid w:val="009F236F"/>
    <w:rsid w:val="00A066F1"/>
    <w:rsid w:val="00A141AF"/>
    <w:rsid w:val="00A1669B"/>
    <w:rsid w:val="00A16D29"/>
    <w:rsid w:val="00A30305"/>
    <w:rsid w:val="00A31D2D"/>
    <w:rsid w:val="00A4600A"/>
    <w:rsid w:val="00A538A6"/>
    <w:rsid w:val="00A54C25"/>
    <w:rsid w:val="00A5578F"/>
    <w:rsid w:val="00A710E7"/>
    <w:rsid w:val="00A7372E"/>
    <w:rsid w:val="00A8284C"/>
    <w:rsid w:val="00A87403"/>
    <w:rsid w:val="00A93B85"/>
    <w:rsid w:val="00AA0B18"/>
    <w:rsid w:val="00AA3C65"/>
    <w:rsid w:val="00AA666F"/>
    <w:rsid w:val="00AD7914"/>
    <w:rsid w:val="00AE514B"/>
    <w:rsid w:val="00AF1DF8"/>
    <w:rsid w:val="00B26F93"/>
    <w:rsid w:val="00B40888"/>
    <w:rsid w:val="00B639E9"/>
    <w:rsid w:val="00B75B0C"/>
    <w:rsid w:val="00B80E58"/>
    <w:rsid w:val="00B817CD"/>
    <w:rsid w:val="00B81A7D"/>
    <w:rsid w:val="00B86BEE"/>
    <w:rsid w:val="00B91EF7"/>
    <w:rsid w:val="00B94AD0"/>
    <w:rsid w:val="00BB3A95"/>
    <w:rsid w:val="00BB55D5"/>
    <w:rsid w:val="00BC099C"/>
    <w:rsid w:val="00BC75DE"/>
    <w:rsid w:val="00BD6CCE"/>
    <w:rsid w:val="00C0018F"/>
    <w:rsid w:val="00C16A5A"/>
    <w:rsid w:val="00C20466"/>
    <w:rsid w:val="00C214ED"/>
    <w:rsid w:val="00C234E6"/>
    <w:rsid w:val="00C324A8"/>
    <w:rsid w:val="00C525D6"/>
    <w:rsid w:val="00C54517"/>
    <w:rsid w:val="00C56F70"/>
    <w:rsid w:val="00C57B2B"/>
    <w:rsid w:val="00C57B91"/>
    <w:rsid w:val="00C64CD8"/>
    <w:rsid w:val="00C75874"/>
    <w:rsid w:val="00C82695"/>
    <w:rsid w:val="00C97C68"/>
    <w:rsid w:val="00CA1A47"/>
    <w:rsid w:val="00CA3DFC"/>
    <w:rsid w:val="00CB44E5"/>
    <w:rsid w:val="00CC247A"/>
    <w:rsid w:val="00CE388F"/>
    <w:rsid w:val="00CE5E47"/>
    <w:rsid w:val="00CF020F"/>
    <w:rsid w:val="00CF2B5B"/>
    <w:rsid w:val="00D14CE0"/>
    <w:rsid w:val="00D22439"/>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68C2"/>
    <w:rsid w:val="00DF78E0"/>
    <w:rsid w:val="00E03C94"/>
    <w:rsid w:val="00E205BC"/>
    <w:rsid w:val="00E26226"/>
    <w:rsid w:val="00E45D05"/>
    <w:rsid w:val="00E51B6D"/>
    <w:rsid w:val="00E55816"/>
    <w:rsid w:val="00E55AEF"/>
    <w:rsid w:val="00E7212B"/>
    <w:rsid w:val="00E81C87"/>
    <w:rsid w:val="00E976C1"/>
    <w:rsid w:val="00EA12E5"/>
    <w:rsid w:val="00EB0812"/>
    <w:rsid w:val="00EB54B2"/>
    <w:rsid w:val="00EB55C6"/>
    <w:rsid w:val="00EF1932"/>
    <w:rsid w:val="00EF5586"/>
    <w:rsid w:val="00EF71B6"/>
    <w:rsid w:val="00F02766"/>
    <w:rsid w:val="00F05BD4"/>
    <w:rsid w:val="00F06473"/>
    <w:rsid w:val="00F238CF"/>
    <w:rsid w:val="00F320AA"/>
    <w:rsid w:val="00F6155B"/>
    <w:rsid w:val="00F65C19"/>
    <w:rsid w:val="00F822B0"/>
    <w:rsid w:val="00FB30F4"/>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4C36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ResNoChar">
    <w:name w:val="Res_No Char"/>
    <w:basedOn w:val="DefaultParagraphFont"/>
    <w:link w:val="ResNo"/>
    <w:rsid w:val="00323A8A"/>
    <w:rPr>
      <w:rFonts w:ascii="Times New Roman" w:hAnsi="Times New Roman"/>
      <w:caps/>
      <w:sz w:val="28"/>
      <w:lang w:val="en-GB" w:eastAsia="en-US"/>
    </w:rPr>
  </w:style>
  <w:style w:type="character" w:customStyle="1" w:styleId="RestitleChar">
    <w:name w:val="Res_title Char"/>
    <w:link w:val="Restitle"/>
    <w:qFormat/>
    <w:rsid w:val="00B86BEE"/>
    <w:rPr>
      <w:rFonts w:ascii="Times New Roman Bold" w:hAnsi="Times New Roman Bold"/>
      <w:b/>
      <w:sz w:val="28"/>
      <w:lang w:val="en-GB" w:eastAsia="en-US"/>
    </w:rPr>
  </w:style>
  <w:style w:type="character" w:customStyle="1" w:styleId="CallChar">
    <w:name w:val="Call Char"/>
    <w:basedOn w:val="DefaultParagraphFont"/>
    <w:link w:val="Call"/>
    <w:qFormat/>
    <w:locked/>
    <w:rsid w:val="001E7A9E"/>
    <w:rPr>
      <w:rFonts w:ascii="Times New Roman" w:hAnsi="Times New Roman"/>
      <w:i/>
      <w:sz w:val="24"/>
      <w:lang w:val="en-GB" w:eastAsia="en-US"/>
    </w:rPr>
  </w:style>
  <w:style w:type="paragraph" w:styleId="ListParagraph">
    <w:name w:val="List Paragraph"/>
    <w:aliases w:val="Normal bullet"/>
    <w:basedOn w:val="Normal"/>
    <w:link w:val="ListParagraphChar"/>
    <w:uiPriority w:val="34"/>
    <w:qFormat/>
    <w:rsid w:val="001E7A9E"/>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aliases w:val="Normal bullet Char"/>
    <w:basedOn w:val="DefaultParagraphFont"/>
    <w:link w:val="ListParagraph"/>
    <w:uiPriority w:val="34"/>
    <w:qFormat/>
    <w:locked/>
    <w:rsid w:val="001E7A9E"/>
    <w:rPr>
      <w:rFonts w:ascii="Times New Roman" w:eastAsia="BatangChe" w:hAnsi="Times New Roman"/>
      <w:sz w:val="24"/>
      <w:szCs w:val="24"/>
      <w:lang w:eastAsia="en-US"/>
    </w:rPr>
  </w:style>
  <w:style w:type="paragraph" w:customStyle="1" w:styleId="Repref">
    <w:name w:val="Rep_ref"/>
    <w:basedOn w:val="Normal"/>
    <w:next w:val="Normal"/>
    <w:rsid w:val="001E7A9E"/>
    <w:pPr>
      <w:keepNext/>
      <w:keepLines/>
      <w:tabs>
        <w:tab w:val="clear" w:pos="1134"/>
        <w:tab w:val="clear" w:pos="1871"/>
        <w:tab w:val="clear" w:pos="2268"/>
      </w:tabs>
      <w:jc w:val="center"/>
    </w:pPr>
    <w:rPr>
      <w:rFonts w:eastAsia="MS Mincho"/>
      <w:i/>
    </w:rPr>
  </w:style>
  <w:style w:type="paragraph" w:styleId="Revision">
    <w:name w:val="Revision"/>
    <w:hidden/>
    <w:uiPriority w:val="99"/>
    <w:semiHidden/>
    <w:rsid w:val="004B4B39"/>
    <w:rPr>
      <w:rFonts w:ascii="Times New Roman" w:hAnsi="Times New Roman"/>
      <w:sz w:val="24"/>
      <w:lang w:val="en-GB" w:eastAsia="en-US"/>
    </w:rPr>
  </w:style>
  <w:style w:type="character" w:styleId="CommentReference">
    <w:name w:val="annotation reference"/>
    <w:basedOn w:val="DefaultParagraphFont"/>
    <w:semiHidden/>
    <w:unhideWhenUsed/>
    <w:rsid w:val="00A87403"/>
    <w:rPr>
      <w:sz w:val="16"/>
      <w:szCs w:val="16"/>
    </w:rPr>
  </w:style>
  <w:style w:type="paragraph" w:styleId="CommentText">
    <w:name w:val="annotation text"/>
    <w:basedOn w:val="Normal"/>
    <w:link w:val="CommentTextChar"/>
    <w:unhideWhenUsed/>
    <w:rsid w:val="00A87403"/>
    <w:rPr>
      <w:sz w:val="20"/>
    </w:rPr>
  </w:style>
  <w:style w:type="character" w:customStyle="1" w:styleId="CommentTextChar">
    <w:name w:val="Comment Text Char"/>
    <w:basedOn w:val="DefaultParagraphFont"/>
    <w:link w:val="CommentText"/>
    <w:rsid w:val="00A8740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87403"/>
    <w:rPr>
      <w:b/>
      <w:bCs/>
    </w:rPr>
  </w:style>
  <w:style w:type="character" w:customStyle="1" w:styleId="CommentSubjectChar">
    <w:name w:val="Comment Subject Char"/>
    <w:basedOn w:val="CommentTextChar"/>
    <w:link w:val="CommentSubject"/>
    <w:semiHidden/>
    <w:rsid w:val="00A8740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R23-WRC23-C-0099!A27-A1!MSW-E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086D1-A4CE-4C2C-B17F-EFAE4293FDD8}">
  <ds:schemaRefs>
    <ds:schemaRef ds:uri="http://schemas.microsoft.com/sharepoint/events"/>
  </ds:schemaRefs>
</ds:datastoreItem>
</file>

<file path=customXml/itemProps2.xml><?xml version="1.0" encoding="utf-8"?>
<ds:datastoreItem xmlns:ds="http://schemas.openxmlformats.org/officeDocument/2006/customXml" ds:itemID="{1A15182C-6633-4AAA-B8E4-94E40300394C}">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1CD56DFC-9B9A-432A-9101-DA2B4809D3DB}">
  <ds:schemaRefs>
    <ds:schemaRef ds:uri="http://schemas.openxmlformats.org/officeDocument/2006/bibliography"/>
  </ds:schemaRefs>
</ds:datastoreItem>
</file>

<file path=customXml/itemProps4.xml><?xml version="1.0" encoding="utf-8"?>
<ds:datastoreItem xmlns:ds="http://schemas.openxmlformats.org/officeDocument/2006/customXml" ds:itemID="{4EAC3A04-09A1-4F3D-ABD8-3158E777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9A482A-0AA2-4143-B858-90817DF01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1260</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R23-WRC23-C-0099!A27-A1!MSW-E</vt:lpstr>
    </vt:vector>
  </TitlesOfParts>
  <Manager>General Secretariat - Pool</Manager>
  <Company>International Telecommunication Union (ITU)</Company>
  <LinksUpToDate>false</LinksUpToDate>
  <CharactersWithSpaces>8298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R23-WRC23-C-0099!A27-A1!MSW-E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2023-10-30T10:23:00Z</dcterms:created>
  <dcterms:modified xsi:type="dcterms:W3CDTF">2023-10-31T11:46:00Z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