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2F44E2" w14:paraId="348B1D42" w14:textId="77777777" w:rsidTr="0080079E">
        <w:trPr>
          <w:cantSplit/>
        </w:trPr>
        <w:tc>
          <w:tcPr>
            <w:tcW w:w="1418" w:type="dxa"/>
            <w:vAlign w:val="center"/>
          </w:tcPr>
          <w:p w14:paraId="22121AEF" w14:textId="77777777" w:rsidR="0080079E" w:rsidRPr="002F44E2" w:rsidRDefault="0080079E" w:rsidP="0080079E">
            <w:pPr>
              <w:spacing w:before="0" w:line="240" w:lineRule="atLeast"/>
              <w:rPr>
                <w:rFonts w:ascii="Verdana" w:hAnsi="Verdana"/>
                <w:position w:val="6"/>
              </w:rPr>
            </w:pPr>
            <w:r w:rsidRPr="002F44E2">
              <w:rPr>
                <w:noProof/>
                <w:lang w:val="en-US"/>
              </w:rPr>
              <w:drawing>
                <wp:inline distT="0" distB="0" distL="0" distR="0" wp14:anchorId="2837DC40" wp14:editId="0209480A">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2B9FFC85" w14:textId="77777777" w:rsidR="0080079E" w:rsidRPr="002F44E2" w:rsidRDefault="0080079E" w:rsidP="00C44E9E">
            <w:pPr>
              <w:spacing w:before="400" w:after="48" w:line="240" w:lineRule="atLeast"/>
              <w:rPr>
                <w:rFonts w:ascii="Verdana" w:hAnsi="Verdana"/>
                <w:position w:val="6"/>
              </w:rPr>
            </w:pPr>
            <w:r w:rsidRPr="002F44E2">
              <w:rPr>
                <w:rFonts w:ascii="Verdana" w:hAnsi="Verdana" w:cs="Times"/>
                <w:b/>
                <w:position w:val="6"/>
                <w:sz w:val="20"/>
              </w:rPr>
              <w:t>Conferencia Mundial de Radiocomunicaciones (CMR-23)</w:t>
            </w:r>
            <w:r w:rsidRPr="002F44E2">
              <w:rPr>
                <w:rFonts w:ascii="Verdana" w:hAnsi="Verdana" w:cs="Times"/>
                <w:b/>
                <w:position w:val="6"/>
                <w:sz w:val="20"/>
              </w:rPr>
              <w:br/>
            </w:r>
            <w:r w:rsidRPr="002F44E2">
              <w:rPr>
                <w:rFonts w:ascii="Verdana" w:hAnsi="Verdana" w:cs="Times"/>
                <w:b/>
                <w:position w:val="6"/>
                <w:sz w:val="18"/>
                <w:szCs w:val="18"/>
              </w:rPr>
              <w:t>Dubái, 20 de noviembre - 15 de diciembre de 2023</w:t>
            </w:r>
          </w:p>
        </w:tc>
        <w:tc>
          <w:tcPr>
            <w:tcW w:w="1809" w:type="dxa"/>
            <w:vAlign w:val="center"/>
          </w:tcPr>
          <w:p w14:paraId="33A74EE9" w14:textId="77777777" w:rsidR="0080079E" w:rsidRPr="002F44E2" w:rsidRDefault="0080079E" w:rsidP="0080079E">
            <w:pPr>
              <w:spacing w:before="0" w:line="240" w:lineRule="atLeast"/>
            </w:pPr>
            <w:bookmarkStart w:id="0" w:name="ditulogo"/>
            <w:bookmarkEnd w:id="0"/>
            <w:r w:rsidRPr="002F44E2">
              <w:rPr>
                <w:noProof/>
                <w:lang w:val="en-US"/>
              </w:rPr>
              <w:drawing>
                <wp:inline distT="0" distB="0" distL="0" distR="0" wp14:anchorId="391D515E" wp14:editId="34C763A9">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2F44E2" w14:paraId="27D13787" w14:textId="77777777" w:rsidTr="0050008E">
        <w:trPr>
          <w:cantSplit/>
        </w:trPr>
        <w:tc>
          <w:tcPr>
            <w:tcW w:w="6911" w:type="dxa"/>
            <w:gridSpan w:val="2"/>
            <w:tcBorders>
              <w:bottom w:val="single" w:sz="12" w:space="0" w:color="auto"/>
            </w:tcBorders>
          </w:tcPr>
          <w:p w14:paraId="57EE33EF" w14:textId="77777777" w:rsidR="0090121B" w:rsidRPr="002F44E2"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684B3230" w14:textId="77777777" w:rsidR="0090121B" w:rsidRPr="002F44E2" w:rsidRDefault="0090121B" w:rsidP="0090121B">
            <w:pPr>
              <w:spacing w:before="0" w:line="240" w:lineRule="atLeast"/>
              <w:rPr>
                <w:rFonts w:ascii="Verdana" w:hAnsi="Verdana"/>
                <w:szCs w:val="24"/>
              </w:rPr>
            </w:pPr>
          </w:p>
        </w:tc>
      </w:tr>
      <w:tr w:rsidR="0090121B" w:rsidRPr="002F44E2" w14:paraId="2F592412" w14:textId="77777777" w:rsidTr="0090121B">
        <w:trPr>
          <w:cantSplit/>
        </w:trPr>
        <w:tc>
          <w:tcPr>
            <w:tcW w:w="6911" w:type="dxa"/>
            <w:gridSpan w:val="2"/>
            <w:tcBorders>
              <w:top w:val="single" w:sz="12" w:space="0" w:color="auto"/>
            </w:tcBorders>
          </w:tcPr>
          <w:p w14:paraId="204BF296" w14:textId="77777777" w:rsidR="0090121B" w:rsidRPr="002F44E2"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1CA63558" w14:textId="77777777" w:rsidR="0090121B" w:rsidRPr="002F44E2" w:rsidRDefault="0090121B" w:rsidP="0090121B">
            <w:pPr>
              <w:spacing w:before="0" w:line="240" w:lineRule="atLeast"/>
              <w:rPr>
                <w:rFonts w:ascii="Verdana" w:hAnsi="Verdana"/>
                <w:sz w:val="20"/>
              </w:rPr>
            </w:pPr>
          </w:p>
        </w:tc>
      </w:tr>
      <w:tr w:rsidR="0090121B" w:rsidRPr="002F44E2" w14:paraId="38DC70D0" w14:textId="77777777" w:rsidTr="0090121B">
        <w:trPr>
          <w:cantSplit/>
        </w:trPr>
        <w:tc>
          <w:tcPr>
            <w:tcW w:w="6911" w:type="dxa"/>
            <w:gridSpan w:val="2"/>
          </w:tcPr>
          <w:p w14:paraId="09C99BBC" w14:textId="77777777" w:rsidR="0090121B" w:rsidRPr="002F44E2" w:rsidRDefault="001E7D42" w:rsidP="00EA77F0">
            <w:pPr>
              <w:pStyle w:val="Committee"/>
              <w:framePr w:hSpace="0" w:wrap="auto" w:hAnchor="text" w:yAlign="inline"/>
              <w:rPr>
                <w:sz w:val="18"/>
                <w:szCs w:val="18"/>
                <w:lang w:val="es-ES_tradnl"/>
              </w:rPr>
            </w:pPr>
            <w:r w:rsidRPr="002F44E2">
              <w:rPr>
                <w:sz w:val="18"/>
                <w:szCs w:val="18"/>
                <w:lang w:val="es-ES_tradnl"/>
              </w:rPr>
              <w:t>SESIÓN PLENARIA</w:t>
            </w:r>
          </w:p>
        </w:tc>
        <w:tc>
          <w:tcPr>
            <w:tcW w:w="3120" w:type="dxa"/>
            <w:gridSpan w:val="2"/>
          </w:tcPr>
          <w:p w14:paraId="166842EE" w14:textId="77777777" w:rsidR="0090121B" w:rsidRPr="002F44E2" w:rsidRDefault="00AE658F" w:rsidP="0045384C">
            <w:pPr>
              <w:spacing w:before="0"/>
              <w:rPr>
                <w:rFonts w:ascii="Verdana" w:hAnsi="Verdana"/>
                <w:sz w:val="18"/>
                <w:szCs w:val="18"/>
              </w:rPr>
            </w:pPr>
            <w:r w:rsidRPr="002F44E2">
              <w:rPr>
                <w:rFonts w:ascii="Verdana" w:hAnsi="Verdana"/>
                <w:b/>
                <w:sz w:val="18"/>
                <w:szCs w:val="18"/>
              </w:rPr>
              <w:t>Addéndum 24 al</w:t>
            </w:r>
            <w:r w:rsidRPr="002F44E2">
              <w:rPr>
                <w:rFonts w:ascii="Verdana" w:hAnsi="Verdana"/>
                <w:b/>
                <w:sz w:val="18"/>
                <w:szCs w:val="18"/>
              </w:rPr>
              <w:br/>
              <w:t>Documento 99</w:t>
            </w:r>
            <w:r w:rsidR="0090121B" w:rsidRPr="002F44E2">
              <w:rPr>
                <w:rFonts w:ascii="Verdana" w:hAnsi="Verdana"/>
                <w:b/>
                <w:sz w:val="18"/>
                <w:szCs w:val="18"/>
              </w:rPr>
              <w:t>-</w:t>
            </w:r>
            <w:r w:rsidRPr="002F44E2">
              <w:rPr>
                <w:rFonts w:ascii="Verdana" w:hAnsi="Verdana"/>
                <w:b/>
                <w:sz w:val="18"/>
                <w:szCs w:val="18"/>
              </w:rPr>
              <w:t>S</w:t>
            </w:r>
          </w:p>
        </w:tc>
      </w:tr>
      <w:bookmarkEnd w:id="1"/>
      <w:tr w:rsidR="000A5B9A" w:rsidRPr="002F44E2" w14:paraId="18F676AF" w14:textId="77777777" w:rsidTr="0090121B">
        <w:trPr>
          <w:cantSplit/>
        </w:trPr>
        <w:tc>
          <w:tcPr>
            <w:tcW w:w="6911" w:type="dxa"/>
            <w:gridSpan w:val="2"/>
          </w:tcPr>
          <w:p w14:paraId="7BE0B8EB" w14:textId="77777777" w:rsidR="000A5B9A" w:rsidRPr="002F44E2" w:rsidRDefault="000A5B9A" w:rsidP="0045384C">
            <w:pPr>
              <w:spacing w:before="0" w:after="48"/>
              <w:rPr>
                <w:rFonts w:ascii="Verdana" w:hAnsi="Verdana"/>
                <w:b/>
                <w:smallCaps/>
                <w:sz w:val="18"/>
                <w:szCs w:val="18"/>
              </w:rPr>
            </w:pPr>
          </w:p>
        </w:tc>
        <w:tc>
          <w:tcPr>
            <w:tcW w:w="3120" w:type="dxa"/>
            <w:gridSpan w:val="2"/>
          </w:tcPr>
          <w:p w14:paraId="77231C02" w14:textId="77777777" w:rsidR="000A5B9A" w:rsidRPr="002F44E2" w:rsidRDefault="000A5B9A" w:rsidP="0045384C">
            <w:pPr>
              <w:spacing w:before="0"/>
              <w:rPr>
                <w:rFonts w:ascii="Verdana" w:hAnsi="Verdana"/>
                <w:b/>
                <w:sz w:val="18"/>
                <w:szCs w:val="18"/>
              </w:rPr>
            </w:pPr>
            <w:r w:rsidRPr="002F44E2">
              <w:rPr>
                <w:rFonts w:ascii="Verdana" w:hAnsi="Verdana"/>
                <w:b/>
                <w:sz w:val="18"/>
                <w:szCs w:val="18"/>
              </w:rPr>
              <w:t>27 de octubre de 2023</w:t>
            </w:r>
          </w:p>
        </w:tc>
      </w:tr>
      <w:tr w:rsidR="000A5B9A" w:rsidRPr="002F44E2" w14:paraId="40F68C0E" w14:textId="77777777" w:rsidTr="0090121B">
        <w:trPr>
          <w:cantSplit/>
        </w:trPr>
        <w:tc>
          <w:tcPr>
            <w:tcW w:w="6911" w:type="dxa"/>
            <w:gridSpan w:val="2"/>
          </w:tcPr>
          <w:p w14:paraId="4233D816" w14:textId="77777777" w:rsidR="000A5B9A" w:rsidRPr="002F44E2" w:rsidRDefault="000A5B9A" w:rsidP="0045384C">
            <w:pPr>
              <w:spacing w:before="0" w:after="48"/>
              <w:rPr>
                <w:rFonts w:ascii="Verdana" w:hAnsi="Verdana"/>
                <w:b/>
                <w:smallCaps/>
                <w:sz w:val="18"/>
                <w:szCs w:val="18"/>
              </w:rPr>
            </w:pPr>
          </w:p>
        </w:tc>
        <w:tc>
          <w:tcPr>
            <w:tcW w:w="3120" w:type="dxa"/>
            <w:gridSpan w:val="2"/>
          </w:tcPr>
          <w:p w14:paraId="59F5ACE4" w14:textId="77777777" w:rsidR="000A5B9A" w:rsidRPr="002F44E2" w:rsidRDefault="000A5B9A" w:rsidP="0045384C">
            <w:pPr>
              <w:spacing w:before="0"/>
              <w:rPr>
                <w:rFonts w:ascii="Verdana" w:hAnsi="Verdana"/>
                <w:b/>
                <w:sz w:val="18"/>
                <w:szCs w:val="18"/>
              </w:rPr>
            </w:pPr>
            <w:r w:rsidRPr="002F44E2">
              <w:rPr>
                <w:rFonts w:ascii="Verdana" w:hAnsi="Verdana"/>
                <w:b/>
                <w:sz w:val="18"/>
                <w:szCs w:val="18"/>
              </w:rPr>
              <w:t>Original: inglés</w:t>
            </w:r>
          </w:p>
        </w:tc>
      </w:tr>
      <w:tr w:rsidR="000A5B9A" w:rsidRPr="002F44E2" w14:paraId="24C1B185" w14:textId="77777777" w:rsidTr="006744FC">
        <w:trPr>
          <w:cantSplit/>
        </w:trPr>
        <w:tc>
          <w:tcPr>
            <w:tcW w:w="10031" w:type="dxa"/>
            <w:gridSpan w:val="4"/>
          </w:tcPr>
          <w:p w14:paraId="4D67DE23" w14:textId="77777777" w:rsidR="000A5B9A" w:rsidRPr="002F44E2" w:rsidRDefault="000A5B9A" w:rsidP="0045384C">
            <w:pPr>
              <w:spacing w:before="0"/>
              <w:rPr>
                <w:rFonts w:ascii="Verdana" w:hAnsi="Verdana"/>
                <w:b/>
                <w:sz w:val="18"/>
                <w:szCs w:val="22"/>
              </w:rPr>
            </w:pPr>
          </w:p>
        </w:tc>
      </w:tr>
      <w:tr w:rsidR="000A5B9A" w:rsidRPr="002F44E2" w14:paraId="39B80764" w14:textId="77777777" w:rsidTr="0050008E">
        <w:trPr>
          <w:cantSplit/>
        </w:trPr>
        <w:tc>
          <w:tcPr>
            <w:tcW w:w="10031" w:type="dxa"/>
            <w:gridSpan w:val="4"/>
          </w:tcPr>
          <w:p w14:paraId="35C3F5C3" w14:textId="77777777" w:rsidR="000A5B9A" w:rsidRPr="002F44E2" w:rsidRDefault="000A5B9A" w:rsidP="000A5B9A">
            <w:pPr>
              <w:pStyle w:val="Source"/>
            </w:pPr>
            <w:bookmarkStart w:id="2" w:name="dsource" w:colFirst="0" w:colLast="0"/>
            <w:r w:rsidRPr="002F44E2">
              <w:t>Japón</w:t>
            </w:r>
          </w:p>
        </w:tc>
      </w:tr>
      <w:tr w:rsidR="000A5B9A" w:rsidRPr="002F44E2" w14:paraId="7D99A06B" w14:textId="77777777" w:rsidTr="0050008E">
        <w:trPr>
          <w:cantSplit/>
        </w:trPr>
        <w:tc>
          <w:tcPr>
            <w:tcW w:w="10031" w:type="dxa"/>
            <w:gridSpan w:val="4"/>
          </w:tcPr>
          <w:p w14:paraId="64006117" w14:textId="6D81A05F" w:rsidR="000A5B9A" w:rsidRPr="002F44E2" w:rsidRDefault="00CF1FC2" w:rsidP="000A5B9A">
            <w:pPr>
              <w:pStyle w:val="Title1"/>
            </w:pPr>
            <w:bookmarkStart w:id="3" w:name="dtitle1" w:colFirst="0" w:colLast="0"/>
            <w:bookmarkEnd w:id="2"/>
            <w:r w:rsidRPr="002F44E2">
              <w:t>Propuestas pAra los trabajos de la Conferencia</w:t>
            </w:r>
          </w:p>
        </w:tc>
      </w:tr>
      <w:tr w:rsidR="000A5B9A" w:rsidRPr="002F44E2" w14:paraId="2D3D693D" w14:textId="77777777" w:rsidTr="0050008E">
        <w:trPr>
          <w:cantSplit/>
        </w:trPr>
        <w:tc>
          <w:tcPr>
            <w:tcW w:w="10031" w:type="dxa"/>
            <w:gridSpan w:val="4"/>
          </w:tcPr>
          <w:p w14:paraId="09AC2CC0" w14:textId="77777777" w:rsidR="000A5B9A" w:rsidRPr="002F44E2" w:rsidRDefault="000A5B9A" w:rsidP="000A5B9A">
            <w:pPr>
              <w:pStyle w:val="Title2"/>
            </w:pPr>
            <w:bookmarkStart w:id="4" w:name="dtitle2" w:colFirst="0" w:colLast="0"/>
            <w:bookmarkEnd w:id="3"/>
          </w:p>
        </w:tc>
      </w:tr>
      <w:tr w:rsidR="000A5B9A" w:rsidRPr="002F44E2" w14:paraId="66E53AE8" w14:textId="77777777" w:rsidTr="0050008E">
        <w:trPr>
          <w:cantSplit/>
        </w:trPr>
        <w:tc>
          <w:tcPr>
            <w:tcW w:w="10031" w:type="dxa"/>
            <w:gridSpan w:val="4"/>
          </w:tcPr>
          <w:p w14:paraId="27FB1870" w14:textId="77777777" w:rsidR="000A5B9A" w:rsidRPr="002F44E2" w:rsidRDefault="000A5B9A" w:rsidP="000A5B9A">
            <w:pPr>
              <w:pStyle w:val="Agendaitem"/>
            </w:pPr>
            <w:bookmarkStart w:id="5" w:name="dtitle3" w:colFirst="0" w:colLast="0"/>
            <w:bookmarkEnd w:id="4"/>
            <w:r w:rsidRPr="002F44E2">
              <w:t>Punto 9.1 del orden del día</w:t>
            </w:r>
          </w:p>
        </w:tc>
      </w:tr>
    </w:tbl>
    <w:bookmarkEnd w:id="5"/>
    <w:p w14:paraId="0311B54B" w14:textId="77777777" w:rsidR="00ED471E" w:rsidRPr="002F44E2" w:rsidRDefault="00ED471E" w:rsidP="002D64EA">
      <w:r w:rsidRPr="002F44E2">
        <w:t>9</w:t>
      </w:r>
      <w:r w:rsidRPr="002F44E2">
        <w:tab/>
        <w:t>examinar y aprobar el Informe del Director de la Oficina de Radiocomunicaciones, de conformidad con el Artículo 7 del Convenio de la UIT:</w:t>
      </w:r>
    </w:p>
    <w:p w14:paraId="5964BE02" w14:textId="77777777" w:rsidR="00ED471E" w:rsidRPr="002F44E2" w:rsidRDefault="00ED471E" w:rsidP="0062039A">
      <w:r w:rsidRPr="002F44E2">
        <w:t>9.1</w:t>
      </w:r>
      <w:r w:rsidRPr="002F44E2">
        <w:tab/>
        <w:t>sobre las actividades del Sector de Radiocomunicaciones de la UIT desde la CMR</w:t>
      </w:r>
      <w:r w:rsidRPr="002F44E2">
        <w:noBreakHyphen/>
        <w:t>19;</w:t>
      </w:r>
    </w:p>
    <w:p w14:paraId="3D247A56" w14:textId="6D744FD6" w:rsidR="00CF1FC2" w:rsidRPr="002F44E2" w:rsidRDefault="00CF1FC2" w:rsidP="00CF1FC2">
      <w:pPr>
        <w:pStyle w:val="Heading1"/>
      </w:pPr>
      <w:r w:rsidRPr="002F44E2">
        <w:t>1</w:t>
      </w:r>
      <w:r w:rsidRPr="002F44E2">
        <w:tab/>
        <w:t>Antecedentes</w:t>
      </w:r>
    </w:p>
    <w:p w14:paraId="0F4C81B9" w14:textId="36D073AD" w:rsidR="00CF1FC2" w:rsidRPr="002F44E2" w:rsidRDefault="00CF1FC2" w:rsidP="00CF1FC2">
      <w:r w:rsidRPr="002F44E2">
        <w:t xml:space="preserve">Los estudios sobre la cuestión </w:t>
      </w:r>
      <w:r w:rsidR="00E913E2" w:rsidRPr="002F44E2">
        <w:t>relativa a</w:t>
      </w:r>
      <w:r w:rsidRPr="002F44E2">
        <w:t xml:space="preserve">l número </w:t>
      </w:r>
      <w:r w:rsidRPr="002F44E2">
        <w:rPr>
          <w:b/>
          <w:bCs/>
        </w:rPr>
        <w:t>21.5</w:t>
      </w:r>
      <w:r w:rsidRPr="002F44E2">
        <w:t xml:space="preserve"> del </w:t>
      </w:r>
      <w:r w:rsidR="00E913E2" w:rsidRPr="002F44E2">
        <w:t>RR</w:t>
      </w:r>
      <w:r w:rsidRPr="002F44E2">
        <w:t xml:space="preserve"> se solicitaron </w:t>
      </w:r>
      <w:r w:rsidR="00E913E2" w:rsidRPr="002F44E2">
        <w:t xml:space="preserve">en el Documento </w:t>
      </w:r>
      <w:hyperlink r:id="rId14" w:history="1">
        <w:r w:rsidR="00E913E2" w:rsidRPr="002F44E2">
          <w:rPr>
            <w:rStyle w:val="Hyperlink"/>
          </w:rPr>
          <w:t>550</w:t>
        </w:r>
      </w:hyperlink>
      <w:r w:rsidR="00E913E2" w:rsidRPr="002F44E2">
        <w:t xml:space="preserve"> de la CMR-19 </w:t>
      </w:r>
      <w:r w:rsidRPr="002F44E2">
        <w:t xml:space="preserve">y en la RPC23-1 se determinó que al Grupo de Trabajo 5D (GT 5D) </w:t>
      </w:r>
      <w:r w:rsidR="00472CDB" w:rsidRPr="002F44E2">
        <w:t>era</w:t>
      </w:r>
      <w:r w:rsidRPr="002F44E2">
        <w:t xml:space="preserve"> el </w:t>
      </w:r>
      <w:r w:rsidR="00C935FC" w:rsidRPr="002F44E2">
        <w:t>G</w:t>
      </w:r>
      <w:r w:rsidRPr="002F44E2">
        <w:t>rupo responsable de realizar dichos estudios y de informar de sus resultados al Director de la Oficina de Radiocomunicaciones</w:t>
      </w:r>
      <w:r w:rsidR="00627CEE" w:rsidRPr="002F44E2">
        <w:t xml:space="preserve"> (BR)</w:t>
      </w:r>
      <w:r w:rsidRPr="002F44E2">
        <w:t xml:space="preserve"> para que </w:t>
      </w:r>
      <w:r w:rsidR="00E913E2" w:rsidRPr="002F44E2">
        <w:t>este</w:t>
      </w:r>
      <w:r w:rsidRPr="002F44E2">
        <w:t xml:space="preserve"> les </w:t>
      </w:r>
      <w:r w:rsidR="00E913E2" w:rsidRPr="002F44E2">
        <w:t>diera</w:t>
      </w:r>
      <w:r w:rsidRPr="002F44E2">
        <w:t xml:space="preserve"> el tratamiento que </w:t>
      </w:r>
      <w:r w:rsidR="00E913E2" w:rsidRPr="002F44E2">
        <w:t>considerara</w:t>
      </w:r>
      <w:r w:rsidRPr="002F44E2">
        <w:t xml:space="preserve"> pertinente.</w:t>
      </w:r>
    </w:p>
    <w:p w14:paraId="08DA42AD" w14:textId="2573E33F" w:rsidR="00363A65" w:rsidRPr="002F44E2" w:rsidRDefault="00CF1FC2" w:rsidP="00CF1FC2">
      <w:r w:rsidRPr="002F44E2">
        <w:t xml:space="preserve">En los estudios del UIT-R realizados por el GT 5D se </w:t>
      </w:r>
      <w:r w:rsidR="00472CDB" w:rsidRPr="002F44E2">
        <w:t>examinaron</w:t>
      </w:r>
      <w:r w:rsidRPr="002F44E2">
        <w:t xml:space="preserve"> varios aspectos y enfoques </w:t>
      </w:r>
      <w:r w:rsidR="00C935FC" w:rsidRPr="002F44E2">
        <w:t xml:space="preserve">en relación con dichos </w:t>
      </w:r>
      <w:r w:rsidR="001F6DA9" w:rsidRPr="002F44E2">
        <w:t>estos</w:t>
      </w:r>
      <w:r w:rsidRPr="002F44E2">
        <w:t xml:space="preserve">, pero no se llegó a un consenso. </w:t>
      </w:r>
      <w:r w:rsidR="00472CDB" w:rsidRPr="002F44E2">
        <w:t xml:space="preserve">Entre los </w:t>
      </w:r>
      <w:r w:rsidRPr="002F44E2">
        <w:t xml:space="preserve">principales </w:t>
      </w:r>
      <w:r w:rsidR="00472CDB" w:rsidRPr="002F44E2">
        <w:t>puntos tratados en</w:t>
      </w:r>
      <w:r w:rsidRPr="002F44E2">
        <w:t xml:space="preserve"> los debates </w:t>
      </w:r>
      <w:r w:rsidR="00472CDB" w:rsidRPr="002F44E2">
        <w:t>figuraba</w:t>
      </w:r>
      <w:r w:rsidRPr="002F44E2">
        <w:t xml:space="preserve"> el método de notificación de la potencia </w:t>
      </w:r>
      <w:r w:rsidR="005F1502" w:rsidRPr="002F44E2">
        <w:t>entregada</w:t>
      </w:r>
      <w:r w:rsidRPr="002F44E2">
        <w:t xml:space="preserve"> a la antena, </w:t>
      </w:r>
      <w:r w:rsidR="001F6DA9" w:rsidRPr="002F44E2">
        <w:t>esto es</w:t>
      </w:r>
      <w:r w:rsidRPr="002F44E2">
        <w:t xml:space="preserve">, el </w:t>
      </w:r>
      <w:r w:rsidR="001F6DA9" w:rsidRPr="002F44E2">
        <w:t>dato</w:t>
      </w:r>
      <w:r w:rsidR="00627CEE" w:rsidRPr="002F44E2">
        <w:t xml:space="preserve"> 8AA del Apéndice </w:t>
      </w:r>
      <w:r w:rsidR="00627CEE" w:rsidRPr="002F44E2">
        <w:rPr>
          <w:b/>
          <w:bCs/>
        </w:rPr>
        <w:t xml:space="preserve">4 </w:t>
      </w:r>
      <w:r w:rsidR="00627CEE" w:rsidRPr="002F44E2">
        <w:t xml:space="preserve">del </w:t>
      </w:r>
      <w:r w:rsidRPr="002F44E2">
        <w:t xml:space="preserve">RR, </w:t>
      </w:r>
      <w:r w:rsidR="00627CEE" w:rsidRPr="002F44E2">
        <w:t xml:space="preserve">cuya </w:t>
      </w:r>
      <w:r w:rsidR="00C935FC" w:rsidRPr="002F44E2">
        <w:t>notificación</w:t>
      </w:r>
      <w:r w:rsidR="00627CEE" w:rsidRPr="002F44E2">
        <w:t xml:space="preserve"> a la</w:t>
      </w:r>
      <w:r w:rsidRPr="002F44E2">
        <w:t xml:space="preserve"> BR</w:t>
      </w:r>
      <w:r w:rsidR="00627CEE" w:rsidRPr="002F44E2">
        <w:t xml:space="preserve"> era obligatoria</w:t>
      </w:r>
      <w:r w:rsidRPr="002F44E2">
        <w:t xml:space="preserve">. Algunas </w:t>
      </w:r>
      <w:r w:rsidR="001F6DA9" w:rsidRPr="002F44E2">
        <w:t>a</w:t>
      </w:r>
      <w:r w:rsidRPr="002F44E2">
        <w:t xml:space="preserve">dministraciones </w:t>
      </w:r>
      <w:r w:rsidR="005F1502" w:rsidRPr="002F44E2">
        <w:t>se mostraron a favor</w:t>
      </w:r>
      <w:r w:rsidRPr="002F44E2">
        <w:t xml:space="preserve"> de considerar </w:t>
      </w:r>
      <w:r w:rsidR="001F6DA9" w:rsidRPr="002F44E2">
        <w:t xml:space="preserve">este </w:t>
      </w:r>
      <w:r w:rsidR="005F1502" w:rsidRPr="002F44E2">
        <w:t>punto</w:t>
      </w:r>
      <w:r w:rsidRPr="002F44E2">
        <w:t xml:space="preserve"> como la potencia </w:t>
      </w:r>
      <w:r w:rsidR="005F1502" w:rsidRPr="002F44E2">
        <w:t>entregada</w:t>
      </w:r>
      <w:r w:rsidRPr="002F44E2">
        <w:t xml:space="preserve"> por un solo transmisor </w:t>
      </w:r>
      <w:r w:rsidR="001F6DA9" w:rsidRPr="002F44E2">
        <w:t>de</w:t>
      </w:r>
      <w:r w:rsidRPr="002F44E2">
        <w:t xml:space="preserve"> una estación IMT</w:t>
      </w:r>
      <w:r w:rsidR="005F1502" w:rsidRPr="002F44E2">
        <w:t xml:space="preserve"> con AAS</w:t>
      </w:r>
      <w:r w:rsidRPr="002F44E2">
        <w:t>.</w:t>
      </w:r>
      <w:r w:rsidR="00382A4B" w:rsidRPr="002F44E2">
        <w:t xml:space="preserve"> Otras</w:t>
      </w:r>
      <w:r w:rsidRPr="002F44E2">
        <w:t xml:space="preserve"> </w:t>
      </w:r>
      <w:r w:rsidR="005F1502" w:rsidRPr="002F44E2">
        <w:t>consideraron</w:t>
      </w:r>
      <w:r w:rsidRPr="002F44E2">
        <w:t xml:space="preserve"> que </w:t>
      </w:r>
      <w:r w:rsidR="005F1502" w:rsidRPr="002F44E2">
        <w:t xml:space="preserve">en el punto 8AA debía notificarse </w:t>
      </w:r>
      <w:r w:rsidRPr="002F44E2">
        <w:t>la potencia radiada total (</w:t>
      </w:r>
      <w:r w:rsidR="00312957" w:rsidRPr="002F44E2">
        <w:t>PRT</w:t>
      </w:r>
      <w:r w:rsidRPr="002F44E2">
        <w:t xml:space="preserve">) por todos los elementos activos </w:t>
      </w:r>
      <w:r w:rsidR="001F6DA9" w:rsidRPr="002F44E2">
        <w:t>de</w:t>
      </w:r>
      <w:r w:rsidRPr="002F44E2">
        <w:t xml:space="preserve"> una estación IMT</w:t>
      </w:r>
      <w:r w:rsidR="005F1502" w:rsidRPr="002F44E2">
        <w:t xml:space="preserve"> con AAS</w:t>
      </w:r>
      <w:r w:rsidRPr="002F44E2">
        <w:t>.</w:t>
      </w:r>
    </w:p>
    <w:p w14:paraId="6547AF03" w14:textId="4265CEB0" w:rsidR="0075286F" w:rsidRPr="002F44E2" w:rsidRDefault="005F1502" w:rsidP="0075286F">
      <w:r w:rsidRPr="002F44E2">
        <w:t>Habida cuenta de las conclusiones a que llegó la RPC23-1, los resultados de esos estudios no se incluyeron en el Informe de la RPC a la CMR-23</w:t>
      </w:r>
      <w:r w:rsidR="0075286F" w:rsidRPr="002F44E2">
        <w:t xml:space="preserve">. Sin embargo, </w:t>
      </w:r>
      <w:r w:rsidR="00C935FC" w:rsidRPr="002F44E2">
        <w:t xml:space="preserve">estos </w:t>
      </w:r>
      <w:r w:rsidR="0075286F" w:rsidRPr="002F44E2">
        <w:t xml:space="preserve">figuran en el punto 4.3.2 del Informe del Director de la Oficina de Radiocomunicaciones titulado </w:t>
      </w:r>
      <w:r w:rsidR="007D6B73" w:rsidRPr="002F44E2">
        <w:t>«</w:t>
      </w:r>
      <w:r w:rsidR="0075286F" w:rsidRPr="002F44E2">
        <w:t xml:space="preserve">Parte 1: </w:t>
      </w:r>
      <w:r w:rsidR="00E201C2" w:rsidRPr="002F44E2">
        <w:t>A</w:t>
      </w:r>
      <w:r w:rsidR="0075286F" w:rsidRPr="002F44E2">
        <w:t xml:space="preserve">ctividades del Sector de Radiocomunicaciones en el periodo comprendido entre la CMR-19 y la CMR-23» (Addéndum 1 al Documento </w:t>
      </w:r>
      <w:hyperlink r:id="rId15" w:history="1">
        <w:r w:rsidR="0075286F" w:rsidRPr="002F44E2">
          <w:rPr>
            <w:rStyle w:val="Hyperlink"/>
          </w:rPr>
          <w:t>4</w:t>
        </w:r>
      </w:hyperlink>
      <w:r w:rsidR="0075286F" w:rsidRPr="002F44E2">
        <w:t>).</w:t>
      </w:r>
    </w:p>
    <w:p w14:paraId="79BEFA06" w14:textId="0D913AE8" w:rsidR="00312957" w:rsidRPr="002F44E2" w:rsidRDefault="0075286F" w:rsidP="0075286F">
      <w:r w:rsidRPr="002F44E2">
        <w:t xml:space="preserve">A raíz de </w:t>
      </w:r>
      <w:r w:rsidR="003E5B95" w:rsidRPr="002F44E2">
        <w:t>esa</w:t>
      </w:r>
      <w:r w:rsidRPr="002F44E2">
        <w:t xml:space="preserve"> situación, el Japón presenta esta contribución para aportar sus opiniones y propuestas sobre la cuestión </w:t>
      </w:r>
      <w:r w:rsidR="003E5B95" w:rsidRPr="002F44E2">
        <w:t>relativa al</w:t>
      </w:r>
      <w:r w:rsidRPr="002F44E2">
        <w:t xml:space="preserve"> </w:t>
      </w:r>
      <w:r w:rsidR="003E5B95" w:rsidRPr="002F44E2">
        <w:t>número</w:t>
      </w:r>
      <w:r w:rsidRPr="002F44E2">
        <w:t xml:space="preserve"> </w:t>
      </w:r>
      <w:r w:rsidRPr="002F44E2">
        <w:rPr>
          <w:b/>
          <w:bCs/>
        </w:rPr>
        <w:t>21.5</w:t>
      </w:r>
      <w:r w:rsidR="003E5B95" w:rsidRPr="002F44E2">
        <w:t xml:space="preserve"> del RR</w:t>
      </w:r>
      <w:r w:rsidRPr="002F44E2">
        <w:t xml:space="preserve"> presentada en el Documento </w:t>
      </w:r>
      <w:hyperlink r:id="rId16" w:history="1">
        <w:r w:rsidRPr="002F44E2">
          <w:rPr>
            <w:rStyle w:val="Hyperlink"/>
          </w:rPr>
          <w:t>550</w:t>
        </w:r>
      </w:hyperlink>
      <w:r w:rsidRPr="002F44E2">
        <w:t xml:space="preserve"> de la CMR-19, </w:t>
      </w:r>
      <w:r w:rsidR="003E5B95" w:rsidRPr="002F44E2">
        <w:t>cuyo examen puede tener lugar en el marco d</w:t>
      </w:r>
      <w:r w:rsidRPr="002F44E2">
        <w:t>el punto 9.1 del orden del día de la CMR-23</w:t>
      </w:r>
      <w:r w:rsidR="00E201C2" w:rsidRPr="002F44E2">
        <w:t xml:space="preserve">, </w:t>
      </w:r>
      <w:r w:rsidRPr="002F44E2">
        <w:t xml:space="preserve">o posiblemente </w:t>
      </w:r>
      <w:r w:rsidR="00C935FC" w:rsidRPr="002F44E2">
        <w:t>en el marco d</w:t>
      </w:r>
      <w:r w:rsidR="003E5B95" w:rsidRPr="002F44E2">
        <w:t>e</w:t>
      </w:r>
      <w:r w:rsidRPr="002F44E2">
        <w:t>l punto 9.2</w:t>
      </w:r>
    </w:p>
    <w:p w14:paraId="2E8ABB61" w14:textId="2FB556C6" w:rsidR="00312957" w:rsidRPr="002F44E2" w:rsidRDefault="00312957" w:rsidP="00312957">
      <w:pPr>
        <w:pStyle w:val="Heading1"/>
      </w:pPr>
      <w:r w:rsidRPr="002F44E2">
        <w:lastRenderedPageBreak/>
        <w:t>2</w:t>
      </w:r>
      <w:r w:rsidRPr="002F44E2">
        <w:tab/>
        <w:t>Discusión</w:t>
      </w:r>
    </w:p>
    <w:p w14:paraId="675729AB" w14:textId="2E2E6FEF" w:rsidR="0075286F" w:rsidRPr="002F44E2" w:rsidRDefault="00BA44BB" w:rsidP="0075286F">
      <w:r w:rsidRPr="002F44E2">
        <w:t xml:space="preserve">Mediante </w:t>
      </w:r>
      <w:r w:rsidR="00907A4B" w:rsidRPr="002F44E2">
        <w:t>su</w:t>
      </w:r>
      <w:r w:rsidR="00312957" w:rsidRPr="002F44E2">
        <w:t xml:space="preserve"> participación activa en los estudios del UIT-R, el Japón facilita las siguientes observaciones sobre las cuestiones presentadas en el Documento </w:t>
      </w:r>
      <w:hyperlink r:id="rId17" w:history="1">
        <w:r w:rsidR="00312957" w:rsidRPr="002F44E2">
          <w:rPr>
            <w:rStyle w:val="Hyperlink"/>
          </w:rPr>
          <w:t>550</w:t>
        </w:r>
      </w:hyperlink>
      <w:r w:rsidR="00312957" w:rsidRPr="002F44E2">
        <w:t xml:space="preserve"> de la CMR-19 a fin de proteger los receptores espaciales para los servicios por satélite.</w:t>
      </w:r>
    </w:p>
    <w:p w14:paraId="2113D7A2" w14:textId="02D96295" w:rsidR="00312957" w:rsidRPr="002F44E2" w:rsidRDefault="00312957" w:rsidP="007D6B73">
      <w:pPr>
        <w:pStyle w:val="enumlev1"/>
      </w:pPr>
      <w:r w:rsidRPr="002F44E2">
        <w:t>−</w:t>
      </w:r>
      <w:r w:rsidRPr="002F44E2">
        <w:tab/>
        <w:t xml:space="preserve">Para la notificación de </w:t>
      </w:r>
      <w:r w:rsidR="002F44E2" w:rsidRPr="002F44E2">
        <w:t>una estación</w:t>
      </w:r>
      <w:r w:rsidRPr="002F44E2">
        <w:t xml:space="preserve"> IMT que utiliza AAS, la potencia radiada total (PRT) (es decir, la integral de la potencia transmitida por todos los elementos de la antena en diferentes direcciones a lo largo de toda la esfera de radiación) debería indicarse en el punto 8AA del Cuadro 1 del Apéndice </w:t>
      </w:r>
      <w:r w:rsidRPr="002F44E2">
        <w:rPr>
          <w:b/>
          <w:bCs/>
        </w:rPr>
        <w:t>4</w:t>
      </w:r>
      <w:r w:rsidRPr="002F44E2">
        <w:t xml:space="preserve"> del RR.</w:t>
      </w:r>
    </w:p>
    <w:p w14:paraId="53142C5C" w14:textId="4E7ACC7C" w:rsidR="00312957" w:rsidRPr="002F44E2" w:rsidRDefault="00312957" w:rsidP="007D6B73">
      <w:pPr>
        <w:pStyle w:val="enumlev1"/>
      </w:pPr>
      <w:r w:rsidRPr="002F44E2">
        <w:t>−</w:t>
      </w:r>
      <w:r w:rsidRPr="002F44E2">
        <w:tab/>
        <w:t xml:space="preserve">Para la verificación de la estación IMT </w:t>
      </w:r>
      <w:r w:rsidR="0027030A" w:rsidRPr="002F44E2">
        <w:t>con</w:t>
      </w:r>
      <w:r w:rsidRPr="002F44E2">
        <w:t xml:space="preserve"> AAS</w:t>
      </w:r>
      <w:r w:rsidR="00BA44BB" w:rsidRPr="002F44E2">
        <w:t xml:space="preserve"> notificada</w:t>
      </w:r>
      <w:r w:rsidRPr="002F44E2">
        <w:t xml:space="preserve">, debería emplearse la siguiente ecuación al evaluar la conformidad con el límite de «+10 dBW» </w:t>
      </w:r>
      <w:r w:rsidR="00FF7F6A" w:rsidRPr="002F44E2">
        <w:t>previsto</w:t>
      </w:r>
      <w:r w:rsidRPr="002F44E2">
        <w:t xml:space="preserve"> en el número </w:t>
      </w:r>
      <w:r w:rsidRPr="002F44E2">
        <w:rPr>
          <w:b/>
          <w:bCs/>
        </w:rPr>
        <w:t>21.5</w:t>
      </w:r>
      <w:r w:rsidRPr="002F44E2">
        <w:t xml:space="preserve"> del RR.</w:t>
      </w:r>
    </w:p>
    <w:p w14:paraId="0360625A" w14:textId="44195CF2" w:rsidR="00FF7F6A" w:rsidRPr="002F44E2" w:rsidRDefault="009E6433" w:rsidP="007D6B73">
      <w:pPr>
        <w:pStyle w:val="enumlev1"/>
        <w:jc w:val="center"/>
      </w:pPr>
      <m:oMathPara>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 </m:t>
              </m:r>
            </m:sub>
          </m:sSub>
          <m:r>
            <m:rPr>
              <m:sty m:val="p"/>
            </m:rPr>
            <w:rPr>
              <w:rFonts w:ascii="Cambria Math" w:hAnsi="Cambria Math"/>
            </w:rPr>
            <m:t>- 10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rPr>
                  </m:ctrlPr>
                </m:dPr>
                <m:e>
                  <m:f>
                    <m:fPr>
                      <m:ctrlPr>
                        <w:rPr>
                          <w:rFonts w:ascii="Cambria Math" w:hAnsi="Cambria Math"/>
                        </w:rPr>
                      </m:ctrlPr>
                    </m:fPr>
                    <m:num>
                      <m:r>
                        <w:rPr>
                          <w:rFonts w:ascii="Cambria Math" w:hAnsi="Cambria Math"/>
                        </w:rPr>
                        <m:t>BW</m:t>
                      </m:r>
                    </m:num>
                    <m:den>
                      <m:r>
                        <w:rPr>
                          <w:rFonts w:ascii="Cambria Math" w:hAnsi="Cambria Math"/>
                        </w:rPr>
                        <m:t>200</m:t>
                      </m:r>
                    </m:den>
                  </m:f>
                </m:e>
              </m:d>
            </m:e>
          </m:func>
          <m:r>
            <m:rPr>
              <m:sty m:val="p"/>
            </m:rPr>
            <w:rPr>
              <w:rFonts w:ascii="Cambria Math" w:hAnsi="Cambria Math"/>
            </w:rPr>
            <m:t xml:space="preserve">≤10 </m:t>
          </m:r>
          <m:r>
            <w:rPr>
              <w:rFonts w:ascii="Cambria Math" w:hAnsi="Cambria Math"/>
            </w:rPr>
            <m:t>dBW</m:t>
          </m:r>
        </m:oMath>
      </m:oMathPara>
    </w:p>
    <w:p w14:paraId="519CB1DE" w14:textId="5B30EE4A" w:rsidR="00FF7F6A" w:rsidRPr="002F44E2" w:rsidRDefault="00FF7F6A" w:rsidP="007D6B73">
      <w:pPr>
        <w:pStyle w:val="enumlev1"/>
      </w:pPr>
      <w:r w:rsidRPr="002F44E2">
        <w:tab/>
        <w:t xml:space="preserve">donde P equivale al valor de la PRT en dBW notificada </w:t>
      </w:r>
      <w:r w:rsidR="00BA44BB" w:rsidRPr="002F44E2">
        <w:t>en el</w:t>
      </w:r>
      <w:r w:rsidRPr="002F44E2">
        <w:t xml:space="preserve"> punto 8AA y BW es </w:t>
      </w:r>
      <w:r w:rsidR="00BA44BB" w:rsidRPr="002F44E2">
        <w:t>la</w:t>
      </w:r>
      <w:r w:rsidRPr="002F44E2">
        <w:t xml:space="preserve"> anchura de banda necesaria </w:t>
      </w:r>
      <w:r w:rsidR="00BA44BB" w:rsidRPr="002F44E2">
        <w:t xml:space="preserve">en MHz </w:t>
      </w:r>
      <w:r w:rsidRPr="002F44E2">
        <w:t>de la emisión de la estación IMT notificada en el punto 7AB del Cuadro 1 del Apéndice</w:t>
      </w:r>
      <w:r w:rsidRPr="002F44E2">
        <w:rPr>
          <w:b/>
          <w:bCs/>
        </w:rPr>
        <w:t xml:space="preserve"> 4</w:t>
      </w:r>
      <w:r w:rsidRPr="002F44E2">
        <w:t xml:space="preserve"> del RR, respectivamente. En la ecuación anterior, el valor de «200» MHz se introduce para evitar una restricción de la estación IMT con AAS que utiliza un</w:t>
      </w:r>
      <w:r w:rsidR="00BA44BB" w:rsidRPr="002F44E2">
        <w:t xml:space="preserve"> ancho de banda de canal amplio superior a los</w:t>
      </w:r>
      <w:r w:rsidRPr="002F44E2">
        <w:t xml:space="preserve"> 200 MHz.</w:t>
      </w:r>
    </w:p>
    <w:p w14:paraId="6A1DF44A" w14:textId="054FCE1F" w:rsidR="00FF7F6A" w:rsidRPr="002F44E2" w:rsidRDefault="00FF7F6A" w:rsidP="007D6B73">
      <w:pPr>
        <w:pStyle w:val="enumlev1"/>
      </w:pPr>
      <w:r w:rsidRPr="002F44E2">
        <w:t>−</w:t>
      </w:r>
      <w:r w:rsidRPr="002F44E2">
        <w:tab/>
        <w:t>La discusión debería centrarse en la banda de frecuencias 24,45-27,5 GHz con respecto a la notificación y verificación de las estaciones IMT que utilizan AAS. Una vez alcanzado un acuerdo en la banda de frecuencias 24,45-27,5 GHz, la discusión</w:t>
      </w:r>
      <w:r w:rsidR="00BA44BB" w:rsidRPr="002F44E2">
        <w:t xml:space="preserve"> podría ampliarse a</w:t>
      </w:r>
      <w:r w:rsidRPr="002F44E2">
        <w:t xml:space="preserve"> las estaciones IMT con estaciones AAS que utilizan otras bandas de frecuencias compartidas con los servicios espaciales (Tierra-espacio).</w:t>
      </w:r>
    </w:p>
    <w:p w14:paraId="10D39064" w14:textId="38CA8CFD" w:rsidR="00015040" w:rsidRPr="002F44E2" w:rsidRDefault="00015040" w:rsidP="007D6B73">
      <w:pPr>
        <w:pStyle w:val="enumlev1"/>
      </w:pPr>
      <w:r w:rsidRPr="002F44E2">
        <w:t>−</w:t>
      </w:r>
      <w:r w:rsidRPr="002F44E2">
        <w:tab/>
      </w:r>
      <w:r w:rsidR="00BA44BB" w:rsidRPr="002F44E2">
        <w:t>Ante</w:t>
      </w:r>
      <w:r w:rsidRPr="002F44E2">
        <w:t xml:space="preserve"> la posible innovaci</w:t>
      </w:r>
      <w:r w:rsidR="00EF578E" w:rsidRPr="002F44E2">
        <w:t>ón</w:t>
      </w:r>
      <w:r w:rsidRPr="002F44E2">
        <w:t xml:space="preserve"> tecnológica futura de la estación IMT con AAS que emplea más de +10 dBW para una anchura de banda de 200 MHz, pero</w:t>
      </w:r>
      <w:r w:rsidR="00351D02" w:rsidRPr="002F44E2">
        <w:t xml:space="preserve"> con </w:t>
      </w:r>
      <w:r w:rsidR="00EF578E" w:rsidRPr="002F44E2">
        <w:t>menos</w:t>
      </w:r>
      <w:r w:rsidRPr="002F44E2">
        <w:t xml:space="preserve"> </w:t>
      </w:r>
      <w:r w:rsidR="00351D02" w:rsidRPr="002F44E2">
        <w:t>i</w:t>
      </w:r>
      <w:r w:rsidRPr="002F44E2">
        <w:t>nterferencia</w:t>
      </w:r>
      <w:r w:rsidR="00351D02" w:rsidRPr="002F44E2">
        <w:t xml:space="preserve"> </w:t>
      </w:r>
      <w:r w:rsidRPr="002F44E2">
        <w:t xml:space="preserve">a los receptores de satélite, podría considerarse </w:t>
      </w:r>
      <w:r w:rsidR="00351D02" w:rsidRPr="002F44E2">
        <w:t xml:space="preserve">la posibilidad de </w:t>
      </w:r>
      <w:r w:rsidRPr="002F44E2">
        <w:t xml:space="preserve">una medida adicional que permita notificar </w:t>
      </w:r>
      <w:r w:rsidR="00EF578E" w:rsidRPr="002F44E2">
        <w:t>este tipo de</w:t>
      </w:r>
      <w:r w:rsidRPr="002F44E2">
        <w:t xml:space="preserve"> estación IMT que utiliza estaciones AAS (por ejemplo, </w:t>
      </w:r>
      <w:r w:rsidR="00351D02" w:rsidRPr="002F44E2">
        <w:t xml:space="preserve">la </w:t>
      </w:r>
      <w:r w:rsidRPr="002F44E2">
        <w:t xml:space="preserve">máscara de </w:t>
      </w:r>
      <w:r w:rsidR="00351D02" w:rsidRPr="002F44E2">
        <w:t>p.i.r.e.</w:t>
      </w:r>
      <w:r w:rsidRPr="002F44E2">
        <w:t xml:space="preserve"> en función del ángulo vertical sobre el horizonte).</w:t>
      </w:r>
    </w:p>
    <w:p w14:paraId="131972C9" w14:textId="369BBABE" w:rsidR="00351D02" w:rsidRPr="002F44E2" w:rsidRDefault="00351D02" w:rsidP="00351D02">
      <w:pPr>
        <w:pStyle w:val="Heading1"/>
      </w:pPr>
      <w:r w:rsidRPr="002F44E2">
        <w:t>3</w:t>
      </w:r>
      <w:r w:rsidRPr="002F44E2">
        <w:tab/>
        <w:t>Propuesta</w:t>
      </w:r>
    </w:p>
    <w:p w14:paraId="6BF0E1F5" w14:textId="60B9FA31" w:rsidR="00351D02" w:rsidRPr="002F44E2" w:rsidRDefault="00351D02" w:rsidP="00351D02">
      <w:r w:rsidRPr="002F44E2">
        <w:t>Sobre la base de la discusión anterior, y teniendo en cuenta las opiniones divergentes expresadas en los estudios del UIT-R, el Japón propone la siguiente solución para abordar en la CMR-23 las cuestiones planteadas en el Documento 550 de la CMR-19.</w:t>
      </w:r>
    </w:p>
    <w:p w14:paraId="30BD4057" w14:textId="5CB42EAB" w:rsidR="00351D02" w:rsidRPr="002F44E2" w:rsidRDefault="00351D02" w:rsidP="007D6B73">
      <w:pPr>
        <w:pStyle w:val="enumlev1"/>
      </w:pPr>
      <w:r w:rsidRPr="002F44E2">
        <w:t>−</w:t>
      </w:r>
      <w:r w:rsidRPr="002F44E2">
        <w:tab/>
        <w:t xml:space="preserve">Además de los procedimientos existentes </w:t>
      </w:r>
      <w:r w:rsidR="00037C9E" w:rsidRPr="002F44E2">
        <w:t xml:space="preserve">en el número </w:t>
      </w:r>
      <w:r w:rsidR="00037C9E" w:rsidRPr="002F44E2">
        <w:rPr>
          <w:b/>
          <w:bCs/>
        </w:rPr>
        <w:t>21.5</w:t>
      </w:r>
      <w:r w:rsidR="00037C9E" w:rsidRPr="002F44E2">
        <w:t xml:space="preserve"> del RR </w:t>
      </w:r>
      <w:r w:rsidRPr="002F44E2">
        <w:t xml:space="preserve">para la verificación y notificación de estaciones </w:t>
      </w:r>
      <w:r w:rsidR="00037C9E" w:rsidRPr="002F44E2">
        <w:t>en</w:t>
      </w:r>
      <w:r w:rsidRPr="002F44E2">
        <w:t xml:space="preserve"> lo que respecta a la potencia </w:t>
      </w:r>
      <w:r w:rsidR="00037C9E" w:rsidRPr="002F44E2">
        <w:t>entregada</w:t>
      </w:r>
      <w:r w:rsidRPr="002F44E2">
        <w:t xml:space="preserve"> a la antena (es decir, la potencia conducida), la PRT (es decir, la integral de la potencia transmitida por todos los elementos de la antena en diferentes direcciones a lo largo de toda la esfera de radiación) puede utilizarse como </w:t>
      </w:r>
      <w:r w:rsidR="00037C9E" w:rsidRPr="002F44E2">
        <w:t xml:space="preserve">el </w:t>
      </w:r>
      <w:r w:rsidRPr="002F44E2">
        <w:t>valor equivalente de la potencia conducida en la notificación de asignación de frecuencia</w:t>
      </w:r>
      <w:r w:rsidR="00037C9E" w:rsidRPr="002F44E2">
        <w:t>s</w:t>
      </w:r>
      <w:r w:rsidRPr="002F44E2">
        <w:t xml:space="preserve"> de </w:t>
      </w:r>
      <w:r w:rsidR="00037C9E" w:rsidRPr="002F44E2">
        <w:t>una</w:t>
      </w:r>
      <w:r w:rsidRPr="002F44E2">
        <w:t xml:space="preserve"> estación IMT que utiliza AAS.</w:t>
      </w:r>
    </w:p>
    <w:p w14:paraId="50BB344D" w14:textId="54730441" w:rsidR="00351D02" w:rsidRPr="002F44E2" w:rsidRDefault="00351D02" w:rsidP="007D6B73">
      <w:pPr>
        <w:pStyle w:val="enumlev1"/>
      </w:pPr>
      <w:r w:rsidRPr="002F44E2">
        <w:t>−</w:t>
      </w:r>
      <w:r w:rsidRPr="002F44E2">
        <w:tab/>
      </w:r>
      <w:r w:rsidR="007D61C9" w:rsidRPr="002F44E2">
        <w:t xml:space="preserve">Cuando el punto 8AA </w:t>
      </w:r>
      <w:r w:rsidR="00B64C5F" w:rsidRPr="002F44E2">
        <w:t>se facilita en</w:t>
      </w:r>
      <w:r w:rsidR="007D61C9" w:rsidRPr="002F44E2">
        <w:t xml:space="preserve"> PRT </w:t>
      </w:r>
      <w:r w:rsidR="00B64C5F" w:rsidRPr="002F44E2">
        <w:t>para</w:t>
      </w:r>
      <w:r w:rsidR="007D61C9" w:rsidRPr="002F44E2">
        <w:t xml:space="preserve"> estaciones IMT en la banda de frecuencias 24,45-27,5 GHz, </w:t>
      </w:r>
      <w:r w:rsidR="00B64C5F" w:rsidRPr="002F44E2">
        <w:t xml:space="preserve">la siguiente ecuación </w:t>
      </w:r>
      <w:r w:rsidR="007D61C9" w:rsidRPr="002F44E2">
        <w:t xml:space="preserve">se aplica al evaluar la conformidad con el límite de «+10 dBW» previsto en el número </w:t>
      </w:r>
      <w:r w:rsidR="007D61C9" w:rsidRPr="002F44E2">
        <w:rPr>
          <w:b/>
          <w:bCs/>
        </w:rPr>
        <w:t>21.5</w:t>
      </w:r>
      <w:r w:rsidR="007D61C9" w:rsidRPr="002F44E2">
        <w:t xml:space="preserve"> del RR.</w:t>
      </w:r>
    </w:p>
    <w:p w14:paraId="335D7901" w14:textId="59394D4F" w:rsidR="007D61C9" w:rsidRPr="002F44E2" w:rsidRDefault="009E6433" w:rsidP="007D6B73">
      <w:pPr>
        <w:pStyle w:val="enumlev1"/>
        <w:jc w:val="center"/>
      </w:pPr>
      <m:oMathPara>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 </m:t>
              </m:r>
            </m:sub>
          </m:sSub>
          <m:r>
            <m:rPr>
              <m:sty m:val="p"/>
            </m:rPr>
            <w:rPr>
              <w:rFonts w:ascii="Cambria Math" w:hAnsi="Cambria Math"/>
            </w:rPr>
            <m:t>- 10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rPr>
                  </m:ctrlPr>
                </m:dPr>
                <m:e>
                  <m:f>
                    <m:fPr>
                      <m:ctrlPr>
                        <w:rPr>
                          <w:rFonts w:ascii="Cambria Math" w:hAnsi="Cambria Math"/>
                        </w:rPr>
                      </m:ctrlPr>
                    </m:fPr>
                    <m:num>
                      <m:r>
                        <w:rPr>
                          <w:rFonts w:ascii="Cambria Math" w:hAnsi="Cambria Math"/>
                        </w:rPr>
                        <m:t>BW</m:t>
                      </m:r>
                    </m:num>
                    <m:den>
                      <m:r>
                        <w:rPr>
                          <w:rFonts w:ascii="Cambria Math" w:hAnsi="Cambria Math"/>
                        </w:rPr>
                        <m:t>200</m:t>
                      </m:r>
                    </m:den>
                  </m:f>
                </m:e>
              </m:d>
            </m:e>
          </m:func>
          <m:r>
            <m:rPr>
              <m:sty m:val="p"/>
            </m:rPr>
            <w:rPr>
              <w:rFonts w:ascii="Cambria Math" w:hAnsi="Cambria Math"/>
            </w:rPr>
            <m:t xml:space="preserve">≤10 </m:t>
          </m:r>
          <m:r>
            <w:rPr>
              <w:rFonts w:ascii="Cambria Math" w:hAnsi="Cambria Math"/>
            </w:rPr>
            <m:t>dBW</m:t>
          </m:r>
        </m:oMath>
      </m:oMathPara>
    </w:p>
    <w:p w14:paraId="13BC0975" w14:textId="6442C6E2" w:rsidR="007D61C9" w:rsidRPr="002F44E2" w:rsidRDefault="007D61C9" w:rsidP="007D6B73">
      <w:pPr>
        <w:pStyle w:val="enumlev1"/>
      </w:pPr>
      <w:r w:rsidRPr="002F44E2">
        <w:tab/>
        <w:t xml:space="preserve">donde P equivale al valor de la PRT en dBW notificada </w:t>
      </w:r>
      <w:r w:rsidR="00B64C5F" w:rsidRPr="002F44E2">
        <w:t>en e</w:t>
      </w:r>
      <w:r w:rsidRPr="002F44E2">
        <w:t xml:space="preserve">l punto 8AA y BW es </w:t>
      </w:r>
      <w:r w:rsidR="00B64C5F" w:rsidRPr="002F44E2">
        <w:t>la</w:t>
      </w:r>
      <w:r w:rsidRPr="002F44E2">
        <w:t xml:space="preserve"> anchura de banda necesaria</w:t>
      </w:r>
      <w:r w:rsidR="00B64C5F" w:rsidRPr="002F44E2">
        <w:t xml:space="preserve"> en MHz</w:t>
      </w:r>
      <w:r w:rsidRPr="002F44E2">
        <w:t xml:space="preserve"> de la emisión de la estación IMT notificada </w:t>
      </w:r>
      <w:r w:rsidR="00B64C5F" w:rsidRPr="002F44E2">
        <w:t>en e</w:t>
      </w:r>
      <w:r w:rsidRPr="002F44E2">
        <w:t xml:space="preserve">l </w:t>
      </w:r>
      <w:r w:rsidRPr="002F44E2">
        <w:lastRenderedPageBreak/>
        <w:t>punto 7AB del Cuadro 1 del Apéndice</w:t>
      </w:r>
      <w:r w:rsidRPr="002F44E2">
        <w:rPr>
          <w:b/>
          <w:bCs/>
        </w:rPr>
        <w:t xml:space="preserve"> 4</w:t>
      </w:r>
      <w:r w:rsidRPr="002F44E2">
        <w:t xml:space="preserve"> del RR, respectivamente. Se solicita a las administraciones notificantes que indiquen si el punto 8AA se facilita en PRT para poder aplicar esta ecuación, </w:t>
      </w:r>
      <w:r w:rsidR="00B64C5F" w:rsidRPr="002F44E2">
        <w:t>cuando sea</w:t>
      </w:r>
      <w:r w:rsidRPr="002F44E2">
        <w:t xml:space="preserve"> necesario.</w:t>
      </w:r>
    </w:p>
    <w:p w14:paraId="4C68212C" w14:textId="01008C77" w:rsidR="007D61C9" w:rsidRPr="002F44E2" w:rsidRDefault="007D61C9" w:rsidP="007D61C9">
      <w:r w:rsidRPr="002F44E2">
        <w:t xml:space="preserve">Si esta solución, incluidos </w:t>
      </w:r>
      <w:r w:rsidR="00B64C5F" w:rsidRPr="002F44E2">
        <w:t xml:space="preserve">sus </w:t>
      </w:r>
      <w:r w:rsidRPr="002F44E2">
        <w:t xml:space="preserve">ajustes ulteriores, es aceptable para la Conferencia, puede </w:t>
      </w:r>
      <w:r w:rsidR="00B64C5F" w:rsidRPr="002F44E2">
        <w:t xml:space="preserve">quedar consignada </w:t>
      </w:r>
      <w:r w:rsidR="007759CF" w:rsidRPr="002F44E2">
        <w:t xml:space="preserve">en las Actas del Pleno </w:t>
      </w:r>
      <w:r w:rsidRPr="002F44E2">
        <w:t xml:space="preserve">como una decisión de la CMR-23, que se utilizará para </w:t>
      </w:r>
      <w:r w:rsidR="007759CF" w:rsidRPr="002F44E2">
        <w:t>elaborar</w:t>
      </w:r>
      <w:r w:rsidRPr="002F44E2">
        <w:t xml:space="preserve"> </w:t>
      </w:r>
      <w:r w:rsidR="007759CF" w:rsidRPr="002F44E2">
        <w:t>una Regla de Procedimiento</w:t>
      </w:r>
      <w:r w:rsidRPr="002F44E2">
        <w:t xml:space="preserve">, en consecuencia. Además, puede </w:t>
      </w:r>
      <w:r w:rsidR="007759CF" w:rsidRPr="002F44E2">
        <w:t>plasmarse</w:t>
      </w:r>
      <w:r w:rsidRPr="002F44E2">
        <w:t xml:space="preserve"> en una nueva Nota al </w:t>
      </w:r>
      <w:r w:rsidR="007759CF" w:rsidRPr="002F44E2">
        <w:t>punto</w:t>
      </w:r>
      <w:r w:rsidRPr="002F44E2">
        <w:t xml:space="preserve"> 8AA del Cuadro 1 del Apéndice </w:t>
      </w:r>
      <w:r w:rsidRPr="002F44E2">
        <w:rPr>
          <w:b/>
          <w:bCs/>
        </w:rPr>
        <w:t>4</w:t>
      </w:r>
      <w:r w:rsidRPr="002F44E2">
        <w:t xml:space="preserve"> del RR</w:t>
      </w:r>
      <w:r w:rsidR="009A39B1" w:rsidRPr="002F44E2">
        <w:t xml:space="preserve">, </w:t>
      </w:r>
      <w:r w:rsidR="00B64C5F" w:rsidRPr="002F44E2">
        <w:t xml:space="preserve">sin acometer cambios en el Artículo </w:t>
      </w:r>
      <w:r w:rsidR="00B64C5F" w:rsidRPr="002F44E2">
        <w:rPr>
          <w:b/>
          <w:bCs/>
        </w:rPr>
        <w:t>21</w:t>
      </w:r>
      <w:r w:rsidR="00B64C5F" w:rsidRPr="002F44E2">
        <w:t xml:space="preserve"> del RR</w:t>
      </w:r>
      <w:r w:rsidRPr="002F44E2">
        <w:t>.</w:t>
      </w:r>
    </w:p>
    <w:p w14:paraId="3231963D" w14:textId="77777777" w:rsidR="007D61C9" w:rsidRPr="002F44E2" w:rsidRDefault="007D61C9" w:rsidP="00351D02">
      <w:pPr>
        <w:ind w:left="720" w:hanging="720"/>
      </w:pPr>
    </w:p>
    <w:p w14:paraId="383C9933" w14:textId="77777777" w:rsidR="008750A8" w:rsidRPr="002F44E2" w:rsidRDefault="008750A8" w:rsidP="008750A8">
      <w:pPr>
        <w:tabs>
          <w:tab w:val="clear" w:pos="1134"/>
          <w:tab w:val="clear" w:pos="1871"/>
          <w:tab w:val="clear" w:pos="2268"/>
        </w:tabs>
        <w:overflowPunct/>
        <w:autoSpaceDE/>
        <w:autoSpaceDN/>
        <w:adjustRightInd/>
        <w:spacing w:before="0"/>
        <w:textAlignment w:val="auto"/>
      </w:pPr>
      <w:r w:rsidRPr="002F44E2">
        <w:br w:type="page"/>
      </w:r>
    </w:p>
    <w:p w14:paraId="0825CAB0" w14:textId="77777777" w:rsidR="005E6F20" w:rsidRPr="002F44E2" w:rsidRDefault="00ED471E">
      <w:pPr>
        <w:pStyle w:val="Proposal"/>
      </w:pPr>
      <w:r w:rsidRPr="002F44E2">
        <w:lastRenderedPageBreak/>
        <w:tab/>
        <w:t>J/99A24/1</w:t>
      </w:r>
    </w:p>
    <w:p w14:paraId="445912ED" w14:textId="1BC96FE0" w:rsidR="005E6F20" w:rsidRPr="002F44E2" w:rsidRDefault="00E5070A" w:rsidP="009E6433">
      <w:r w:rsidRPr="002F44E2">
        <w:t xml:space="preserve">Habida cuenta </w:t>
      </w:r>
      <w:r w:rsidR="00B64C5F" w:rsidRPr="002F44E2">
        <w:t>de</w:t>
      </w:r>
      <w:r w:rsidRPr="002F44E2">
        <w:t xml:space="preserve"> las opiniones divergentes expresadas en los estudios del UIT-R realizados con arreglo al Documento 550 de la CMR-19, se propone la siguiente solución.</w:t>
      </w:r>
    </w:p>
    <w:p w14:paraId="27A9A39B" w14:textId="2BB3D3E4" w:rsidR="00E5070A" w:rsidRPr="002F44E2" w:rsidRDefault="0061630C" w:rsidP="007D6B73">
      <w:pPr>
        <w:pStyle w:val="enumlev1"/>
      </w:pPr>
      <w:r w:rsidRPr="002F44E2">
        <w:t>−</w:t>
      </w:r>
      <w:r w:rsidRPr="002F44E2">
        <w:tab/>
      </w:r>
      <w:r w:rsidR="00B64C5F" w:rsidRPr="002F44E2">
        <w:t>Además d</w:t>
      </w:r>
      <w:bookmarkStart w:id="6" w:name="_GoBack"/>
      <w:bookmarkEnd w:id="6"/>
      <w:r w:rsidR="00B64C5F" w:rsidRPr="002F44E2">
        <w:t xml:space="preserve">e los procedimientos existentes en el número </w:t>
      </w:r>
      <w:r w:rsidR="00B64C5F" w:rsidRPr="002F44E2">
        <w:rPr>
          <w:b/>
          <w:bCs/>
        </w:rPr>
        <w:t>21.5</w:t>
      </w:r>
      <w:r w:rsidR="00B64C5F" w:rsidRPr="002F44E2">
        <w:t xml:space="preserve"> del RR para la verificación y notificación de estaciones en lo que respecta a la potencia entregada a la antena (es decir, la potencia conducida), la PRT (es decir, la integral de la potencia transmitida por todos los elementos de la antena en diferentes direcciones a lo largo de toda la esfera de radiación) puede utilizarse como el valor equivalente de la potencia conducida en la notificación de asignación de frecuencias de una estación IMT que utiliza AAS.</w:t>
      </w:r>
    </w:p>
    <w:p w14:paraId="31F62C34" w14:textId="5A76A5E7" w:rsidR="00E5070A" w:rsidRPr="002F44E2" w:rsidRDefault="00E5070A" w:rsidP="007D6B73">
      <w:pPr>
        <w:pStyle w:val="enumlev1"/>
      </w:pPr>
      <w:r w:rsidRPr="002F44E2">
        <w:t>−</w:t>
      </w:r>
      <w:r w:rsidRPr="002F44E2">
        <w:tab/>
      </w:r>
      <w:r w:rsidR="00B64C5F" w:rsidRPr="002F44E2">
        <w:t xml:space="preserve">Cuando el punto 8AA se facilita en PRT para estaciones IMT en la banda de frecuencias 24,45-27,5 GHz, la siguiente ecuación se aplica al evaluar la conformidad con el límite de «+10 dBW» previsto en el número </w:t>
      </w:r>
      <w:r w:rsidR="00B64C5F" w:rsidRPr="002F44E2">
        <w:rPr>
          <w:b/>
          <w:bCs/>
        </w:rPr>
        <w:t>21.5</w:t>
      </w:r>
      <w:r w:rsidR="00B64C5F" w:rsidRPr="002F44E2">
        <w:t xml:space="preserve"> del RR.</w:t>
      </w:r>
    </w:p>
    <w:p w14:paraId="4C0A97E3" w14:textId="2AE22321" w:rsidR="00E5070A" w:rsidRPr="002F44E2" w:rsidRDefault="009E6433" w:rsidP="007D6B73">
      <w:pPr>
        <w:pStyle w:val="enumlev1"/>
        <w:jc w:val="center"/>
      </w:pPr>
      <m:oMathPara>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 </m:t>
              </m:r>
            </m:sub>
          </m:sSub>
          <m:r>
            <m:rPr>
              <m:sty m:val="p"/>
            </m:rPr>
            <w:rPr>
              <w:rFonts w:ascii="Cambria Math" w:hAnsi="Cambria Math"/>
            </w:rPr>
            <m:t>- 10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rPr>
                  </m:ctrlPr>
                </m:dPr>
                <m:e>
                  <m:f>
                    <m:fPr>
                      <m:ctrlPr>
                        <w:rPr>
                          <w:rFonts w:ascii="Cambria Math" w:hAnsi="Cambria Math"/>
                        </w:rPr>
                      </m:ctrlPr>
                    </m:fPr>
                    <m:num>
                      <m:r>
                        <w:rPr>
                          <w:rFonts w:ascii="Cambria Math" w:hAnsi="Cambria Math"/>
                        </w:rPr>
                        <m:t>BW</m:t>
                      </m:r>
                    </m:num>
                    <m:den>
                      <m:r>
                        <w:rPr>
                          <w:rFonts w:ascii="Cambria Math" w:hAnsi="Cambria Math"/>
                        </w:rPr>
                        <m:t>200</m:t>
                      </m:r>
                    </m:den>
                  </m:f>
                </m:e>
              </m:d>
            </m:e>
          </m:func>
          <m:r>
            <m:rPr>
              <m:sty m:val="p"/>
            </m:rPr>
            <w:rPr>
              <w:rFonts w:ascii="Cambria Math" w:hAnsi="Cambria Math"/>
            </w:rPr>
            <m:t xml:space="preserve">≤10 </m:t>
          </m:r>
          <m:r>
            <w:rPr>
              <w:rFonts w:ascii="Cambria Math" w:hAnsi="Cambria Math"/>
            </w:rPr>
            <m:t>dBW</m:t>
          </m:r>
        </m:oMath>
      </m:oMathPara>
    </w:p>
    <w:p w14:paraId="4D71C6DE" w14:textId="620E20B2" w:rsidR="00E5070A" w:rsidRPr="002F44E2" w:rsidRDefault="00E5070A" w:rsidP="007D6B73">
      <w:pPr>
        <w:pStyle w:val="enumlev1"/>
      </w:pPr>
      <w:r w:rsidRPr="002F44E2">
        <w:tab/>
        <w:t xml:space="preserve">donde P equivale al valor de la PRT en dBW notificada </w:t>
      </w:r>
      <w:r w:rsidR="00B64C5F" w:rsidRPr="002F44E2">
        <w:t>en el</w:t>
      </w:r>
      <w:r w:rsidRPr="002F44E2">
        <w:t xml:space="preserve"> punto 8AA y BW es </w:t>
      </w:r>
      <w:r w:rsidR="00B64C5F" w:rsidRPr="002F44E2">
        <w:t>la</w:t>
      </w:r>
      <w:r w:rsidRPr="002F44E2">
        <w:t xml:space="preserve"> anchura de banda necesaria </w:t>
      </w:r>
      <w:r w:rsidR="0061630C" w:rsidRPr="002F44E2">
        <w:t xml:space="preserve">en MHz </w:t>
      </w:r>
      <w:r w:rsidRPr="002F44E2">
        <w:t xml:space="preserve">de la emisión de la estación IMT notificada </w:t>
      </w:r>
      <w:r w:rsidR="00B64C5F" w:rsidRPr="002F44E2">
        <w:t>en e</w:t>
      </w:r>
      <w:r w:rsidRPr="002F44E2">
        <w:t>l punto 7AB del Cuadro 1 del Apéndice</w:t>
      </w:r>
      <w:r w:rsidRPr="002F44E2">
        <w:rPr>
          <w:b/>
          <w:bCs/>
        </w:rPr>
        <w:t xml:space="preserve"> 4</w:t>
      </w:r>
      <w:r w:rsidRPr="002F44E2">
        <w:t xml:space="preserve"> del RR, respectivamente. </w:t>
      </w:r>
      <w:r w:rsidR="0061630C" w:rsidRPr="002F44E2">
        <w:t>Para poder aplicar esta ecuación, s</w:t>
      </w:r>
      <w:r w:rsidRPr="002F44E2">
        <w:t xml:space="preserve">e solicita a las administraciones notificantes que indiquen si el punto 8AA </w:t>
      </w:r>
      <w:r w:rsidR="00B64C5F" w:rsidRPr="002F44E2">
        <w:t>se facilita en</w:t>
      </w:r>
      <w:r w:rsidRPr="002F44E2">
        <w:t xml:space="preserve"> PRT.</w:t>
      </w:r>
    </w:p>
    <w:p w14:paraId="0BB130CB" w14:textId="00CB82B9" w:rsidR="00E5070A" w:rsidRPr="002F44E2" w:rsidRDefault="00E5070A" w:rsidP="007D6B73">
      <w:r w:rsidRPr="002F44E2">
        <w:t xml:space="preserve">Si esta solución, incluidos </w:t>
      </w:r>
      <w:r w:rsidR="00B64C5F" w:rsidRPr="002F44E2">
        <w:t>sus</w:t>
      </w:r>
      <w:r w:rsidRPr="002F44E2">
        <w:t xml:space="preserve"> ajustes ulteriores, es aceptable para la Conferencia, puede </w:t>
      </w:r>
      <w:r w:rsidR="0061630C" w:rsidRPr="002F44E2">
        <w:t>quedar consignada</w:t>
      </w:r>
      <w:r w:rsidRPr="002F44E2">
        <w:t xml:space="preserve"> en las Actas del Pleno como una decisión de la CMR-23, que se utilizará para elaborar una Regla de Procedimiento. Además, puede plasmarse en una nueva Nota al punto 8AA del Cuadro 1 del Apéndice </w:t>
      </w:r>
      <w:r w:rsidRPr="002F44E2">
        <w:rPr>
          <w:b/>
          <w:bCs/>
        </w:rPr>
        <w:t>4</w:t>
      </w:r>
      <w:r w:rsidRPr="002F44E2">
        <w:t xml:space="preserve"> del RR</w:t>
      </w:r>
      <w:r w:rsidR="00CF19C8" w:rsidRPr="002F44E2">
        <w:t xml:space="preserve">, sin </w:t>
      </w:r>
      <w:r w:rsidRPr="002F44E2">
        <w:t xml:space="preserve">acometer cambios en el Artículo </w:t>
      </w:r>
      <w:r w:rsidRPr="002F44E2">
        <w:rPr>
          <w:b/>
          <w:bCs/>
        </w:rPr>
        <w:t>21</w:t>
      </w:r>
      <w:r w:rsidRPr="002F44E2">
        <w:t xml:space="preserve"> del RR.</w:t>
      </w:r>
    </w:p>
    <w:p w14:paraId="319F3E5C" w14:textId="0C883021" w:rsidR="00CF19C8" w:rsidRPr="002F44E2" w:rsidRDefault="00CF19C8" w:rsidP="00E5070A">
      <w:pPr>
        <w:pStyle w:val="Reasons"/>
      </w:pPr>
      <w:r w:rsidRPr="002F44E2">
        <w:rPr>
          <w:b/>
        </w:rPr>
        <w:t>Motivos:</w:t>
      </w:r>
      <w:r w:rsidRPr="002F44E2">
        <w:tab/>
        <w:t>Se propone la solución que antecede para tener en cuenta las diferentes opiniones expresadas en los estudios del UIT-R realizados en el marco del Documento 550 de la CMR-19.</w:t>
      </w:r>
    </w:p>
    <w:p w14:paraId="57E44182" w14:textId="77777777" w:rsidR="007D6B73" w:rsidRPr="002F44E2" w:rsidRDefault="007D6B73" w:rsidP="007D6B73"/>
    <w:p w14:paraId="5FAB1A42" w14:textId="6A4C4581" w:rsidR="007D6B73" w:rsidRPr="002F44E2" w:rsidRDefault="007D6B73" w:rsidP="007D6B73">
      <w:pPr>
        <w:jc w:val="center"/>
      </w:pPr>
      <w:r w:rsidRPr="002F44E2">
        <w:t>______________</w:t>
      </w:r>
    </w:p>
    <w:sectPr w:rsidR="007D6B73" w:rsidRPr="002F44E2">
      <w:headerReference w:type="default" r:id="rId18"/>
      <w:footerReference w:type="even" r:id="rId19"/>
      <w:footerReference w:type="default" r:id="rId20"/>
      <w:footerReference w:type="first" r:id="rId2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C6030" w14:textId="77777777" w:rsidR="00666B37" w:rsidRDefault="00666B37">
      <w:r>
        <w:separator/>
      </w:r>
    </w:p>
  </w:endnote>
  <w:endnote w:type="continuationSeparator" w:id="0">
    <w:p w14:paraId="6D448B0E"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7645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111773" w14:textId="5E33EFB3"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9E6433">
      <w:rPr>
        <w:noProof/>
      </w:rPr>
      <w:t>07.11.23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DC42" w14:textId="20A0EA48" w:rsidR="0077084A" w:rsidRDefault="00ED471E" w:rsidP="00B86034">
    <w:pPr>
      <w:pStyle w:val="Footer"/>
      <w:ind w:right="360"/>
      <w:rPr>
        <w:lang w:val="en-US"/>
      </w:rPr>
    </w:pPr>
    <w:r>
      <w:fldChar w:fldCharType="begin"/>
    </w:r>
    <w:r>
      <w:rPr>
        <w:lang w:val="en-US"/>
      </w:rPr>
      <w:instrText xml:space="preserve"> FILENAME \p  \* MERGEFORMAT </w:instrText>
    </w:r>
    <w:r>
      <w:fldChar w:fldCharType="separate"/>
    </w:r>
    <w:r w:rsidR="007D6B73">
      <w:rPr>
        <w:lang w:val="en-US"/>
      </w:rPr>
      <w:t>P:\ESP\ITU-R\CONF-R\CMR23\000\099ADD24S.docx</w:t>
    </w:r>
    <w:r>
      <w:fldChar w:fldCharType="end"/>
    </w:r>
    <w:r w:rsidRPr="00ED471E">
      <w:rPr>
        <w:lang w:val="en-US"/>
      </w:rPr>
      <w:t xml:space="preserve"> </w:t>
    </w:r>
    <w:r>
      <w:rPr>
        <w:lang w:val="en-US"/>
      </w:rPr>
      <w:t>(530158)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54204" w14:textId="4998DB77" w:rsidR="0077084A" w:rsidRPr="00ED471E" w:rsidRDefault="0077084A" w:rsidP="00B47331">
    <w:pPr>
      <w:pStyle w:val="Footer"/>
      <w:rPr>
        <w:lang w:val="en-US"/>
      </w:rPr>
    </w:pPr>
    <w:r>
      <w:fldChar w:fldCharType="begin"/>
    </w:r>
    <w:r>
      <w:rPr>
        <w:lang w:val="en-US"/>
      </w:rPr>
      <w:instrText xml:space="preserve"> FILENAME \p  \* MERGEFORMAT </w:instrText>
    </w:r>
    <w:r>
      <w:fldChar w:fldCharType="separate"/>
    </w:r>
    <w:r w:rsidR="007D6B73">
      <w:rPr>
        <w:lang w:val="en-US"/>
      </w:rPr>
      <w:t>P:\ESP\ITU-R\CONF-R\CMR23\000\099ADD24S.docx</w:t>
    </w:r>
    <w:r>
      <w:fldChar w:fldCharType="end"/>
    </w:r>
    <w:r w:rsidR="00ED471E" w:rsidRPr="00ED471E">
      <w:rPr>
        <w:lang w:val="en-US"/>
      </w:rPr>
      <w:t xml:space="preserve"> </w:t>
    </w:r>
    <w:r w:rsidR="00ED471E">
      <w:rPr>
        <w:lang w:val="en-US"/>
      </w:rPr>
      <w:t>(530158)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71313" w14:textId="77777777" w:rsidR="00666B37" w:rsidRDefault="00666B37">
      <w:r>
        <w:rPr>
          <w:b/>
        </w:rPr>
        <w:t>_______________</w:t>
      </w:r>
    </w:p>
  </w:footnote>
  <w:footnote w:type="continuationSeparator" w:id="0">
    <w:p w14:paraId="03379306"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F9FFB" w14:textId="47DEF779"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E6433">
      <w:rPr>
        <w:rStyle w:val="PageNumber"/>
        <w:noProof/>
      </w:rPr>
      <w:t>4</w:t>
    </w:r>
    <w:r>
      <w:rPr>
        <w:rStyle w:val="PageNumber"/>
      </w:rPr>
      <w:fldChar w:fldCharType="end"/>
    </w:r>
  </w:p>
  <w:p w14:paraId="1DA93D9F"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99(Add.24)-</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5040"/>
    <w:rsid w:val="0002785D"/>
    <w:rsid w:val="00037C9E"/>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1F6DA9"/>
    <w:rsid w:val="0023659C"/>
    <w:rsid w:val="00236D2A"/>
    <w:rsid w:val="0024569E"/>
    <w:rsid w:val="00255F12"/>
    <w:rsid w:val="00262C09"/>
    <w:rsid w:val="0027030A"/>
    <w:rsid w:val="002A791F"/>
    <w:rsid w:val="002C1A52"/>
    <w:rsid w:val="002C1B26"/>
    <w:rsid w:val="002C5D6C"/>
    <w:rsid w:val="002E701F"/>
    <w:rsid w:val="002F44E2"/>
    <w:rsid w:val="00312957"/>
    <w:rsid w:val="003248A9"/>
    <w:rsid w:val="00324FFA"/>
    <w:rsid w:val="0032680B"/>
    <w:rsid w:val="00351D02"/>
    <w:rsid w:val="00363A65"/>
    <w:rsid w:val="00382A4B"/>
    <w:rsid w:val="003B1E8C"/>
    <w:rsid w:val="003C0613"/>
    <w:rsid w:val="003C2508"/>
    <w:rsid w:val="003D0AA3"/>
    <w:rsid w:val="003E2086"/>
    <w:rsid w:val="003E5B95"/>
    <w:rsid w:val="003F7F66"/>
    <w:rsid w:val="00440B3A"/>
    <w:rsid w:val="0044375A"/>
    <w:rsid w:val="0045384C"/>
    <w:rsid w:val="00454553"/>
    <w:rsid w:val="00472A86"/>
    <w:rsid w:val="00472CDB"/>
    <w:rsid w:val="004B124A"/>
    <w:rsid w:val="004B3095"/>
    <w:rsid w:val="004D2749"/>
    <w:rsid w:val="004D2C7C"/>
    <w:rsid w:val="005133B5"/>
    <w:rsid w:val="00524392"/>
    <w:rsid w:val="00532097"/>
    <w:rsid w:val="0058350F"/>
    <w:rsid w:val="00583C7E"/>
    <w:rsid w:val="0059098E"/>
    <w:rsid w:val="005D46FB"/>
    <w:rsid w:val="005E6F20"/>
    <w:rsid w:val="005F1502"/>
    <w:rsid w:val="005F2605"/>
    <w:rsid w:val="005F3B0E"/>
    <w:rsid w:val="005F3DB8"/>
    <w:rsid w:val="005F559C"/>
    <w:rsid w:val="00602857"/>
    <w:rsid w:val="006124AD"/>
    <w:rsid w:val="0061630C"/>
    <w:rsid w:val="00624009"/>
    <w:rsid w:val="00627CEE"/>
    <w:rsid w:val="00662BA0"/>
    <w:rsid w:val="00666B37"/>
    <w:rsid w:val="0067344B"/>
    <w:rsid w:val="00684A94"/>
    <w:rsid w:val="00692AAE"/>
    <w:rsid w:val="006C0E38"/>
    <w:rsid w:val="006D6E67"/>
    <w:rsid w:val="006E1A13"/>
    <w:rsid w:val="006F2B3C"/>
    <w:rsid w:val="00701C20"/>
    <w:rsid w:val="00702F3D"/>
    <w:rsid w:val="0070518E"/>
    <w:rsid w:val="007354E9"/>
    <w:rsid w:val="007424E8"/>
    <w:rsid w:val="0074579D"/>
    <w:rsid w:val="0075286F"/>
    <w:rsid w:val="00765578"/>
    <w:rsid w:val="00766333"/>
    <w:rsid w:val="0077084A"/>
    <w:rsid w:val="007759CF"/>
    <w:rsid w:val="007952C7"/>
    <w:rsid w:val="007C0B95"/>
    <w:rsid w:val="007C2317"/>
    <w:rsid w:val="007D330A"/>
    <w:rsid w:val="007D61C9"/>
    <w:rsid w:val="007D6B73"/>
    <w:rsid w:val="007F340F"/>
    <w:rsid w:val="0080079E"/>
    <w:rsid w:val="008504C2"/>
    <w:rsid w:val="00866AE6"/>
    <w:rsid w:val="008750A8"/>
    <w:rsid w:val="008D3316"/>
    <w:rsid w:val="008E5AF2"/>
    <w:rsid w:val="0090121B"/>
    <w:rsid w:val="00907A4B"/>
    <w:rsid w:val="009144C9"/>
    <w:rsid w:val="0094091F"/>
    <w:rsid w:val="00962171"/>
    <w:rsid w:val="00973754"/>
    <w:rsid w:val="009A39B1"/>
    <w:rsid w:val="009C0BED"/>
    <w:rsid w:val="009E11EC"/>
    <w:rsid w:val="009E6433"/>
    <w:rsid w:val="00A021CC"/>
    <w:rsid w:val="00A118DB"/>
    <w:rsid w:val="00A4450C"/>
    <w:rsid w:val="00AA5E6C"/>
    <w:rsid w:val="00AC4361"/>
    <w:rsid w:val="00AC49B1"/>
    <w:rsid w:val="00AE5677"/>
    <w:rsid w:val="00AE658F"/>
    <w:rsid w:val="00AF2F78"/>
    <w:rsid w:val="00B239FA"/>
    <w:rsid w:val="00B372AB"/>
    <w:rsid w:val="00B47331"/>
    <w:rsid w:val="00B52D55"/>
    <w:rsid w:val="00B64C5F"/>
    <w:rsid w:val="00B8288C"/>
    <w:rsid w:val="00B86034"/>
    <w:rsid w:val="00BA44BB"/>
    <w:rsid w:val="00BE2E80"/>
    <w:rsid w:val="00BE5EDD"/>
    <w:rsid w:val="00BE6A1F"/>
    <w:rsid w:val="00C126C4"/>
    <w:rsid w:val="00C410B1"/>
    <w:rsid w:val="00C44E9E"/>
    <w:rsid w:val="00C63EB5"/>
    <w:rsid w:val="00C87DA7"/>
    <w:rsid w:val="00C935FC"/>
    <w:rsid w:val="00C96CFA"/>
    <w:rsid w:val="00CA4945"/>
    <w:rsid w:val="00CC01E0"/>
    <w:rsid w:val="00CD5FEE"/>
    <w:rsid w:val="00CE60D2"/>
    <w:rsid w:val="00CE7431"/>
    <w:rsid w:val="00CF19C8"/>
    <w:rsid w:val="00CF1FC2"/>
    <w:rsid w:val="00D00CA8"/>
    <w:rsid w:val="00D0288A"/>
    <w:rsid w:val="00D72A5D"/>
    <w:rsid w:val="00DA71A3"/>
    <w:rsid w:val="00DC1922"/>
    <w:rsid w:val="00DC629B"/>
    <w:rsid w:val="00DE1C31"/>
    <w:rsid w:val="00E05BFF"/>
    <w:rsid w:val="00E201C2"/>
    <w:rsid w:val="00E262F1"/>
    <w:rsid w:val="00E3176A"/>
    <w:rsid w:val="00E36CE4"/>
    <w:rsid w:val="00E5070A"/>
    <w:rsid w:val="00E54754"/>
    <w:rsid w:val="00E56BD3"/>
    <w:rsid w:val="00E71D14"/>
    <w:rsid w:val="00E913E2"/>
    <w:rsid w:val="00EA77F0"/>
    <w:rsid w:val="00ED471E"/>
    <w:rsid w:val="00ED4D6F"/>
    <w:rsid w:val="00EE4155"/>
    <w:rsid w:val="00EF578E"/>
    <w:rsid w:val="00F065A6"/>
    <w:rsid w:val="00F32316"/>
    <w:rsid w:val="00F66597"/>
    <w:rsid w:val="00F675D0"/>
    <w:rsid w:val="00F8150C"/>
    <w:rsid w:val="00FA2622"/>
    <w:rsid w:val="00FD03C4"/>
    <w:rsid w:val="00FE4574"/>
    <w:rsid w:val="00FF7F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8DBE6CB"/>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VolumeTitle0">
    <w:name w:val="VolumeTitle"/>
    <w:basedOn w:val="Normal"/>
    <w:next w:val="Normal"/>
    <w:rsid w:val="002A2086"/>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unhideWhenUsed/>
    <w:rPr>
      <w:color w:val="0000FF" w:themeColor="hyperlink"/>
      <w:u w:val="single"/>
    </w:rPr>
  </w:style>
  <w:style w:type="character" w:customStyle="1" w:styleId="UnresolvedMention">
    <w:name w:val="Unresolved Mention"/>
    <w:basedOn w:val="DefaultParagraphFont"/>
    <w:uiPriority w:val="99"/>
    <w:semiHidden/>
    <w:unhideWhenUsed/>
    <w:rsid w:val="00CF1FC2"/>
    <w:rPr>
      <w:color w:val="605E5C"/>
      <w:shd w:val="clear" w:color="auto" w:fill="E1DFDD"/>
    </w:rPr>
  </w:style>
  <w:style w:type="character" w:styleId="FollowedHyperlink">
    <w:name w:val="FollowedHyperlink"/>
    <w:basedOn w:val="DefaultParagraphFont"/>
    <w:semiHidden/>
    <w:unhideWhenUsed/>
    <w:rsid w:val="00CF1F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R16-WRC19-C-0550/es" TargetMode="External"/><Relationship Id="rId2" Type="http://schemas.openxmlformats.org/officeDocument/2006/relationships/customXml" Target="../customXml/item2.xml"/><Relationship Id="rId16" Type="http://schemas.openxmlformats.org/officeDocument/2006/relationships/hyperlink" Target="https://www.itu.int/md/R16-WRC19-C-0550/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R23-WRC23-C-0004/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6-WRC19-C-0550/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R23-WRC23-C-0099!A24!MSW-S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FF2C4-80A5-47C9-8736-1C502439A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BB2A2-0090-4433-A528-FBABA905815C}">
  <ds:schemaRefs>
    <ds:schemaRef ds:uri="http://schemas.microsoft.com/sharepoint/events"/>
  </ds:schemaRefs>
</ds:datastoreItem>
</file>

<file path=customXml/itemProps3.xml><?xml version="1.0" encoding="utf-8"?>
<ds:datastoreItem xmlns:ds="http://schemas.openxmlformats.org/officeDocument/2006/customXml" ds:itemID="{FFAADE68-E584-4D99-BF0C-16E9D976D29D}">
  <ds:schemaRefs>
    <ds:schemaRef ds:uri="http://schemas.microsoft.com/sharepoint/v3/contenttype/forms"/>
  </ds:schemaRefs>
</ds:datastoreItem>
</file>

<file path=customXml/itemProps4.xml><?xml version="1.0" encoding="utf-8"?>
<ds:datastoreItem xmlns:ds="http://schemas.openxmlformats.org/officeDocument/2006/customXml" ds:itemID="{81959712-EB00-492F-A889-4FC899E3C3B8}">
  <ds:schemaRefs>
    <ds:schemaRef ds:uri="996b2e75-67fd-4955-a3b0-5ab9934cb50b"/>
    <ds:schemaRef ds:uri="http://schemas.microsoft.com/office/2006/metadata/properties"/>
    <ds:schemaRef ds:uri="32a1a8c5-2265-4ebc-b7a0-2071e2c5c9bb"/>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customXml/itemProps5.xml><?xml version="1.0" encoding="utf-8"?>
<ds:datastoreItem xmlns:ds="http://schemas.openxmlformats.org/officeDocument/2006/customXml" ds:itemID="{6A1B5D0B-BCE7-4015-BD70-2D28101A6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1365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R23-WRC23-C-0099!A24!MSW-S</vt:lpstr>
    </vt:vector>
  </TitlesOfParts>
  <Manager>Secretaría General - Pool</Manager>
  <Company>Unión Internacional de Telecomunicaciones (UIT)</Company>
  <LinksUpToDate>false</LinksUpToDate>
  <CharactersWithSpaces>8281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R23-WRC23-C-0099!A24!MSW-S</dc:title>
  <dc:subject>Conferencia Mundial de Radiocomunicaciones - 2019</dc:subject>
  <dc:creator>Documents Proposals Manager (DPM)</dc:creator>
  <cp:keywords>DPM_v2023.8.1.1_prod</cp:keywords>
  <dc:description/>
  <cp:lastModifiedBy>Spanish</cp:lastModifiedBy>
  <cp:revision>5</cp:revision>
  <cp:lastPrinted>2003-02-19T20:20:00Z</cp:lastPrinted>
  <dcterms:created xsi:type="dcterms:W3CDTF">2023-11-07T15:13:00Z</dcterms:created>
  <dcterms:modified xsi:type="dcterms:W3CDTF">2023-11-07T15:23:00Z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