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C0573F" w14:paraId="1A247539" w14:textId="77777777" w:rsidTr="004C6D0B">
        <w:trPr>
          <w:cantSplit/>
        </w:trPr>
        <w:tc>
          <w:tcPr>
            <w:tcW w:w="1418" w:type="dxa"/>
            <w:vAlign w:val="center"/>
          </w:tcPr>
          <w:p w14:paraId="3BF00995" w14:textId="77777777" w:rsidR="004C6D0B" w:rsidRPr="00C0573F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0573F">
              <w:drawing>
                <wp:inline distT="0" distB="0" distL="0" distR="0" wp14:anchorId="3B4650CA" wp14:editId="1396221D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02AC75F8" w14:textId="77777777" w:rsidR="004C6D0B" w:rsidRPr="00C0573F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C0573F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C0573F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2D366098" w14:textId="77777777" w:rsidR="004C6D0B" w:rsidRPr="00C0573F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C0573F">
              <w:drawing>
                <wp:inline distT="0" distB="0" distL="0" distR="0" wp14:anchorId="01A76604" wp14:editId="0E0152C4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C0573F" w14:paraId="266BF54B" w14:textId="77777777" w:rsidTr="00195C04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03B1D990" w14:textId="77777777" w:rsidR="005651C9" w:rsidRPr="00C0573F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58F41239" w14:textId="77777777" w:rsidR="005651C9" w:rsidRPr="00C0573F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C0573F" w14:paraId="3EDE7695" w14:textId="77777777" w:rsidTr="00195C04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16ADF6E5" w14:textId="77777777" w:rsidR="005651C9" w:rsidRPr="00C0573F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2AE56EF5" w14:textId="77777777" w:rsidR="005651C9" w:rsidRPr="00C0573F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C0573F" w14:paraId="6236A1D1" w14:textId="77777777" w:rsidTr="00195C04">
        <w:trPr>
          <w:cantSplit/>
        </w:trPr>
        <w:tc>
          <w:tcPr>
            <w:tcW w:w="6521" w:type="dxa"/>
            <w:gridSpan w:val="2"/>
          </w:tcPr>
          <w:p w14:paraId="77781A34" w14:textId="77777777" w:rsidR="005651C9" w:rsidRPr="00C0573F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0573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55922231" w14:textId="77777777" w:rsidR="005651C9" w:rsidRPr="00C0573F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0573F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24</w:t>
            </w:r>
            <w:r w:rsidRPr="00C0573F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99</w:t>
            </w:r>
            <w:r w:rsidR="005651C9" w:rsidRPr="00C0573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C0573F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C0573F" w14:paraId="76BED1D2" w14:textId="77777777" w:rsidTr="00195C04">
        <w:trPr>
          <w:cantSplit/>
        </w:trPr>
        <w:tc>
          <w:tcPr>
            <w:tcW w:w="6521" w:type="dxa"/>
            <w:gridSpan w:val="2"/>
          </w:tcPr>
          <w:p w14:paraId="64EABDF8" w14:textId="77777777" w:rsidR="000F33D8" w:rsidRPr="00C0573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1C86B447" w14:textId="77777777" w:rsidR="000F33D8" w:rsidRPr="00C0573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0573F">
              <w:rPr>
                <w:rFonts w:ascii="Verdana" w:hAnsi="Verdana"/>
                <w:b/>
                <w:bCs/>
                <w:sz w:val="18"/>
                <w:szCs w:val="18"/>
              </w:rPr>
              <w:t>27 октября 2023 года</w:t>
            </w:r>
          </w:p>
        </w:tc>
      </w:tr>
      <w:tr w:rsidR="000F33D8" w:rsidRPr="00C0573F" w14:paraId="20D0F8DA" w14:textId="77777777" w:rsidTr="00195C04">
        <w:trPr>
          <w:cantSplit/>
        </w:trPr>
        <w:tc>
          <w:tcPr>
            <w:tcW w:w="6521" w:type="dxa"/>
            <w:gridSpan w:val="2"/>
          </w:tcPr>
          <w:p w14:paraId="118450D0" w14:textId="77777777" w:rsidR="000F33D8" w:rsidRPr="00C0573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1C1D0837" w14:textId="77777777" w:rsidR="000F33D8" w:rsidRPr="00C0573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0573F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C0573F" w14:paraId="4EE4FAED" w14:textId="77777777" w:rsidTr="009546EA">
        <w:trPr>
          <w:cantSplit/>
        </w:trPr>
        <w:tc>
          <w:tcPr>
            <w:tcW w:w="10031" w:type="dxa"/>
            <w:gridSpan w:val="4"/>
          </w:tcPr>
          <w:p w14:paraId="0BE798FE" w14:textId="77777777" w:rsidR="000F33D8" w:rsidRPr="00C0573F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C0573F" w14:paraId="2CB469D4" w14:textId="77777777">
        <w:trPr>
          <w:cantSplit/>
        </w:trPr>
        <w:tc>
          <w:tcPr>
            <w:tcW w:w="10031" w:type="dxa"/>
            <w:gridSpan w:val="4"/>
          </w:tcPr>
          <w:p w14:paraId="417B27D8" w14:textId="77777777" w:rsidR="000F33D8" w:rsidRPr="00C0573F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C0573F">
              <w:rPr>
                <w:szCs w:val="26"/>
              </w:rPr>
              <w:t>Япония</w:t>
            </w:r>
          </w:p>
        </w:tc>
      </w:tr>
      <w:tr w:rsidR="000F33D8" w:rsidRPr="00C0573F" w14:paraId="39A6D564" w14:textId="77777777">
        <w:trPr>
          <w:cantSplit/>
        </w:trPr>
        <w:tc>
          <w:tcPr>
            <w:tcW w:w="10031" w:type="dxa"/>
            <w:gridSpan w:val="4"/>
          </w:tcPr>
          <w:p w14:paraId="204CB41F" w14:textId="6D8D4B5B" w:rsidR="000F33D8" w:rsidRPr="00C0573F" w:rsidRDefault="00074D94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C0573F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C0573F" w14:paraId="6D975C4B" w14:textId="77777777">
        <w:trPr>
          <w:cantSplit/>
        </w:trPr>
        <w:tc>
          <w:tcPr>
            <w:tcW w:w="10031" w:type="dxa"/>
            <w:gridSpan w:val="4"/>
          </w:tcPr>
          <w:p w14:paraId="505525C8" w14:textId="77777777" w:rsidR="000F33D8" w:rsidRPr="00C0573F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C0573F" w14:paraId="7A393878" w14:textId="77777777">
        <w:trPr>
          <w:cantSplit/>
        </w:trPr>
        <w:tc>
          <w:tcPr>
            <w:tcW w:w="10031" w:type="dxa"/>
            <w:gridSpan w:val="4"/>
          </w:tcPr>
          <w:p w14:paraId="62BCA600" w14:textId="77777777" w:rsidR="000F33D8" w:rsidRPr="00C0573F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C0573F">
              <w:rPr>
                <w:lang w:val="ru-RU"/>
              </w:rPr>
              <w:t>Пункт 9.1 повестки дня</w:t>
            </w:r>
          </w:p>
        </w:tc>
      </w:tr>
    </w:tbl>
    <w:bookmarkEnd w:id="7"/>
    <w:p w14:paraId="00385812" w14:textId="77777777" w:rsidR="005B065D" w:rsidRPr="00C0573F" w:rsidRDefault="00890ED0" w:rsidP="0010047E">
      <w:r w:rsidRPr="00C0573F">
        <w:t>9</w:t>
      </w:r>
      <w:r w:rsidRPr="00C0573F">
        <w:tab/>
        <w:t>рассмотреть и утвердить Отчет Директора Бюро радиосвязи в соответствии со Статьей 7 Конвенции МСЭ;</w:t>
      </w:r>
    </w:p>
    <w:p w14:paraId="0C97636A" w14:textId="77777777" w:rsidR="005B065D" w:rsidRPr="00C0573F" w:rsidRDefault="00890ED0" w:rsidP="008639B9">
      <w:r w:rsidRPr="00C0573F">
        <w:t>9.1</w:t>
      </w:r>
      <w:r w:rsidRPr="00C0573F">
        <w:tab/>
        <w:t>о деятельности Сектора радиосвязи МСЭ в период после ВКР-19:</w:t>
      </w:r>
    </w:p>
    <w:p w14:paraId="26CD87D1" w14:textId="70996701" w:rsidR="008F1A6D" w:rsidRPr="00C0573F" w:rsidRDefault="008F1A6D" w:rsidP="008F1A6D">
      <w:pPr>
        <w:pStyle w:val="Heading1"/>
      </w:pPr>
      <w:r w:rsidRPr="00C0573F">
        <w:t>1</w:t>
      </w:r>
      <w:r w:rsidRPr="00C0573F">
        <w:tab/>
      </w:r>
      <w:r w:rsidR="00074D94" w:rsidRPr="00C0573F">
        <w:t>Базовая информация</w:t>
      </w:r>
    </w:p>
    <w:p w14:paraId="35E02885" w14:textId="04589057" w:rsidR="008F1A6D" w:rsidRPr="00C0573F" w:rsidRDefault="00074D94" w:rsidP="008F1A6D">
      <w:r w:rsidRPr="00C0573F">
        <w:t xml:space="preserve">Исследования по п. </w:t>
      </w:r>
      <w:r w:rsidRPr="00C0573F">
        <w:rPr>
          <w:b/>
          <w:bCs/>
        </w:rPr>
        <w:t>21.5</w:t>
      </w:r>
      <w:r w:rsidRPr="00C0573F">
        <w:t xml:space="preserve"> РР проводились по </w:t>
      </w:r>
      <w:r w:rsidR="00C95766" w:rsidRPr="00C0573F">
        <w:t>поручению</w:t>
      </w:r>
      <w:r w:rsidRPr="00C0573F">
        <w:t>, содержаще</w:t>
      </w:r>
      <w:r w:rsidR="00C95766" w:rsidRPr="00C0573F">
        <w:t>му</w:t>
      </w:r>
      <w:r w:rsidRPr="00C0573F">
        <w:t xml:space="preserve">ся в Документе </w:t>
      </w:r>
      <w:hyperlink r:id="rId13" w:history="1">
        <w:r w:rsidRPr="00C0573F">
          <w:rPr>
            <w:rStyle w:val="Hyperlink"/>
          </w:rPr>
          <w:t>550</w:t>
        </w:r>
      </w:hyperlink>
      <w:r w:rsidR="00136040" w:rsidRPr="00C0573F">
        <w:t xml:space="preserve"> ВКР-19</w:t>
      </w:r>
      <w:r w:rsidRPr="00C0573F">
        <w:t>, и ПСК23-1 определило Рабочую группу 5D в качестве группы, ответственной за проведение исследований и представление их результатов Директору Бюро радиосвязи (БР) для рассмотрения по усмотрению Директора.</w:t>
      </w:r>
    </w:p>
    <w:p w14:paraId="737F4B78" w14:textId="7DCEC12D" w:rsidR="008F1A6D" w:rsidRPr="00C0573F" w:rsidRDefault="00652B96" w:rsidP="008F1A6D">
      <w:r w:rsidRPr="00C0573F">
        <w:t xml:space="preserve">В рамках исследований, проведенных РГ 5D, обсуждался ряд аспектов и подходов, касающихся исследований, однако консенсуса достигнуто не было. Одним из основных </w:t>
      </w:r>
      <w:r w:rsidR="00065D73" w:rsidRPr="00C0573F">
        <w:t xml:space="preserve">обсуждаемых вопросов стал </w:t>
      </w:r>
      <w:r w:rsidRPr="00C0573F">
        <w:t xml:space="preserve">метод заявления мощности, подводимой к антенне, то есть элемента данных </w:t>
      </w:r>
      <w:proofErr w:type="spellStart"/>
      <w:r w:rsidRPr="00C0573F">
        <w:t>8AA</w:t>
      </w:r>
      <w:proofErr w:type="spellEnd"/>
      <w:r w:rsidRPr="00C0573F">
        <w:t xml:space="preserve"> Приложения </w:t>
      </w:r>
      <w:r w:rsidRPr="00C0573F">
        <w:rPr>
          <w:b/>
          <w:bCs/>
        </w:rPr>
        <w:t>4</w:t>
      </w:r>
      <w:r w:rsidRPr="00C0573F">
        <w:t xml:space="preserve"> к РР, который является обязательным для представления в БР. Некоторые администрации высказались за рассмотрение этого элемента данных как мощности, подводимой одним </w:t>
      </w:r>
      <w:r w:rsidR="00B921EC" w:rsidRPr="00C0573F">
        <w:t>передатчиком</w:t>
      </w:r>
      <w:r w:rsidRPr="00C0573F">
        <w:t xml:space="preserve"> </w:t>
      </w:r>
      <w:r w:rsidR="00B921EC" w:rsidRPr="00C0573F">
        <w:t>в АА</w:t>
      </w:r>
      <w:r w:rsidR="00065D73" w:rsidRPr="00C0573F">
        <w:t>S</w:t>
      </w:r>
      <w:r w:rsidR="00B921EC" w:rsidRPr="00C0573F">
        <w:t xml:space="preserve"> для </w:t>
      </w:r>
      <w:r w:rsidRPr="00C0573F">
        <w:t>станци</w:t>
      </w:r>
      <w:r w:rsidR="00B921EC" w:rsidRPr="00C0573F">
        <w:t>и</w:t>
      </w:r>
      <w:r w:rsidRPr="00C0573F">
        <w:t xml:space="preserve"> IMT. </w:t>
      </w:r>
      <w:r w:rsidR="00B921EC" w:rsidRPr="00C0573F">
        <w:t xml:space="preserve">Ряд других администраций полагают, что заявлять в рамках элемента данных </w:t>
      </w:r>
      <w:proofErr w:type="spellStart"/>
      <w:r w:rsidR="00B921EC" w:rsidRPr="00C0573F">
        <w:t>8AA</w:t>
      </w:r>
      <w:proofErr w:type="spellEnd"/>
      <w:r w:rsidR="00B921EC" w:rsidRPr="00C0573F">
        <w:t xml:space="preserve"> следует общую излучаемая мощность (TRP) всеми активными элементами AAS для станции IMT.</w:t>
      </w:r>
    </w:p>
    <w:p w14:paraId="757F3852" w14:textId="7DE7B65F" w:rsidR="008F1A6D" w:rsidRPr="00C0573F" w:rsidRDefault="00B921EC" w:rsidP="008F1A6D">
      <w:r w:rsidRPr="00C0573F">
        <w:t xml:space="preserve">С учетом выводов ПСК23-1 результаты этих исследований не были включены в Отчет ПСК </w:t>
      </w:r>
      <w:r w:rsidR="0004705B" w:rsidRPr="00C0573F">
        <w:t xml:space="preserve">для </w:t>
      </w:r>
      <w:r w:rsidRPr="00C0573F">
        <w:t>ВКР</w:t>
      </w:r>
      <w:r w:rsidR="00C0573F">
        <w:noBreakHyphen/>
      </w:r>
      <w:r w:rsidRPr="00C0573F">
        <w:t xml:space="preserve">23. Однако они </w:t>
      </w:r>
      <w:r w:rsidR="0004705B" w:rsidRPr="00C0573F">
        <w:t>вошли</w:t>
      </w:r>
      <w:r w:rsidRPr="00C0573F">
        <w:t xml:space="preserve"> в раздел 4.3.2 Отчета Директора Бюро радиосвязи "Часть 1: Деятельность Сектора радиосвязи в период между ВКР-19 и ВКР-23"</w:t>
      </w:r>
      <w:r w:rsidR="0004705B" w:rsidRPr="00C0573F">
        <w:t xml:space="preserve"> </w:t>
      </w:r>
      <w:r w:rsidR="008F1A6D" w:rsidRPr="00C0573F">
        <w:t>(</w:t>
      </w:r>
      <w:r w:rsidRPr="00C0573F">
        <w:t>Дополнительный документ</w:t>
      </w:r>
      <w:r w:rsidR="008F1A6D" w:rsidRPr="00C0573F">
        <w:t xml:space="preserve"> 1 </w:t>
      </w:r>
      <w:r w:rsidRPr="00C0573F">
        <w:t>к Документу</w:t>
      </w:r>
      <w:r w:rsidR="008F1A6D" w:rsidRPr="00C0573F">
        <w:t xml:space="preserve"> </w:t>
      </w:r>
      <w:hyperlink r:id="rId14" w:history="1">
        <w:r w:rsidR="008F1A6D" w:rsidRPr="00C0573F">
          <w:rPr>
            <w:rStyle w:val="Hyperlink"/>
          </w:rPr>
          <w:t>4</w:t>
        </w:r>
      </w:hyperlink>
      <w:r w:rsidR="008F1A6D" w:rsidRPr="00C0573F">
        <w:t>).</w:t>
      </w:r>
    </w:p>
    <w:p w14:paraId="2CA09A33" w14:textId="02432296" w:rsidR="008F1A6D" w:rsidRPr="00C0573F" w:rsidRDefault="00B921EC" w:rsidP="008F1A6D">
      <w:r w:rsidRPr="00C0573F">
        <w:t>С учетом этой ситуации Япония представляет вклад</w:t>
      </w:r>
      <w:r w:rsidR="00324B74" w:rsidRPr="00C0573F">
        <w:t xml:space="preserve"> с целью изложить свои мнения и предложения в отношении вопроса п. </w:t>
      </w:r>
      <w:r w:rsidR="00324B74" w:rsidRPr="00C0573F">
        <w:rPr>
          <w:b/>
          <w:bCs/>
        </w:rPr>
        <w:t>21.5</w:t>
      </w:r>
      <w:r w:rsidR="00324B74" w:rsidRPr="00C0573F">
        <w:t xml:space="preserve"> РР, </w:t>
      </w:r>
      <w:r w:rsidR="00DD7074" w:rsidRPr="00C0573F">
        <w:t>охватываемого</w:t>
      </w:r>
      <w:r w:rsidR="00324B74" w:rsidRPr="00C0573F">
        <w:t xml:space="preserve"> в Документе </w:t>
      </w:r>
      <w:hyperlink r:id="rId15" w:history="1">
        <w:r w:rsidR="00324B74" w:rsidRPr="00C0573F">
          <w:rPr>
            <w:rStyle w:val="Hyperlink"/>
          </w:rPr>
          <w:t>550</w:t>
        </w:r>
      </w:hyperlink>
      <w:r w:rsidR="00324B74" w:rsidRPr="00C0573F">
        <w:t xml:space="preserve"> ВКР-19, </w:t>
      </w:r>
      <w:r w:rsidR="00DD7074" w:rsidRPr="00C0573F">
        <w:t>которы</w:t>
      </w:r>
      <w:r w:rsidR="00073023" w:rsidRPr="00C0573F">
        <w:t>е</w:t>
      </w:r>
      <w:r w:rsidR="00DD7074" w:rsidRPr="00C0573F">
        <w:t xml:space="preserve"> </w:t>
      </w:r>
      <w:r w:rsidR="00073023" w:rsidRPr="00C0573F">
        <w:t>могут</w:t>
      </w:r>
      <w:r w:rsidR="00DD7074" w:rsidRPr="00C0573F">
        <w:t xml:space="preserve"> </w:t>
      </w:r>
      <w:r w:rsidR="00073023" w:rsidRPr="00C0573F">
        <w:t>быть обсуждены</w:t>
      </w:r>
      <w:r w:rsidR="00DD7074" w:rsidRPr="00C0573F">
        <w:t xml:space="preserve"> в рамках пункта 9.1 или, возможно, пункта 9.1 повестки дня ВКР-23.</w:t>
      </w:r>
    </w:p>
    <w:p w14:paraId="28486C79" w14:textId="40470E87" w:rsidR="008F1A6D" w:rsidRPr="00C0573F" w:rsidRDefault="008F1A6D" w:rsidP="008F1A6D">
      <w:pPr>
        <w:pStyle w:val="Heading1"/>
      </w:pPr>
      <w:r w:rsidRPr="00C0573F">
        <w:t>2</w:t>
      </w:r>
      <w:r w:rsidRPr="00C0573F">
        <w:tab/>
      </w:r>
      <w:r w:rsidR="00DD7074" w:rsidRPr="00C0573F">
        <w:t>Обсуждение</w:t>
      </w:r>
    </w:p>
    <w:p w14:paraId="7D761E8B" w14:textId="5111789C" w:rsidR="008F1A6D" w:rsidRPr="00C0573F" w:rsidRDefault="00533BE5" w:rsidP="008F1A6D">
      <w:r w:rsidRPr="00C0573F">
        <w:t xml:space="preserve">Япония, принимавшая активное участие в исследованиях МСЭ-R, придерживается следующих соображений в отношении вопроса, изложенного в Документе </w:t>
      </w:r>
      <w:hyperlink r:id="rId16" w:history="1">
        <w:r w:rsidRPr="00C0573F">
          <w:rPr>
            <w:rStyle w:val="Hyperlink"/>
          </w:rPr>
          <w:t>550</w:t>
        </w:r>
      </w:hyperlink>
      <w:r w:rsidRPr="00C0573F">
        <w:t xml:space="preserve"> ВКР-19</w:t>
      </w:r>
      <w:r w:rsidR="00073023" w:rsidRPr="00C0573F">
        <w:t>, в целях обеспечения защиты космических приемников от спутниковых служб</w:t>
      </w:r>
      <w:r w:rsidRPr="00C0573F">
        <w:t xml:space="preserve">. </w:t>
      </w:r>
    </w:p>
    <w:p w14:paraId="377EAA5D" w14:textId="3C68977F" w:rsidR="008F1A6D" w:rsidRPr="00C0573F" w:rsidRDefault="008F1A6D" w:rsidP="00EF7D5A">
      <w:pPr>
        <w:pStyle w:val="enumlev1"/>
      </w:pPr>
      <w:r w:rsidRPr="00C0573F">
        <w:lastRenderedPageBreak/>
        <w:t>−</w:t>
      </w:r>
      <w:r w:rsidRPr="00C0573F">
        <w:tab/>
      </w:r>
      <w:r w:rsidR="00FC71AD" w:rsidRPr="00C0573F">
        <w:t>Для заявления станции IMT, использующей AAS, общую излучаемую мощность (TRP) (</w:t>
      </w:r>
      <w:r w:rsidR="00292C3A" w:rsidRPr="00C0573F">
        <w:t>т.</w:t>
      </w:r>
      <w:r w:rsidR="00C0573F">
        <w:rPr>
          <w:lang w:val="en-US"/>
        </w:rPr>
        <w:t> </w:t>
      </w:r>
      <w:r w:rsidR="00292C3A" w:rsidRPr="00C0573F">
        <w:t>е.</w:t>
      </w:r>
      <w:r w:rsidR="00FC71AD" w:rsidRPr="00C0573F">
        <w:t xml:space="preserve"> суммарную мощность, излучаемую всеми элементами антенны в различных направлениях по всей области излучения) следует указывать в элементе данных </w:t>
      </w:r>
      <w:proofErr w:type="spellStart"/>
      <w:r w:rsidR="00FC71AD" w:rsidRPr="00C0573F">
        <w:t>8АА</w:t>
      </w:r>
      <w:proofErr w:type="spellEnd"/>
      <w:r w:rsidR="00FC71AD" w:rsidRPr="00C0573F">
        <w:t xml:space="preserve"> в </w:t>
      </w:r>
      <w:r w:rsidR="00C0573F" w:rsidRPr="00C0573F">
        <w:t xml:space="preserve">Таблице </w:t>
      </w:r>
      <w:r w:rsidR="00FC71AD" w:rsidRPr="00C0573F">
        <w:t xml:space="preserve">1 Приложения </w:t>
      </w:r>
      <w:r w:rsidR="00FC71AD" w:rsidRPr="00C0573F">
        <w:rPr>
          <w:b/>
          <w:bCs/>
        </w:rPr>
        <w:t>4</w:t>
      </w:r>
      <w:r w:rsidR="00FC71AD" w:rsidRPr="00C0573F">
        <w:t xml:space="preserve"> к РР.</w:t>
      </w:r>
    </w:p>
    <w:p w14:paraId="115A92F8" w14:textId="29067EE4" w:rsidR="008F1A6D" w:rsidRPr="00C0573F" w:rsidRDefault="008F1A6D" w:rsidP="00EF7D5A">
      <w:pPr>
        <w:pStyle w:val="enumlev1"/>
      </w:pPr>
      <w:r w:rsidRPr="00C0573F">
        <w:t>−</w:t>
      </w:r>
      <w:r w:rsidRPr="00C0573F">
        <w:tab/>
      </w:r>
      <w:r w:rsidR="00FC71AD" w:rsidRPr="00C0573F">
        <w:t xml:space="preserve">Для проверки заявленной станции IMT, использующей ААS, при оценке соответствия пределу "+10 дБВт", установленному в п. </w:t>
      </w:r>
      <w:r w:rsidR="00FC71AD" w:rsidRPr="00C0573F">
        <w:rPr>
          <w:b/>
          <w:bCs/>
        </w:rPr>
        <w:t>21.5</w:t>
      </w:r>
      <w:r w:rsidR="00FC71AD" w:rsidRPr="00C0573F">
        <w:t xml:space="preserve"> РР, следует применять уравнение:</w:t>
      </w:r>
    </w:p>
    <w:p w14:paraId="5AC4FE1F" w14:textId="18241308" w:rsidR="008F1A6D" w:rsidRPr="00C0573F" w:rsidRDefault="008F1A6D" w:rsidP="00EF7D5A">
      <w:pPr>
        <w:pStyle w:val="Equation"/>
      </w:pPr>
      <w:r w:rsidRPr="00C0573F">
        <w:tab/>
      </w:r>
      <w:r w:rsidRPr="00C0573F">
        <w:tab/>
      </w:r>
      <w:r w:rsidR="00C0573F" w:rsidRPr="00D11ECC">
        <w:rPr>
          <w:position w:val="-28"/>
        </w:rPr>
        <w:object w:dxaOrig="2860" w:dyaOrig="680" w14:anchorId="2073DE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24.8pt;height:30pt" o:ole="">
            <v:imagedata r:id="rId17" o:title=""/>
          </v:shape>
          <o:OLEObject Type="Embed" ProgID="Equation.DSMT4" ShapeID="_x0000_i1032" DrawAspect="Content" ObjectID="_1761369643" r:id="rId18"/>
        </w:object>
      </w:r>
      <w:r w:rsidR="00C0573F">
        <w:t>,</w:t>
      </w:r>
    </w:p>
    <w:p w14:paraId="5255D6C8" w14:textId="739C8F43" w:rsidR="008F1A6D" w:rsidRPr="00C0573F" w:rsidRDefault="008F1A6D" w:rsidP="00EF7D5A">
      <w:pPr>
        <w:pStyle w:val="enumlev1"/>
      </w:pPr>
      <w:r w:rsidRPr="00C0573F">
        <w:tab/>
      </w:r>
      <w:r w:rsidR="003E49DB" w:rsidRPr="00C0573F">
        <w:t xml:space="preserve">где P представляет собой значение TRP в дБВт, заявленное в элементе данных </w:t>
      </w:r>
      <w:proofErr w:type="spellStart"/>
      <w:r w:rsidR="003E49DB" w:rsidRPr="00C0573F">
        <w:t>8АА</w:t>
      </w:r>
      <w:proofErr w:type="spellEnd"/>
      <w:r w:rsidR="003E49DB" w:rsidRPr="00C0573F">
        <w:t>, а</w:t>
      </w:r>
      <w:r w:rsidR="00C95766" w:rsidRPr="00C0573F">
        <w:t> </w:t>
      </w:r>
      <w:r w:rsidR="003E49DB" w:rsidRPr="00C0573F">
        <w:t>BW</w:t>
      </w:r>
      <w:r w:rsidR="00C95766" w:rsidRPr="00C0573F">
        <w:t> </w:t>
      </w:r>
      <w:r w:rsidR="003E49DB" w:rsidRPr="00C0573F">
        <w:t xml:space="preserve">– это необходимая ширина полосы для излучения станции IMT в МГц, заявленная в элементе данных </w:t>
      </w:r>
      <w:proofErr w:type="spellStart"/>
      <w:r w:rsidR="003E49DB" w:rsidRPr="00C0573F">
        <w:t>7АВ</w:t>
      </w:r>
      <w:proofErr w:type="spellEnd"/>
      <w:r w:rsidR="003E49DB" w:rsidRPr="00C0573F">
        <w:t xml:space="preserve"> в </w:t>
      </w:r>
      <w:r w:rsidR="00C0573F" w:rsidRPr="00C0573F">
        <w:t xml:space="preserve">Таблице </w:t>
      </w:r>
      <w:r w:rsidR="003E49DB" w:rsidRPr="00C0573F">
        <w:t xml:space="preserve">1 Приложения </w:t>
      </w:r>
      <w:r w:rsidR="003E49DB" w:rsidRPr="00C0573F">
        <w:rPr>
          <w:b/>
          <w:bCs/>
        </w:rPr>
        <w:t>4</w:t>
      </w:r>
      <w:r w:rsidR="003E49DB" w:rsidRPr="00C0573F">
        <w:t xml:space="preserve"> к РР, соответственно. В</w:t>
      </w:r>
      <w:r w:rsidR="00C95766" w:rsidRPr="00C0573F">
        <w:t> </w:t>
      </w:r>
      <w:r w:rsidR="003E49DB" w:rsidRPr="00C0573F">
        <w:t>вышеприведенном уравнении используется значение "200" МГц, с тем чтобы избежать ограничения в отношении станции IMT, использующей ААS, которая применяет широкий канал с полосой пропускания больше 200 МГц.</w:t>
      </w:r>
    </w:p>
    <w:p w14:paraId="421DA999" w14:textId="582C3636" w:rsidR="008F1A6D" w:rsidRPr="00C0573F" w:rsidRDefault="008F1A6D" w:rsidP="00EF7D5A">
      <w:pPr>
        <w:pStyle w:val="enumlev1"/>
      </w:pPr>
      <w:r w:rsidRPr="00C0573F">
        <w:t>−</w:t>
      </w:r>
      <w:r w:rsidRPr="00C0573F">
        <w:tab/>
      </w:r>
      <w:r w:rsidR="003E49DB" w:rsidRPr="00C0573F">
        <w:t xml:space="preserve">В рамках обсуждения следует уделить особое внимание полосе частот </w:t>
      </w:r>
      <w:proofErr w:type="gramStart"/>
      <w:r w:rsidR="003E49DB" w:rsidRPr="00C0573F">
        <w:t>24,45−27,5</w:t>
      </w:r>
      <w:proofErr w:type="gramEnd"/>
      <w:r w:rsidR="003E49DB" w:rsidRPr="00C0573F">
        <w:t xml:space="preserve"> ГГц применительно к заявлению и проверке станций IMT, использующих ААS. После достижения договоренности </w:t>
      </w:r>
      <w:r w:rsidR="00CD0DEB" w:rsidRPr="00C0573F">
        <w:t>в отношении полосы</w:t>
      </w:r>
      <w:r w:rsidR="003E49DB" w:rsidRPr="00C0573F">
        <w:t xml:space="preserve"> частот </w:t>
      </w:r>
      <w:proofErr w:type="gramStart"/>
      <w:r w:rsidR="003E49DB" w:rsidRPr="00C0573F">
        <w:t>24,45−27,5</w:t>
      </w:r>
      <w:proofErr w:type="gramEnd"/>
      <w:r w:rsidR="003E49DB" w:rsidRPr="00C0573F">
        <w:t xml:space="preserve"> ГГц можно </w:t>
      </w:r>
      <w:r w:rsidR="00CD0DEB" w:rsidRPr="00C0573F">
        <w:t>перейти к обсуждению</w:t>
      </w:r>
      <w:r w:rsidR="003E49DB" w:rsidRPr="00C0573F">
        <w:t xml:space="preserve"> и станци</w:t>
      </w:r>
      <w:r w:rsidR="00CD0DEB" w:rsidRPr="00C0573F">
        <w:t>й</w:t>
      </w:r>
      <w:r w:rsidR="003E49DB" w:rsidRPr="00C0573F">
        <w:t xml:space="preserve"> IMT с AAS, использующи</w:t>
      </w:r>
      <w:r w:rsidR="00CD0DEB" w:rsidRPr="00C0573F">
        <w:t>х</w:t>
      </w:r>
      <w:r w:rsidR="003E49DB" w:rsidRPr="00C0573F">
        <w:t xml:space="preserve"> другие полосы частот совместно с космическими службами (Земля-космос).</w:t>
      </w:r>
    </w:p>
    <w:p w14:paraId="07001E7D" w14:textId="1ED918AA" w:rsidR="008F1A6D" w:rsidRPr="00C0573F" w:rsidRDefault="008F1A6D" w:rsidP="00EF7D5A">
      <w:pPr>
        <w:pStyle w:val="enumlev1"/>
      </w:pPr>
      <w:r w:rsidRPr="00C0573F">
        <w:t>−</w:t>
      </w:r>
      <w:r w:rsidRPr="00C0573F">
        <w:tab/>
      </w:r>
      <w:r w:rsidR="00AE64E6" w:rsidRPr="00C0573F">
        <w:t>Учитывая потенциальные будущие инновации в технологиях станций IMT, использующих AAS, в которых применяется ширина полосы, превышающая +10 дБВт на 200 МГц, однако снижается уровень помех спутниковым приемникам, можно было бы рассмотреть возможность введения дополнительной меры, разрешающей заявление таких станций IMT, использующих AAS (</w:t>
      </w:r>
      <w:r w:rsidR="00FD48BA" w:rsidRPr="00C0573F">
        <w:t>к примеру</w:t>
      </w:r>
      <w:r w:rsidR="00AE64E6" w:rsidRPr="00C0573F">
        <w:t>, маск</w:t>
      </w:r>
      <w:r w:rsidR="00FD48BA" w:rsidRPr="00C0573F">
        <w:t>и</w:t>
      </w:r>
      <w:r w:rsidR="00AE64E6" w:rsidRPr="00C0573F">
        <w:t xml:space="preserve"> э.и.и.м. </w:t>
      </w:r>
      <w:r w:rsidR="00FD48BA" w:rsidRPr="00C0573F">
        <w:t>как функции</w:t>
      </w:r>
      <w:r w:rsidR="00AE64E6" w:rsidRPr="00C0573F">
        <w:t xml:space="preserve"> вертикального угла над горизонтом).</w:t>
      </w:r>
    </w:p>
    <w:p w14:paraId="2A9E54F6" w14:textId="77777777" w:rsidR="008F1A6D" w:rsidRPr="00C0573F" w:rsidRDefault="00FC5005" w:rsidP="008F1A6D">
      <w:pPr>
        <w:pStyle w:val="Heading1"/>
      </w:pPr>
      <w:r w:rsidRPr="00C0573F">
        <w:t>3</w:t>
      </w:r>
      <w:r w:rsidRPr="00C0573F">
        <w:tab/>
        <w:t>Предложение</w:t>
      </w:r>
    </w:p>
    <w:p w14:paraId="172E3A03" w14:textId="37603B79" w:rsidR="008F1A6D" w:rsidRPr="00C0573F" w:rsidRDefault="005E7C09" w:rsidP="008F1A6D">
      <w:r w:rsidRPr="00C0573F">
        <w:t xml:space="preserve">На основании вышеизложенного обсуждения и с учетом </w:t>
      </w:r>
      <w:r w:rsidR="00C600EC" w:rsidRPr="00C0573F">
        <w:t>расхождений во</w:t>
      </w:r>
      <w:r w:rsidRPr="00C0573F">
        <w:t xml:space="preserve"> взгляд</w:t>
      </w:r>
      <w:r w:rsidR="00C600EC" w:rsidRPr="00C0573F">
        <w:t>ах</w:t>
      </w:r>
      <w:r w:rsidRPr="00C0573F">
        <w:t xml:space="preserve">, выраженных в </w:t>
      </w:r>
      <w:r w:rsidR="005944A8" w:rsidRPr="00C0573F">
        <w:t>рамках</w:t>
      </w:r>
      <w:r w:rsidRPr="00C0573F">
        <w:t xml:space="preserve"> исследований МСЭ-R, Япония предлагает вниманию ВКР-23 следующ</w:t>
      </w:r>
      <w:r w:rsidR="005944A8" w:rsidRPr="00C0573F">
        <w:t xml:space="preserve">ий вариант решения </w:t>
      </w:r>
      <w:r w:rsidRPr="00C0573F">
        <w:t>вопросов, изложенных в Документе 550 ВКР-19.</w:t>
      </w:r>
    </w:p>
    <w:p w14:paraId="637433FE" w14:textId="10D390AB" w:rsidR="008F1A6D" w:rsidRPr="00C0573F" w:rsidRDefault="008F1A6D" w:rsidP="00EF7D5A">
      <w:pPr>
        <w:pStyle w:val="enumlev1"/>
      </w:pPr>
      <w:r w:rsidRPr="00C0573F">
        <w:t>−</w:t>
      </w:r>
      <w:r w:rsidRPr="00C0573F">
        <w:tab/>
      </w:r>
      <w:r w:rsidR="00292C3A" w:rsidRPr="00C0573F">
        <w:t xml:space="preserve">В дополнение к существующим процедурам проверки и заявления станций, касающимся мощности, подводимой к антенне (то есть подводимой мощности), которые содержатся в п. </w:t>
      </w:r>
      <w:r w:rsidR="00292C3A" w:rsidRPr="00C0573F">
        <w:rPr>
          <w:b/>
          <w:bCs/>
        </w:rPr>
        <w:t>21.5</w:t>
      </w:r>
      <w:r w:rsidR="00292C3A" w:rsidRPr="00C0573F">
        <w:t xml:space="preserve"> РР, в заявлении частотного присвоения станции IMT, использующей AAS, в качестве эквивалентного значения подводимой мощности можно использовать общую излучаемую мощность (т.е. суммарную мощность, излучаемую всеми элементами антенны в различных направлениях по всей области излучения).</w:t>
      </w:r>
    </w:p>
    <w:p w14:paraId="7BFB8C3C" w14:textId="3EDF9DE3" w:rsidR="008F1A6D" w:rsidRPr="00C0573F" w:rsidRDefault="008F1A6D" w:rsidP="00EF7D5A">
      <w:pPr>
        <w:pStyle w:val="enumlev1"/>
      </w:pPr>
      <w:r w:rsidRPr="00C0573F">
        <w:t>−</w:t>
      </w:r>
      <w:r w:rsidRPr="00C0573F">
        <w:tab/>
      </w:r>
      <w:r w:rsidR="00FC08A4" w:rsidRPr="00C0573F">
        <w:t xml:space="preserve">В случае представления элемента данных </w:t>
      </w:r>
      <w:proofErr w:type="spellStart"/>
      <w:r w:rsidR="00FC08A4" w:rsidRPr="00C0573F">
        <w:t>8АА</w:t>
      </w:r>
      <w:proofErr w:type="spellEnd"/>
      <w:r w:rsidR="00FC08A4" w:rsidRPr="00C0573F">
        <w:t xml:space="preserve">, содержащего TRP, для станций IMT в полосе частот </w:t>
      </w:r>
      <w:proofErr w:type="gramStart"/>
      <w:r w:rsidR="00FC08A4" w:rsidRPr="00C0573F">
        <w:t>24,45−27,5</w:t>
      </w:r>
      <w:proofErr w:type="gramEnd"/>
      <w:r w:rsidR="00FC08A4" w:rsidRPr="00C0573F">
        <w:t xml:space="preserve"> ГГц при оценке соответствия пределу "+10 дБВт", установленному в п. </w:t>
      </w:r>
      <w:r w:rsidR="00FC08A4" w:rsidRPr="00C0573F">
        <w:rPr>
          <w:b/>
          <w:bCs/>
        </w:rPr>
        <w:t>21.5</w:t>
      </w:r>
      <w:r w:rsidR="00FC08A4" w:rsidRPr="00C0573F">
        <w:t xml:space="preserve"> РР, применяется следующее уравнение:</w:t>
      </w:r>
    </w:p>
    <w:p w14:paraId="7C3FC863" w14:textId="7D61A5FB" w:rsidR="008F1A6D" w:rsidRPr="00C0573F" w:rsidRDefault="008F1A6D" w:rsidP="00EF7D5A">
      <w:pPr>
        <w:pStyle w:val="Equation"/>
      </w:pPr>
      <w:r w:rsidRPr="00C0573F">
        <w:tab/>
      </w:r>
      <w:r w:rsidRPr="00C0573F">
        <w:tab/>
      </w:r>
      <w:r w:rsidR="00C0573F" w:rsidRPr="00D11ECC">
        <w:rPr>
          <w:position w:val="-28"/>
        </w:rPr>
        <w:object w:dxaOrig="2860" w:dyaOrig="680" w14:anchorId="7350C9FB">
          <v:shape id="_x0000_i1030" type="#_x0000_t75" style="width:124.8pt;height:30pt" o:ole="">
            <v:imagedata r:id="rId17" o:title=""/>
          </v:shape>
          <o:OLEObject Type="Embed" ProgID="Equation.DSMT4" ShapeID="_x0000_i1030" DrawAspect="Content" ObjectID="_1761369644" r:id="rId19"/>
        </w:object>
      </w:r>
      <w:r w:rsidR="00C0573F">
        <w:t>,</w:t>
      </w:r>
    </w:p>
    <w:p w14:paraId="35F78210" w14:textId="48C0F05B" w:rsidR="008F1A6D" w:rsidRPr="00C0573F" w:rsidRDefault="008F1A6D" w:rsidP="00EF7D5A">
      <w:pPr>
        <w:pStyle w:val="enumlev1"/>
      </w:pPr>
      <w:r w:rsidRPr="00C0573F">
        <w:tab/>
      </w:r>
      <w:r w:rsidR="00FC08A4" w:rsidRPr="00C0573F">
        <w:t xml:space="preserve">где P представляет собой значение TRP в дБВт, заявленное в элементе данных </w:t>
      </w:r>
      <w:proofErr w:type="spellStart"/>
      <w:r w:rsidR="00FC08A4" w:rsidRPr="00C0573F">
        <w:t>8АА</w:t>
      </w:r>
      <w:proofErr w:type="spellEnd"/>
      <w:r w:rsidR="00FC08A4" w:rsidRPr="00C0573F">
        <w:t xml:space="preserve">, а BW – это необходимая ширина полосы для излучения станции IMT в МГц, заявленная в элементе данных </w:t>
      </w:r>
      <w:proofErr w:type="spellStart"/>
      <w:r w:rsidR="00FC08A4" w:rsidRPr="00C0573F">
        <w:t>7АВ</w:t>
      </w:r>
      <w:proofErr w:type="spellEnd"/>
      <w:r w:rsidR="00FC08A4" w:rsidRPr="00C0573F">
        <w:t xml:space="preserve"> в </w:t>
      </w:r>
      <w:r w:rsidR="00C0573F" w:rsidRPr="00C0573F">
        <w:t xml:space="preserve">Таблице </w:t>
      </w:r>
      <w:r w:rsidR="00FC08A4" w:rsidRPr="00C0573F">
        <w:t xml:space="preserve">1 Приложения </w:t>
      </w:r>
      <w:r w:rsidR="00FC08A4" w:rsidRPr="00C0573F">
        <w:rPr>
          <w:b/>
          <w:bCs/>
        </w:rPr>
        <w:t>4</w:t>
      </w:r>
      <w:r w:rsidR="00FC08A4" w:rsidRPr="00C0573F">
        <w:t xml:space="preserve"> к РР, соответственно. Заявляющим администрациям предлагается указывать, </w:t>
      </w:r>
      <w:r w:rsidR="005944A8" w:rsidRPr="00C0573F">
        <w:t xml:space="preserve">представляется ли </w:t>
      </w:r>
      <w:proofErr w:type="spellStart"/>
      <w:r w:rsidR="005944A8" w:rsidRPr="00C0573F">
        <w:t>8АА</w:t>
      </w:r>
      <w:proofErr w:type="spellEnd"/>
      <w:r w:rsidR="00967F37" w:rsidRPr="00C0573F">
        <w:t xml:space="preserve"> со значением</w:t>
      </w:r>
      <w:r w:rsidR="005944A8" w:rsidRPr="00C0573F">
        <w:t xml:space="preserve"> TRP, для того чтобы применить данное уравнение</w:t>
      </w:r>
      <w:r w:rsidR="00693C77" w:rsidRPr="00C0573F">
        <w:t>, в случае</w:t>
      </w:r>
      <w:r w:rsidR="005944A8" w:rsidRPr="00C0573F">
        <w:t xml:space="preserve"> необходимости. </w:t>
      </w:r>
    </w:p>
    <w:p w14:paraId="0283E980" w14:textId="77777777" w:rsidR="00C0573F" w:rsidRDefault="005944A8" w:rsidP="00C0573F">
      <w:r w:rsidRPr="00C0573F">
        <w:t xml:space="preserve">Если это решение, в том числе после некоторой корректировки, окажется полезным для конференции, его можно будет отразить в протоколе Пленарного заседания как решение ВКР-23, которое будет использоваться при составлении проекта соответствующего Правила процедуры. </w:t>
      </w:r>
      <w:r w:rsidRPr="00C0573F">
        <w:lastRenderedPageBreak/>
        <w:t xml:space="preserve">Кроме того, данное решение можно закрепить как новое Примечание к элементу данных </w:t>
      </w:r>
      <w:proofErr w:type="spellStart"/>
      <w:r w:rsidRPr="00C0573F">
        <w:t>8АА</w:t>
      </w:r>
      <w:proofErr w:type="spellEnd"/>
      <w:r w:rsidRPr="00C0573F">
        <w:t xml:space="preserve"> в </w:t>
      </w:r>
      <w:r w:rsidR="00C0573F" w:rsidRPr="00C0573F">
        <w:t xml:space="preserve">Таблице </w:t>
      </w:r>
      <w:r w:rsidRPr="00C0573F">
        <w:t xml:space="preserve">1 Приложения </w:t>
      </w:r>
      <w:r w:rsidRPr="00C0573F">
        <w:rPr>
          <w:b/>
          <w:bCs/>
        </w:rPr>
        <w:t>4</w:t>
      </w:r>
      <w:r w:rsidRPr="00C0573F">
        <w:t xml:space="preserve"> к РР, </w:t>
      </w:r>
      <w:r w:rsidR="00AF4F96" w:rsidRPr="00C0573F">
        <w:t xml:space="preserve">оставив </w:t>
      </w:r>
      <w:r w:rsidR="00AF4F96" w:rsidRPr="00C0573F">
        <w:rPr>
          <w:u w:val="single"/>
        </w:rPr>
        <w:t>без изменений</w:t>
      </w:r>
      <w:r w:rsidR="00AF4F96" w:rsidRPr="00C0573F">
        <w:t xml:space="preserve"> </w:t>
      </w:r>
      <w:r w:rsidRPr="00C0573F">
        <w:t xml:space="preserve">Статью </w:t>
      </w:r>
      <w:r w:rsidRPr="00C0573F">
        <w:rPr>
          <w:b/>
          <w:bCs/>
        </w:rPr>
        <w:t>21</w:t>
      </w:r>
      <w:r w:rsidRPr="00C0573F">
        <w:t xml:space="preserve"> РР.</w:t>
      </w:r>
    </w:p>
    <w:p w14:paraId="4CB1BDD2" w14:textId="2CD1AA6D" w:rsidR="009B5CC2" w:rsidRPr="00C0573F" w:rsidRDefault="009B5CC2" w:rsidP="00C0573F">
      <w:r w:rsidRPr="00C0573F">
        <w:br w:type="page"/>
      </w:r>
    </w:p>
    <w:p w14:paraId="59CBFF06" w14:textId="77777777" w:rsidR="007C6A0D" w:rsidRPr="00C0573F" w:rsidRDefault="00890ED0">
      <w:pPr>
        <w:pStyle w:val="Proposal"/>
      </w:pPr>
      <w:r w:rsidRPr="00C0573F">
        <w:lastRenderedPageBreak/>
        <w:tab/>
        <w:t>J/</w:t>
      </w:r>
      <w:proofErr w:type="spellStart"/>
      <w:r w:rsidRPr="00C0573F">
        <w:t>99A24</w:t>
      </w:r>
      <w:proofErr w:type="spellEnd"/>
      <w:r w:rsidRPr="00C0573F">
        <w:t>/1</w:t>
      </w:r>
    </w:p>
    <w:p w14:paraId="02036BF0" w14:textId="71948DA7" w:rsidR="008F1A6D" w:rsidRPr="00C0573F" w:rsidRDefault="005944A8" w:rsidP="008F1A6D">
      <w:r w:rsidRPr="00C0573F">
        <w:t xml:space="preserve">С учетом </w:t>
      </w:r>
      <w:r w:rsidR="00C600EC" w:rsidRPr="00C0573F">
        <w:t>расхождений во взглядах</w:t>
      </w:r>
      <w:r w:rsidRPr="00C0573F">
        <w:t xml:space="preserve">, выраженных в рамках исследований МСЭ-R </w:t>
      </w:r>
      <w:r w:rsidR="00A219AB" w:rsidRPr="00C0573F">
        <w:t xml:space="preserve">в соответствии с </w:t>
      </w:r>
      <w:r w:rsidRPr="00C0573F">
        <w:t>Документ</w:t>
      </w:r>
      <w:r w:rsidR="00A219AB" w:rsidRPr="00C0573F">
        <w:t>ом</w:t>
      </w:r>
      <w:r w:rsidRPr="00C0573F">
        <w:t xml:space="preserve"> 550 ВКР-19, предлагается следующее решение:</w:t>
      </w:r>
    </w:p>
    <w:p w14:paraId="58509919" w14:textId="2A772C55" w:rsidR="008F1A6D" w:rsidRPr="00C0573F" w:rsidRDefault="008F1A6D" w:rsidP="008F1A6D">
      <w:pPr>
        <w:pStyle w:val="enumlev1"/>
      </w:pPr>
      <w:r w:rsidRPr="00C0573F">
        <w:t>−</w:t>
      </w:r>
      <w:r w:rsidRPr="00C0573F">
        <w:tab/>
      </w:r>
      <w:r w:rsidR="005944A8" w:rsidRPr="00C0573F">
        <w:t xml:space="preserve">В дополнение к существующим процедурам проверки и заявления станций, касающимся мощности, подводимой к антенне (то есть подводимой мощности), которые содержатся в п. </w:t>
      </w:r>
      <w:r w:rsidR="005944A8" w:rsidRPr="00C0573F">
        <w:rPr>
          <w:b/>
          <w:bCs/>
        </w:rPr>
        <w:t>21.5</w:t>
      </w:r>
      <w:r w:rsidR="005944A8" w:rsidRPr="00C0573F">
        <w:t xml:space="preserve"> РР, в заявлении частотного присвоения станции IMT, использующей AAS, в качестве эквивалентного значения подводимой мощности можно использовать общую излучаемую мощность (т.е. суммарную мощность, излучаемую всеми элементами антенны в различных направлениях по всей области излучения).</w:t>
      </w:r>
    </w:p>
    <w:p w14:paraId="270E35CB" w14:textId="38EC9112" w:rsidR="008F1A6D" w:rsidRPr="00C0573F" w:rsidRDefault="008F1A6D" w:rsidP="008F1A6D">
      <w:pPr>
        <w:pStyle w:val="enumlev1"/>
      </w:pPr>
      <w:r w:rsidRPr="00C0573F">
        <w:t>−</w:t>
      </w:r>
      <w:r w:rsidRPr="00C0573F">
        <w:tab/>
      </w:r>
      <w:r w:rsidR="005944A8" w:rsidRPr="00C0573F">
        <w:t xml:space="preserve">В случае представления элемента данных </w:t>
      </w:r>
      <w:proofErr w:type="spellStart"/>
      <w:r w:rsidR="005944A8" w:rsidRPr="00C0573F">
        <w:t>8АА</w:t>
      </w:r>
      <w:proofErr w:type="spellEnd"/>
      <w:r w:rsidR="005944A8" w:rsidRPr="00C0573F">
        <w:t xml:space="preserve">, содержащего TRP, для станций IMT в полосе частот </w:t>
      </w:r>
      <w:proofErr w:type="gramStart"/>
      <w:r w:rsidR="005944A8" w:rsidRPr="00C0573F">
        <w:t>24,45−27,5</w:t>
      </w:r>
      <w:proofErr w:type="gramEnd"/>
      <w:r w:rsidR="005944A8" w:rsidRPr="00C0573F">
        <w:t xml:space="preserve"> ГГц при оценке соответствия пределу "+10 дБВт", установленному в п. </w:t>
      </w:r>
      <w:r w:rsidR="005944A8" w:rsidRPr="00C0573F">
        <w:rPr>
          <w:b/>
          <w:bCs/>
        </w:rPr>
        <w:t>21.5</w:t>
      </w:r>
      <w:r w:rsidR="005944A8" w:rsidRPr="00C0573F">
        <w:t xml:space="preserve"> РР, применяется следующее уравнение: </w:t>
      </w:r>
    </w:p>
    <w:p w14:paraId="673271D4" w14:textId="32840D68" w:rsidR="008F1A6D" w:rsidRPr="00C0573F" w:rsidRDefault="008F1A6D" w:rsidP="008F1A6D">
      <w:pPr>
        <w:pStyle w:val="Equation"/>
      </w:pPr>
      <w:r w:rsidRPr="00C0573F">
        <w:tab/>
      </w:r>
      <w:r w:rsidRPr="00C0573F">
        <w:tab/>
      </w:r>
      <w:r w:rsidR="00C0573F" w:rsidRPr="00D11ECC">
        <w:rPr>
          <w:position w:val="-28"/>
        </w:rPr>
        <w:object w:dxaOrig="2860" w:dyaOrig="680" w14:anchorId="509022CC">
          <v:shape id="_x0000_i1025" type="#_x0000_t75" style="width:124.8pt;height:30pt" o:ole="">
            <v:imagedata r:id="rId17" o:title=""/>
          </v:shape>
          <o:OLEObject Type="Embed" ProgID="Equation.DSMT4" ShapeID="_x0000_i1025" DrawAspect="Content" ObjectID="_1761369645" r:id="rId20"/>
        </w:object>
      </w:r>
      <w:r w:rsidR="00C0573F">
        <w:t>,</w:t>
      </w:r>
    </w:p>
    <w:p w14:paraId="1545BDFD" w14:textId="0CC0F91F" w:rsidR="008F1A6D" w:rsidRPr="00C0573F" w:rsidRDefault="008F1A6D" w:rsidP="00C0573F">
      <w:pPr>
        <w:pStyle w:val="enumlev1"/>
      </w:pPr>
      <w:r w:rsidRPr="00C0573F">
        <w:tab/>
      </w:r>
      <w:r w:rsidR="005944A8" w:rsidRPr="00C0573F">
        <w:t xml:space="preserve">где P представляет собой значение TRP в дБВт, заявленное в элементе данных </w:t>
      </w:r>
      <w:proofErr w:type="spellStart"/>
      <w:r w:rsidR="005944A8" w:rsidRPr="00C0573F">
        <w:t>8АА</w:t>
      </w:r>
      <w:proofErr w:type="spellEnd"/>
      <w:r w:rsidR="005944A8" w:rsidRPr="00C0573F">
        <w:t>, а BW</w:t>
      </w:r>
      <w:r w:rsidR="00C0573F">
        <w:rPr>
          <w:lang w:val="en-US"/>
        </w:rPr>
        <w:t> </w:t>
      </w:r>
      <w:proofErr w:type="gramStart"/>
      <w:r w:rsidR="00C0573F" w:rsidRPr="00C0573F">
        <w:t>−</w:t>
      </w:r>
      <w:r w:rsidR="005944A8" w:rsidRPr="00C0573F">
        <w:t xml:space="preserve"> это</w:t>
      </w:r>
      <w:proofErr w:type="gramEnd"/>
      <w:r w:rsidR="005944A8" w:rsidRPr="00C0573F">
        <w:t xml:space="preserve"> необходимая ширина полосы для излучения станции IMT в МГц, заявленная в элементе данных </w:t>
      </w:r>
      <w:proofErr w:type="spellStart"/>
      <w:r w:rsidR="005944A8" w:rsidRPr="00C0573F">
        <w:t>7АВ</w:t>
      </w:r>
      <w:proofErr w:type="spellEnd"/>
      <w:r w:rsidR="005944A8" w:rsidRPr="00C0573F">
        <w:t xml:space="preserve"> в </w:t>
      </w:r>
      <w:r w:rsidR="00C0573F" w:rsidRPr="00C0573F">
        <w:t xml:space="preserve">Таблице </w:t>
      </w:r>
      <w:r w:rsidR="005944A8" w:rsidRPr="00C0573F">
        <w:t xml:space="preserve">1 Приложения </w:t>
      </w:r>
      <w:r w:rsidR="005944A8" w:rsidRPr="00C0573F">
        <w:rPr>
          <w:b/>
          <w:bCs/>
        </w:rPr>
        <w:t>4</w:t>
      </w:r>
      <w:r w:rsidR="005944A8" w:rsidRPr="00C0573F">
        <w:t xml:space="preserve"> к РР, соответственно. Заявляющим администрациям предлагается указывать, представляется ли </w:t>
      </w:r>
      <w:proofErr w:type="spellStart"/>
      <w:r w:rsidR="005944A8" w:rsidRPr="00C0573F">
        <w:t>8АА</w:t>
      </w:r>
      <w:proofErr w:type="spellEnd"/>
      <w:r w:rsidR="005944A8" w:rsidRPr="00C0573F">
        <w:t xml:space="preserve"> </w:t>
      </w:r>
      <w:r w:rsidR="00967F37" w:rsidRPr="00C0573F">
        <w:t>со значением</w:t>
      </w:r>
      <w:r w:rsidR="005944A8" w:rsidRPr="00C0573F">
        <w:t xml:space="preserve"> TRP, для того чтобы применить данное уравнение.</w:t>
      </w:r>
    </w:p>
    <w:p w14:paraId="2F9662EF" w14:textId="1A9EB953" w:rsidR="007C6A0D" w:rsidRPr="00C0573F" w:rsidRDefault="00AF4F96" w:rsidP="008F1A6D">
      <w:r w:rsidRPr="00C0573F">
        <w:t xml:space="preserve">Если это решение, в том числе после некоторой корректировки, окажется полезным для конференции, его можно будет отразить в протоколе Пленарного заседания как решение ВКР-23, которое </w:t>
      </w:r>
      <w:r w:rsidR="00693C77" w:rsidRPr="00C0573F">
        <w:t>ляжет в основу</w:t>
      </w:r>
      <w:r w:rsidRPr="00C0573F">
        <w:t xml:space="preserve"> проекта Правила процедуры. Кроме того, данное решение можно закрепить как новое Примечание к элементу данных </w:t>
      </w:r>
      <w:proofErr w:type="spellStart"/>
      <w:r w:rsidRPr="00C0573F">
        <w:t>8АА</w:t>
      </w:r>
      <w:proofErr w:type="spellEnd"/>
      <w:r w:rsidRPr="00C0573F">
        <w:t xml:space="preserve"> в </w:t>
      </w:r>
      <w:r w:rsidR="00C0573F" w:rsidRPr="00C0573F">
        <w:t xml:space="preserve">Таблице </w:t>
      </w:r>
      <w:r w:rsidRPr="00C0573F">
        <w:t xml:space="preserve">1 Приложения </w:t>
      </w:r>
      <w:r w:rsidRPr="00C0573F">
        <w:rPr>
          <w:b/>
          <w:bCs/>
        </w:rPr>
        <w:t>4</w:t>
      </w:r>
      <w:r w:rsidRPr="00C0573F">
        <w:t xml:space="preserve"> к РР, оставив </w:t>
      </w:r>
      <w:r w:rsidRPr="00C0573F">
        <w:rPr>
          <w:u w:val="single"/>
        </w:rPr>
        <w:t>без изменений</w:t>
      </w:r>
      <w:r w:rsidRPr="00C0573F">
        <w:t xml:space="preserve"> Статью </w:t>
      </w:r>
      <w:r w:rsidRPr="00C0573F">
        <w:rPr>
          <w:b/>
          <w:bCs/>
        </w:rPr>
        <w:t>21</w:t>
      </w:r>
      <w:r w:rsidRPr="00C0573F">
        <w:t xml:space="preserve"> РР.</w:t>
      </w:r>
    </w:p>
    <w:p w14:paraId="375E445D" w14:textId="0B884E86" w:rsidR="007C6A0D" w:rsidRPr="00C0573F" w:rsidRDefault="00890ED0">
      <w:pPr>
        <w:pStyle w:val="Reasons"/>
      </w:pPr>
      <w:r w:rsidRPr="00C0573F">
        <w:rPr>
          <w:b/>
        </w:rPr>
        <w:t>Основания</w:t>
      </w:r>
      <w:r w:rsidRPr="00C0573F">
        <w:t>:</w:t>
      </w:r>
      <w:r w:rsidRPr="00C0573F">
        <w:tab/>
      </w:r>
      <w:r w:rsidR="00A219AB" w:rsidRPr="00C0573F">
        <w:t xml:space="preserve">Вышеуказанное решение предлагается с целью учесть </w:t>
      </w:r>
      <w:r w:rsidR="00693C77" w:rsidRPr="00C0573F">
        <w:t xml:space="preserve">и отразить </w:t>
      </w:r>
      <w:r w:rsidR="00A219AB" w:rsidRPr="00C0573F">
        <w:t>различные мнения, выраженные в ходе исследований МСЭ-R в соответствии с Документом 550 ВКР-19.</w:t>
      </w:r>
    </w:p>
    <w:p w14:paraId="36717FF3" w14:textId="77777777" w:rsidR="00992403" w:rsidRPr="00C0573F" w:rsidRDefault="00992403" w:rsidP="00992403">
      <w:pPr>
        <w:spacing w:before="720"/>
        <w:jc w:val="center"/>
      </w:pPr>
      <w:r w:rsidRPr="00C0573F">
        <w:t>______________</w:t>
      </w:r>
    </w:p>
    <w:sectPr w:rsidR="00992403" w:rsidRPr="00C0573F">
      <w:headerReference w:type="default" r:id="rId21"/>
      <w:footerReference w:type="even" r:id="rId22"/>
      <w:footerReference w:type="default" r:id="rId23"/>
      <w:footerReference w:type="first" r:id="rId24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ECA5B" w14:textId="77777777" w:rsidR="00D17420" w:rsidRDefault="00D17420">
      <w:r>
        <w:separator/>
      </w:r>
    </w:p>
  </w:endnote>
  <w:endnote w:type="continuationSeparator" w:id="0">
    <w:p w14:paraId="3106E0BE" w14:textId="77777777" w:rsidR="00D17420" w:rsidRDefault="00D17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1315B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64F61A6" w14:textId="1BFF8E60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0573F">
      <w:rPr>
        <w:noProof/>
      </w:rPr>
      <w:t>13.11.23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F7FCD" w14:textId="77777777" w:rsidR="00567276" w:rsidRDefault="00567276" w:rsidP="00F33B22">
    <w:pPr>
      <w:pStyle w:val="Footer"/>
    </w:pPr>
    <w:r>
      <w:fldChar w:fldCharType="begin"/>
    </w:r>
    <w:r w:rsidRPr="00074D94">
      <w:rPr>
        <w:lang w:val="en-US"/>
      </w:rPr>
      <w:instrText xml:space="preserve"> FILENAME \p  \* MERGEFORMAT </w:instrText>
    </w:r>
    <w:r>
      <w:fldChar w:fldCharType="separate"/>
    </w:r>
    <w:r w:rsidR="00527593" w:rsidRPr="00074D94">
      <w:rPr>
        <w:lang w:val="en-US"/>
      </w:rPr>
      <w:t>P:\RUS\ITU-R\CONF-R\CMR23\000\099ADD24R.docx</w:t>
    </w:r>
    <w:r>
      <w:fldChar w:fldCharType="end"/>
    </w:r>
    <w:r w:rsidR="00527593">
      <w:t xml:space="preserve"> (530158)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5DD71" w14:textId="77777777" w:rsidR="00567276" w:rsidRPr="00074D94" w:rsidRDefault="00567276" w:rsidP="00FB67E5">
    <w:pPr>
      <w:pStyle w:val="Footer"/>
      <w:rPr>
        <w:lang w:val="en-US"/>
      </w:rPr>
    </w:pPr>
    <w:r>
      <w:fldChar w:fldCharType="begin"/>
    </w:r>
    <w:r w:rsidRPr="00074D94">
      <w:rPr>
        <w:lang w:val="en-US"/>
      </w:rPr>
      <w:instrText xml:space="preserve"> FILENAME \p  \* MERGEFORMAT </w:instrText>
    </w:r>
    <w:r>
      <w:fldChar w:fldCharType="separate"/>
    </w:r>
    <w:r w:rsidR="00527593" w:rsidRPr="00074D94">
      <w:rPr>
        <w:lang w:val="en-US"/>
      </w:rPr>
      <w:t>P:\RUS\ITU-R\CONF-R\CMR23\000\099ADD24R.docx</w:t>
    </w:r>
    <w:r>
      <w:fldChar w:fldCharType="end"/>
    </w:r>
    <w:r w:rsidR="00527593">
      <w:t xml:space="preserve"> (530158)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03FC1" w14:textId="77777777" w:rsidR="00D17420" w:rsidRDefault="00D17420">
      <w:r>
        <w:rPr>
          <w:b/>
        </w:rPr>
        <w:t>_______________</w:t>
      </w:r>
    </w:p>
  </w:footnote>
  <w:footnote w:type="continuationSeparator" w:id="0">
    <w:p w14:paraId="0956FD75" w14:textId="77777777" w:rsidR="00D17420" w:rsidRDefault="00D17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36E2A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E4B68">
      <w:rPr>
        <w:noProof/>
      </w:rPr>
      <w:t>3</w:t>
    </w:r>
    <w:r>
      <w:fldChar w:fldCharType="end"/>
    </w:r>
  </w:p>
  <w:p w14:paraId="2F45F423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99(</w:t>
    </w:r>
    <w:proofErr w:type="spellStart"/>
    <w:r w:rsidR="00F761D2">
      <w:t>Add.24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742030245">
    <w:abstractNumId w:val="0"/>
  </w:num>
  <w:num w:numId="2" w16cid:durableId="20849884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4705B"/>
    <w:rsid w:val="00065D73"/>
    <w:rsid w:val="00073023"/>
    <w:rsid w:val="00074D94"/>
    <w:rsid w:val="000A0EF3"/>
    <w:rsid w:val="000C3F55"/>
    <w:rsid w:val="000F33D8"/>
    <w:rsid w:val="000F39B4"/>
    <w:rsid w:val="001054C4"/>
    <w:rsid w:val="00113D0B"/>
    <w:rsid w:val="001226EC"/>
    <w:rsid w:val="00123B68"/>
    <w:rsid w:val="00124C09"/>
    <w:rsid w:val="00126F2E"/>
    <w:rsid w:val="00136040"/>
    <w:rsid w:val="00146961"/>
    <w:rsid w:val="001521AE"/>
    <w:rsid w:val="00162981"/>
    <w:rsid w:val="00195C04"/>
    <w:rsid w:val="001A2F91"/>
    <w:rsid w:val="001A5585"/>
    <w:rsid w:val="001D46DF"/>
    <w:rsid w:val="001E4B68"/>
    <w:rsid w:val="001E5FB4"/>
    <w:rsid w:val="00202CA0"/>
    <w:rsid w:val="00230582"/>
    <w:rsid w:val="002449AA"/>
    <w:rsid w:val="00245A1F"/>
    <w:rsid w:val="00290C74"/>
    <w:rsid w:val="00292C3A"/>
    <w:rsid w:val="002A2D3F"/>
    <w:rsid w:val="002C0AAB"/>
    <w:rsid w:val="00300F84"/>
    <w:rsid w:val="00324B74"/>
    <w:rsid w:val="003258F2"/>
    <w:rsid w:val="00344EB8"/>
    <w:rsid w:val="00346BEC"/>
    <w:rsid w:val="00371E4B"/>
    <w:rsid w:val="00373759"/>
    <w:rsid w:val="00377DFE"/>
    <w:rsid w:val="003C583C"/>
    <w:rsid w:val="003E49DB"/>
    <w:rsid w:val="003F0078"/>
    <w:rsid w:val="00434A7C"/>
    <w:rsid w:val="0045143A"/>
    <w:rsid w:val="004670F0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0372"/>
    <w:rsid w:val="00521B1D"/>
    <w:rsid w:val="00527593"/>
    <w:rsid w:val="005305D5"/>
    <w:rsid w:val="00533BE5"/>
    <w:rsid w:val="00540D1E"/>
    <w:rsid w:val="005651C9"/>
    <w:rsid w:val="00567276"/>
    <w:rsid w:val="005755E2"/>
    <w:rsid w:val="005944A8"/>
    <w:rsid w:val="00597005"/>
    <w:rsid w:val="005A295E"/>
    <w:rsid w:val="005B065D"/>
    <w:rsid w:val="005D1879"/>
    <w:rsid w:val="005D79A3"/>
    <w:rsid w:val="005E61DD"/>
    <w:rsid w:val="005E7C09"/>
    <w:rsid w:val="006023DF"/>
    <w:rsid w:val="006115BE"/>
    <w:rsid w:val="00614771"/>
    <w:rsid w:val="00620DD7"/>
    <w:rsid w:val="00652B96"/>
    <w:rsid w:val="00657DE0"/>
    <w:rsid w:val="00692C06"/>
    <w:rsid w:val="00693C77"/>
    <w:rsid w:val="006A6E9B"/>
    <w:rsid w:val="006F0B94"/>
    <w:rsid w:val="00734C1E"/>
    <w:rsid w:val="00763F4F"/>
    <w:rsid w:val="00775720"/>
    <w:rsid w:val="007917AE"/>
    <w:rsid w:val="007A08B5"/>
    <w:rsid w:val="007C6A0D"/>
    <w:rsid w:val="008006D3"/>
    <w:rsid w:val="00811633"/>
    <w:rsid w:val="00812452"/>
    <w:rsid w:val="00815749"/>
    <w:rsid w:val="0083233D"/>
    <w:rsid w:val="008446EB"/>
    <w:rsid w:val="00872FC8"/>
    <w:rsid w:val="00890ED0"/>
    <w:rsid w:val="008B43F2"/>
    <w:rsid w:val="008C3257"/>
    <w:rsid w:val="008C401C"/>
    <w:rsid w:val="008F1A6D"/>
    <w:rsid w:val="009119CC"/>
    <w:rsid w:val="00917C0A"/>
    <w:rsid w:val="00933A50"/>
    <w:rsid w:val="00941A02"/>
    <w:rsid w:val="00966C93"/>
    <w:rsid w:val="00967F37"/>
    <w:rsid w:val="00982744"/>
    <w:rsid w:val="00987FA4"/>
    <w:rsid w:val="00992403"/>
    <w:rsid w:val="009B5CC2"/>
    <w:rsid w:val="009D3D63"/>
    <w:rsid w:val="009E5FC8"/>
    <w:rsid w:val="00A117A3"/>
    <w:rsid w:val="00A138D0"/>
    <w:rsid w:val="00A141AF"/>
    <w:rsid w:val="00A2044F"/>
    <w:rsid w:val="00A219AB"/>
    <w:rsid w:val="00A4600A"/>
    <w:rsid w:val="00A57C04"/>
    <w:rsid w:val="00A61057"/>
    <w:rsid w:val="00A710E7"/>
    <w:rsid w:val="00A81026"/>
    <w:rsid w:val="00A97EC0"/>
    <w:rsid w:val="00AC66E6"/>
    <w:rsid w:val="00AE64E6"/>
    <w:rsid w:val="00AF4F96"/>
    <w:rsid w:val="00B24E60"/>
    <w:rsid w:val="00B468A6"/>
    <w:rsid w:val="00B75113"/>
    <w:rsid w:val="00B921EC"/>
    <w:rsid w:val="00B958BD"/>
    <w:rsid w:val="00BA13A4"/>
    <w:rsid w:val="00BA1AA1"/>
    <w:rsid w:val="00BA35DC"/>
    <w:rsid w:val="00BC5313"/>
    <w:rsid w:val="00BD0D2F"/>
    <w:rsid w:val="00BD1129"/>
    <w:rsid w:val="00C0572C"/>
    <w:rsid w:val="00C0573F"/>
    <w:rsid w:val="00C20466"/>
    <w:rsid w:val="00C2049B"/>
    <w:rsid w:val="00C266F4"/>
    <w:rsid w:val="00C324A8"/>
    <w:rsid w:val="00C56E7A"/>
    <w:rsid w:val="00C600EC"/>
    <w:rsid w:val="00C779CE"/>
    <w:rsid w:val="00C916AF"/>
    <w:rsid w:val="00C95766"/>
    <w:rsid w:val="00CC47C6"/>
    <w:rsid w:val="00CC4DE6"/>
    <w:rsid w:val="00CD0DEB"/>
    <w:rsid w:val="00CE5E47"/>
    <w:rsid w:val="00CF020F"/>
    <w:rsid w:val="00D17420"/>
    <w:rsid w:val="00D53715"/>
    <w:rsid w:val="00D7331A"/>
    <w:rsid w:val="00DD7074"/>
    <w:rsid w:val="00DE2EBA"/>
    <w:rsid w:val="00DF025E"/>
    <w:rsid w:val="00E2253F"/>
    <w:rsid w:val="00E43E99"/>
    <w:rsid w:val="00E5155F"/>
    <w:rsid w:val="00E65919"/>
    <w:rsid w:val="00E976C1"/>
    <w:rsid w:val="00EA0C0C"/>
    <w:rsid w:val="00EB66F7"/>
    <w:rsid w:val="00EF43E7"/>
    <w:rsid w:val="00EF7D5A"/>
    <w:rsid w:val="00F1578A"/>
    <w:rsid w:val="00F21A03"/>
    <w:rsid w:val="00F26ADA"/>
    <w:rsid w:val="00F33B22"/>
    <w:rsid w:val="00F65316"/>
    <w:rsid w:val="00F65C19"/>
    <w:rsid w:val="00F761D2"/>
    <w:rsid w:val="00F82298"/>
    <w:rsid w:val="00F97203"/>
    <w:rsid w:val="00FB67E5"/>
    <w:rsid w:val="00FC08A4"/>
    <w:rsid w:val="00FC5005"/>
    <w:rsid w:val="00FC63FD"/>
    <w:rsid w:val="00FC71AD"/>
    <w:rsid w:val="00FD18DB"/>
    <w:rsid w:val="00FD48BA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8745E0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C957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R16-WRC19-C-0550/en" TargetMode="External"/><Relationship Id="rId18" Type="http://schemas.openxmlformats.org/officeDocument/2006/relationships/oleObject" Target="embeddings/oleObject1.bin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3.w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R16-WRC19-C-0550/en" TargetMode="External"/><Relationship Id="rId20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R16-WRC19-C-0550/en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oleObject" Target="embeddings/oleObject2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R23-WRC23-C-0004/en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R23-WRC23-C-0099!A24!MSW-R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6EB9E4-60E6-4D01-8320-6F1A5785FC3F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DC91AFBA-57CA-4727-8301-7C08E3AF2BE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4</Pages>
  <Words>1009</Words>
  <Characters>6592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R23-WRC23-C-0099!A24!MSW-R</vt:lpstr>
      <vt:lpstr>R23-WRC23-C-0099!A24!MSW-R</vt:lpstr>
    </vt:vector>
  </TitlesOfParts>
  <Manager>General Secretariat - Pool</Manager>
  <Company>International Telecommunication Union (ITU)</Company>
  <LinksUpToDate>false</LinksUpToDate>
  <CharactersWithSpaces>7586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R23-WRC23-C-0099!A24!MSW-R</dc:title>
  <dc:subject>World Radiocommunication Conference - 2019</dc:subject>
  <dc:creator>Documents Proposals Manager (DPM)</dc:creator>
  <cp:keywords>DPM_v2023.8.1.1_prod</cp:keywords>
  <dc:description/>
  <cp:lastModifiedBy>Antipina, Nadezda</cp:lastModifiedBy>
  <cp:revision>42</cp:revision>
  <cp:lastPrinted>2003-06-17T08:22:00Z</cp:lastPrinted>
  <dcterms:created xsi:type="dcterms:W3CDTF">2023-11-03T16:00:00Z</dcterms:created>
  <dcterms:modified xsi:type="dcterms:W3CDTF">2023-11-13T07:32:00Z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