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552EC2" w14:paraId="4B471EC5" w14:textId="77777777" w:rsidTr="00C1305F">
        <w:trPr>
          <w:cantSplit/>
        </w:trPr>
        <w:tc>
          <w:tcPr>
            <w:tcW w:w="1418" w:type="dxa"/>
            <w:vAlign w:val="center"/>
          </w:tcPr>
          <w:p w14:paraId="2B15BBA0" w14:textId="77777777" w:rsidR="00C1305F" w:rsidRPr="00552EC2" w:rsidRDefault="00C1305F" w:rsidP="00EA57E1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552EC2">
              <w:rPr>
                <w:noProof/>
              </w:rPr>
              <w:drawing>
                <wp:inline distT="0" distB="0" distL="0" distR="0" wp14:anchorId="5070EC3E" wp14:editId="1723DE91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BCBB33A" w14:textId="7809B2A7" w:rsidR="00C1305F" w:rsidRPr="00552EC2" w:rsidRDefault="00C1305F" w:rsidP="00EA57E1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552EC2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552EC2">
              <w:rPr>
                <w:rFonts w:ascii="Verdana" w:hAnsi="Verdana"/>
                <w:b/>
                <w:bCs/>
                <w:sz w:val="20"/>
              </w:rPr>
              <w:br/>
            </w:r>
            <w:r w:rsidRPr="00552EC2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C31430" w:rsidRPr="00552EC2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552EC2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50A7AA8F" w14:textId="77777777" w:rsidR="00C1305F" w:rsidRPr="00552EC2" w:rsidRDefault="00C1305F" w:rsidP="00EA57E1">
            <w:pPr>
              <w:spacing w:before="0"/>
            </w:pPr>
            <w:bookmarkStart w:id="0" w:name="ditulogo"/>
            <w:bookmarkEnd w:id="0"/>
            <w:r w:rsidRPr="00552EC2">
              <w:rPr>
                <w:noProof/>
              </w:rPr>
              <w:drawing>
                <wp:inline distT="0" distB="0" distL="0" distR="0" wp14:anchorId="561E248F" wp14:editId="5D6D7184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552EC2" w14:paraId="732BF552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27437D9" w14:textId="77777777" w:rsidR="00BB1D82" w:rsidRPr="00552EC2" w:rsidRDefault="00BB1D82" w:rsidP="00EA57E1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F8F2FDD" w14:textId="77777777" w:rsidR="00BB1D82" w:rsidRPr="00552EC2" w:rsidRDefault="00BB1D82" w:rsidP="00EA57E1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552EC2" w14:paraId="28D20479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86F38EE" w14:textId="77777777" w:rsidR="00BB1D82" w:rsidRPr="00552EC2" w:rsidRDefault="00BB1D82" w:rsidP="00EA57E1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DE80343" w14:textId="77777777" w:rsidR="00BB1D82" w:rsidRPr="00552EC2" w:rsidRDefault="00BB1D82" w:rsidP="00EA57E1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552EC2" w14:paraId="7663ECA3" w14:textId="77777777" w:rsidTr="00BB1D82">
        <w:trPr>
          <w:cantSplit/>
        </w:trPr>
        <w:tc>
          <w:tcPr>
            <w:tcW w:w="6911" w:type="dxa"/>
            <w:gridSpan w:val="2"/>
          </w:tcPr>
          <w:p w14:paraId="1C025559" w14:textId="77777777" w:rsidR="00BB1D82" w:rsidRPr="00552EC2" w:rsidRDefault="006D4724" w:rsidP="00EA57E1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52EC2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2091046F" w14:textId="77777777" w:rsidR="00BB1D82" w:rsidRPr="00552EC2" w:rsidRDefault="006D4724" w:rsidP="00EA57E1">
            <w:pPr>
              <w:spacing w:before="0"/>
              <w:rPr>
                <w:rFonts w:ascii="Verdana" w:hAnsi="Verdana"/>
                <w:sz w:val="20"/>
              </w:rPr>
            </w:pPr>
            <w:r w:rsidRPr="00552EC2">
              <w:rPr>
                <w:rFonts w:ascii="Verdana" w:hAnsi="Verdana"/>
                <w:b/>
                <w:sz w:val="20"/>
              </w:rPr>
              <w:t>Addendum 24 au</w:t>
            </w:r>
            <w:r w:rsidRPr="00552EC2">
              <w:rPr>
                <w:rFonts w:ascii="Verdana" w:hAnsi="Verdana"/>
                <w:b/>
                <w:sz w:val="20"/>
              </w:rPr>
              <w:br/>
              <w:t>Document 99</w:t>
            </w:r>
            <w:r w:rsidR="00BB1D82" w:rsidRPr="00552EC2">
              <w:rPr>
                <w:rFonts w:ascii="Verdana" w:hAnsi="Verdana"/>
                <w:b/>
                <w:sz w:val="20"/>
              </w:rPr>
              <w:t>-</w:t>
            </w:r>
            <w:r w:rsidRPr="00552EC2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552EC2" w14:paraId="095FE2D7" w14:textId="77777777" w:rsidTr="00BB1D82">
        <w:trPr>
          <w:cantSplit/>
        </w:trPr>
        <w:tc>
          <w:tcPr>
            <w:tcW w:w="6911" w:type="dxa"/>
            <w:gridSpan w:val="2"/>
          </w:tcPr>
          <w:p w14:paraId="727A3301" w14:textId="77777777" w:rsidR="00690C7B" w:rsidRPr="00552EC2" w:rsidRDefault="00690C7B" w:rsidP="00EA57E1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5503AF10" w14:textId="77777777" w:rsidR="00690C7B" w:rsidRPr="00552EC2" w:rsidRDefault="00690C7B" w:rsidP="00EA57E1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52EC2">
              <w:rPr>
                <w:rFonts w:ascii="Verdana" w:hAnsi="Verdana"/>
                <w:b/>
                <w:sz w:val="20"/>
              </w:rPr>
              <w:t>27 octobre 2023</w:t>
            </w:r>
          </w:p>
        </w:tc>
      </w:tr>
      <w:tr w:rsidR="00690C7B" w:rsidRPr="00552EC2" w14:paraId="1DA77CA9" w14:textId="77777777" w:rsidTr="00BB1D82">
        <w:trPr>
          <w:cantSplit/>
        </w:trPr>
        <w:tc>
          <w:tcPr>
            <w:tcW w:w="6911" w:type="dxa"/>
            <w:gridSpan w:val="2"/>
          </w:tcPr>
          <w:p w14:paraId="3E8E0668" w14:textId="77777777" w:rsidR="00690C7B" w:rsidRPr="00552EC2" w:rsidRDefault="00690C7B" w:rsidP="00EA57E1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9989560" w14:textId="77777777" w:rsidR="00690C7B" w:rsidRPr="00552EC2" w:rsidRDefault="00690C7B" w:rsidP="00EA57E1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52EC2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552EC2" w14:paraId="148F1167" w14:textId="77777777" w:rsidTr="00C11970">
        <w:trPr>
          <w:cantSplit/>
        </w:trPr>
        <w:tc>
          <w:tcPr>
            <w:tcW w:w="10031" w:type="dxa"/>
            <w:gridSpan w:val="4"/>
          </w:tcPr>
          <w:p w14:paraId="3D6631BE" w14:textId="77777777" w:rsidR="00690C7B" w:rsidRPr="00552EC2" w:rsidRDefault="00690C7B" w:rsidP="00EA57E1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552EC2" w14:paraId="1887E580" w14:textId="77777777" w:rsidTr="0050008E">
        <w:trPr>
          <w:cantSplit/>
        </w:trPr>
        <w:tc>
          <w:tcPr>
            <w:tcW w:w="10031" w:type="dxa"/>
            <w:gridSpan w:val="4"/>
          </w:tcPr>
          <w:p w14:paraId="4F9B6BEB" w14:textId="77777777" w:rsidR="00690C7B" w:rsidRPr="00552EC2" w:rsidRDefault="00690C7B" w:rsidP="00EA57E1">
            <w:pPr>
              <w:pStyle w:val="Source"/>
            </w:pPr>
            <w:bookmarkStart w:id="2" w:name="dsource" w:colFirst="0" w:colLast="0"/>
            <w:r w:rsidRPr="00552EC2">
              <w:t>Japon</w:t>
            </w:r>
          </w:p>
        </w:tc>
      </w:tr>
      <w:tr w:rsidR="00690C7B" w:rsidRPr="00552EC2" w14:paraId="21DCDEE9" w14:textId="77777777" w:rsidTr="0050008E">
        <w:trPr>
          <w:cantSplit/>
        </w:trPr>
        <w:tc>
          <w:tcPr>
            <w:tcW w:w="10031" w:type="dxa"/>
            <w:gridSpan w:val="4"/>
          </w:tcPr>
          <w:p w14:paraId="307C0BC9" w14:textId="5C84078E" w:rsidR="00690C7B" w:rsidRPr="00552EC2" w:rsidRDefault="00C31430" w:rsidP="00EA57E1">
            <w:pPr>
              <w:pStyle w:val="Title1"/>
            </w:pPr>
            <w:bookmarkStart w:id="3" w:name="dtitle1" w:colFirst="0" w:colLast="0"/>
            <w:bookmarkEnd w:id="2"/>
            <w:r w:rsidRPr="00552EC2">
              <w:t>Propositions pour les travaux de la conférence</w:t>
            </w:r>
          </w:p>
        </w:tc>
      </w:tr>
      <w:tr w:rsidR="00690C7B" w:rsidRPr="00552EC2" w14:paraId="56DCD704" w14:textId="77777777" w:rsidTr="0050008E">
        <w:trPr>
          <w:cantSplit/>
        </w:trPr>
        <w:tc>
          <w:tcPr>
            <w:tcW w:w="10031" w:type="dxa"/>
            <w:gridSpan w:val="4"/>
          </w:tcPr>
          <w:p w14:paraId="31604FA9" w14:textId="77777777" w:rsidR="00690C7B" w:rsidRPr="00552EC2" w:rsidRDefault="00690C7B" w:rsidP="00EA57E1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552EC2" w14:paraId="17BC076F" w14:textId="77777777" w:rsidTr="0050008E">
        <w:trPr>
          <w:cantSplit/>
        </w:trPr>
        <w:tc>
          <w:tcPr>
            <w:tcW w:w="10031" w:type="dxa"/>
            <w:gridSpan w:val="4"/>
          </w:tcPr>
          <w:p w14:paraId="71319F60" w14:textId="230F656B" w:rsidR="00690C7B" w:rsidRPr="00552EC2" w:rsidRDefault="00690C7B" w:rsidP="00EA57E1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552EC2">
              <w:rPr>
                <w:lang w:val="fr-FR"/>
              </w:rPr>
              <w:t>Point 9.1 de l</w:t>
            </w:r>
            <w:r w:rsidR="006E4CC5" w:rsidRPr="00552EC2">
              <w:rPr>
                <w:lang w:val="fr-FR"/>
              </w:rPr>
              <w:t>'</w:t>
            </w:r>
            <w:r w:rsidRPr="00552EC2">
              <w:rPr>
                <w:lang w:val="fr-FR"/>
              </w:rPr>
              <w:t>ordre du jour</w:t>
            </w:r>
          </w:p>
        </w:tc>
      </w:tr>
    </w:tbl>
    <w:bookmarkEnd w:id="5"/>
    <w:p w14:paraId="2375F3FC" w14:textId="73D59235" w:rsidR="008546A0" w:rsidRPr="00552EC2" w:rsidRDefault="005B7CFE" w:rsidP="00EA57E1">
      <w:r w:rsidRPr="00552EC2">
        <w:t>9</w:t>
      </w:r>
      <w:r w:rsidRPr="00552EC2">
        <w:tab/>
        <w:t>examiner et approuver le rapport du Directeur du Bureau des radiocommunications, conformément à l</w:t>
      </w:r>
      <w:r w:rsidR="006E4CC5" w:rsidRPr="00552EC2">
        <w:t>'</w:t>
      </w:r>
      <w:r w:rsidRPr="00552EC2">
        <w:t>article 7 de la Convention de l</w:t>
      </w:r>
      <w:r w:rsidR="006E4CC5" w:rsidRPr="00552EC2">
        <w:t>'</w:t>
      </w:r>
      <w:r w:rsidRPr="00552EC2">
        <w:t>UIT:</w:t>
      </w:r>
    </w:p>
    <w:p w14:paraId="7F1DC909" w14:textId="1AE56A15" w:rsidR="008546A0" w:rsidRPr="00552EC2" w:rsidRDefault="005B7CFE" w:rsidP="00EA57E1">
      <w:r w:rsidRPr="00552EC2">
        <w:t>9.1</w:t>
      </w:r>
      <w:r w:rsidRPr="00552EC2">
        <w:tab/>
        <w:t>sur les activités du Secteur des radiocommunications de l</w:t>
      </w:r>
      <w:r w:rsidR="006E4CC5" w:rsidRPr="00552EC2">
        <w:t>'</w:t>
      </w:r>
      <w:r w:rsidRPr="00552EC2">
        <w:t>UIT depuis la CMR</w:t>
      </w:r>
      <w:r w:rsidRPr="00552EC2">
        <w:noBreakHyphen/>
        <w:t>19;</w:t>
      </w:r>
    </w:p>
    <w:p w14:paraId="456A6128" w14:textId="0058EC48" w:rsidR="005766A7" w:rsidRPr="00552EC2" w:rsidRDefault="005766A7" w:rsidP="00EA57E1">
      <w:pPr>
        <w:pStyle w:val="Heading1"/>
      </w:pPr>
      <w:r w:rsidRPr="00552EC2">
        <w:t>1</w:t>
      </w:r>
      <w:r w:rsidRPr="00552EC2">
        <w:tab/>
      </w:r>
      <w:r w:rsidR="00FE258A" w:rsidRPr="00552EC2">
        <w:t>Considérations générales</w:t>
      </w:r>
    </w:p>
    <w:p w14:paraId="4DE5E602" w14:textId="6F59A489" w:rsidR="005766A7" w:rsidRPr="00552EC2" w:rsidRDefault="00B33A1B" w:rsidP="00EA57E1">
      <w:r w:rsidRPr="00552EC2">
        <w:t xml:space="preserve">Les études </w:t>
      </w:r>
      <w:r w:rsidR="002F2FC1" w:rsidRPr="00552EC2">
        <w:t>relatives au</w:t>
      </w:r>
      <w:r w:rsidRPr="00552EC2">
        <w:t xml:space="preserve"> numéro </w:t>
      </w:r>
      <w:r w:rsidRPr="00552EC2">
        <w:rPr>
          <w:b/>
          <w:bCs/>
        </w:rPr>
        <w:t>21.5</w:t>
      </w:r>
      <w:r w:rsidRPr="00552EC2">
        <w:t xml:space="preserve"> du RR ont été demandées par la CMR-19</w:t>
      </w:r>
      <w:r w:rsidR="00EA57E1" w:rsidRPr="00552EC2">
        <w:t xml:space="preserve"> </w:t>
      </w:r>
      <w:r w:rsidR="00B82CEA" w:rsidRPr="00552EC2">
        <w:t xml:space="preserve">dans le </w:t>
      </w:r>
      <w:r w:rsidRPr="00552EC2">
        <w:t>Document</w:t>
      </w:r>
      <w:r w:rsidR="00EA57E1" w:rsidRPr="00552EC2">
        <w:t> </w:t>
      </w:r>
      <w:hyperlink r:id="rId13" w:history="1">
        <w:r w:rsidRPr="00552EC2">
          <w:rPr>
            <w:rStyle w:val="Hyperlink"/>
            <w:rFonts w:cstheme="minorHAnsi"/>
          </w:rPr>
          <w:t>550</w:t>
        </w:r>
      </w:hyperlink>
      <w:r w:rsidR="00EA57E1" w:rsidRPr="00552EC2">
        <w:t xml:space="preserve"> </w:t>
      </w:r>
      <w:r w:rsidRPr="00552EC2">
        <w:t>et la RPC23-1 a désigné le Groupe de travail (GT) 5D comme groupe</w:t>
      </w:r>
      <w:r w:rsidR="00EA57E1" w:rsidRPr="00552EC2">
        <w:t xml:space="preserve"> </w:t>
      </w:r>
      <w:r w:rsidR="00B82CEA" w:rsidRPr="00552EC2">
        <w:t xml:space="preserve">chargé de mener à bien les </w:t>
      </w:r>
      <w:r w:rsidRPr="00552EC2">
        <w:t xml:space="preserve">études et </w:t>
      </w:r>
      <w:r w:rsidR="00B82CEA" w:rsidRPr="00552EC2">
        <w:t>de présenter les</w:t>
      </w:r>
      <w:r w:rsidRPr="00552EC2">
        <w:t xml:space="preserve"> résultats </w:t>
      </w:r>
      <w:r w:rsidR="00B82CEA" w:rsidRPr="00552EC2">
        <w:t xml:space="preserve">de ces études </w:t>
      </w:r>
      <w:r w:rsidRPr="00552EC2">
        <w:t>au Directeur du Bureau des radiocommunications (BR)</w:t>
      </w:r>
      <w:r w:rsidR="00647E29" w:rsidRPr="00552EC2">
        <w:t xml:space="preserve"> en vue de leur</w:t>
      </w:r>
      <w:r w:rsidR="00EA57E1" w:rsidRPr="00552EC2">
        <w:t xml:space="preserve"> </w:t>
      </w:r>
      <w:r w:rsidR="002F2FC1" w:rsidRPr="00552EC2">
        <w:t>examen</w:t>
      </w:r>
      <w:r w:rsidR="00EA57E1" w:rsidRPr="00552EC2">
        <w:t>,</w:t>
      </w:r>
      <w:r w:rsidR="0012775C" w:rsidRPr="00552EC2">
        <w:t xml:space="preserve"> </w:t>
      </w:r>
      <w:r w:rsidR="00647E29" w:rsidRPr="00552EC2">
        <w:t xml:space="preserve">si celui-ci </w:t>
      </w:r>
      <w:r w:rsidR="00B82CEA" w:rsidRPr="00552EC2">
        <w:t>le juge opportun.</w:t>
      </w:r>
    </w:p>
    <w:p w14:paraId="4CB70F80" w14:textId="447C50C6" w:rsidR="005766A7" w:rsidRPr="00552EC2" w:rsidRDefault="00B33A1B" w:rsidP="00EA57E1">
      <w:r w:rsidRPr="00552EC2">
        <w:t>Dans les études de l</w:t>
      </w:r>
      <w:r w:rsidR="006E4CC5" w:rsidRPr="00552EC2">
        <w:t>'</w:t>
      </w:r>
      <w:r w:rsidRPr="00552EC2">
        <w:t>UIT-R menées par le GT 5D, plusieurs aspects et</w:t>
      </w:r>
      <w:r w:rsidR="00EA57E1" w:rsidRPr="00552EC2">
        <w:t xml:space="preserve"> </w:t>
      </w:r>
      <w:r w:rsidR="00647E29" w:rsidRPr="00552EC2">
        <w:t xml:space="preserve">approches </w:t>
      </w:r>
      <w:r w:rsidRPr="00552EC2">
        <w:t>concernant ces études ont été examinés</w:t>
      </w:r>
      <w:r w:rsidR="00712D0E" w:rsidRPr="00552EC2">
        <w:t>,</w:t>
      </w:r>
      <w:r w:rsidRPr="00552EC2">
        <w:t xml:space="preserve"> mais aucun consensus </w:t>
      </w:r>
      <w:r w:rsidR="00647E29" w:rsidRPr="00552EC2">
        <w:t>ne s</w:t>
      </w:r>
      <w:r w:rsidR="006E4CC5" w:rsidRPr="00552EC2">
        <w:t>'</w:t>
      </w:r>
      <w:r w:rsidR="00647E29" w:rsidRPr="00552EC2">
        <w:t>est dégagé</w:t>
      </w:r>
      <w:r w:rsidRPr="00552EC2">
        <w:t>. L</w:t>
      </w:r>
      <w:r w:rsidR="006E4CC5" w:rsidRPr="00552EC2">
        <w:t>'</w:t>
      </w:r>
      <w:r w:rsidRPr="00552EC2">
        <w:t xml:space="preserve">un des principaux points </w:t>
      </w:r>
      <w:r w:rsidR="00C958B2" w:rsidRPr="00552EC2">
        <w:t>abordés durant les</w:t>
      </w:r>
      <w:r w:rsidRPr="00552EC2">
        <w:t xml:space="preserve"> discussions a porté sur la méthode de notification de la puissance fournie à l</w:t>
      </w:r>
      <w:r w:rsidR="006E4CC5" w:rsidRPr="00552EC2">
        <w:t>'</w:t>
      </w:r>
      <w:r w:rsidRPr="00552EC2">
        <w:t xml:space="preserve">antenne, </w:t>
      </w:r>
      <w:r w:rsidR="00647E29" w:rsidRPr="00552EC2">
        <w:t>c</w:t>
      </w:r>
      <w:r w:rsidR="006E4CC5" w:rsidRPr="00552EC2">
        <w:t>'</w:t>
      </w:r>
      <w:r w:rsidR="00647E29" w:rsidRPr="00552EC2">
        <w:t>est-à-dire</w:t>
      </w:r>
      <w:r w:rsidR="00EA57E1" w:rsidRPr="00552EC2">
        <w:t xml:space="preserve"> </w:t>
      </w:r>
      <w:r w:rsidRPr="00552EC2">
        <w:t>l</w:t>
      </w:r>
      <w:r w:rsidR="006E4CC5" w:rsidRPr="00552EC2">
        <w:t>'</w:t>
      </w:r>
      <w:r w:rsidRPr="00552EC2">
        <w:t>élément de données 8AA de l</w:t>
      </w:r>
      <w:r w:rsidR="006E4CC5" w:rsidRPr="00552EC2">
        <w:t>'</w:t>
      </w:r>
      <w:r w:rsidRPr="00552EC2">
        <w:t xml:space="preserve">Appendice </w:t>
      </w:r>
      <w:r w:rsidRPr="00552EC2">
        <w:rPr>
          <w:b/>
          <w:bCs/>
        </w:rPr>
        <w:t>4</w:t>
      </w:r>
      <w:r w:rsidRPr="00552EC2">
        <w:t xml:space="preserve"> du RR,</w:t>
      </w:r>
      <w:r w:rsidR="00EA57E1" w:rsidRPr="00552EC2">
        <w:t xml:space="preserve"> </w:t>
      </w:r>
      <w:r w:rsidR="00A36E97" w:rsidRPr="00552EC2">
        <w:t>qui est requise</w:t>
      </w:r>
      <w:r w:rsidR="00BB4A81" w:rsidRPr="00552EC2">
        <w:t xml:space="preserve"> aux fins de la soumission au BR</w:t>
      </w:r>
      <w:r w:rsidRPr="00552EC2">
        <w:t>. Certaines administrations étaient favorables à l</w:t>
      </w:r>
      <w:r w:rsidR="006E4CC5" w:rsidRPr="00552EC2">
        <w:t>'</w:t>
      </w:r>
      <w:r w:rsidRPr="00552EC2">
        <w:t>idée de considérer cet élément de données comme</w:t>
      </w:r>
      <w:r w:rsidR="00EA57E1" w:rsidRPr="00552EC2">
        <w:t xml:space="preserve"> </w:t>
      </w:r>
      <w:r w:rsidRPr="00552EC2">
        <w:t xml:space="preserve">la puissance fournie par un seul émetteur </w:t>
      </w:r>
      <w:r w:rsidR="00C8457E" w:rsidRPr="00552EC2">
        <w:t>d</w:t>
      </w:r>
      <w:r w:rsidR="006E4CC5" w:rsidRPr="00552EC2">
        <w:t>'</w:t>
      </w:r>
      <w:r w:rsidR="00F95BC9" w:rsidRPr="00552EC2">
        <w:t>un</w:t>
      </w:r>
      <w:r w:rsidRPr="00552EC2">
        <w:t xml:space="preserve"> </w:t>
      </w:r>
      <w:r w:rsidR="00115E1F" w:rsidRPr="00552EC2">
        <w:t>système d</w:t>
      </w:r>
      <w:r w:rsidR="006E4CC5" w:rsidRPr="00552EC2">
        <w:t>'</w:t>
      </w:r>
      <w:r w:rsidR="00115E1F" w:rsidRPr="00552EC2">
        <w:t>antenne actif</w:t>
      </w:r>
      <w:r w:rsidRPr="00552EC2">
        <w:t xml:space="preserve"> </w:t>
      </w:r>
      <w:r w:rsidR="00115E1F" w:rsidRPr="00552EC2">
        <w:t>(</w:t>
      </w:r>
      <w:r w:rsidRPr="00552EC2">
        <w:t>AAS</w:t>
      </w:r>
      <w:r w:rsidR="00115E1F" w:rsidRPr="00552EC2">
        <w:t>)</w:t>
      </w:r>
      <w:r w:rsidRPr="00552EC2">
        <w:t xml:space="preserve"> pour une station IMT. D</w:t>
      </w:r>
      <w:r w:rsidR="006E4CC5" w:rsidRPr="00552EC2">
        <w:t>'</w:t>
      </w:r>
      <w:r w:rsidRPr="00552EC2">
        <w:t xml:space="preserve">autres administrations </w:t>
      </w:r>
      <w:r w:rsidR="00C8457E" w:rsidRPr="00552EC2">
        <w:t xml:space="preserve">ont estimé </w:t>
      </w:r>
      <w:r w:rsidRPr="00552EC2">
        <w:t xml:space="preserve">que la puissance totale rayonnée (TRP) </w:t>
      </w:r>
      <w:r w:rsidR="00F95BC9" w:rsidRPr="00552EC2">
        <w:t>émis</w:t>
      </w:r>
      <w:r w:rsidRPr="00552EC2">
        <w:t>e par tous les éléments actifs d</w:t>
      </w:r>
      <w:r w:rsidR="006E4CC5" w:rsidRPr="00552EC2">
        <w:t>'</w:t>
      </w:r>
      <w:r w:rsidR="00F95BC9" w:rsidRPr="00552EC2">
        <w:t>un</w:t>
      </w:r>
      <w:r w:rsidRPr="00552EC2">
        <w:t xml:space="preserve"> système AAS pour une station IMT devrait être notifiée en tant qu</w:t>
      </w:r>
      <w:r w:rsidR="006E4CC5" w:rsidRPr="00552EC2">
        <w:t>'</w:t>
      </w:r>
      <w:r w:rsidRPr="00552EC2">
        <w:t>élément de données 8AA</w:t>
      </w:r>
      <w:r w:rsidR="005766A7" w:rsidRPr="00552EC2">
        <w:t>.</w:t>
      </w:r>
    </w:p>
    <w:p w14:paraId="259BD5B4" w14:textId="443388F5" w:rsidR="00B33A1B" w:rsidRPr="00552EC2" w:rsidRDefault="00B33A1B" w:rsidP="00EA57E1">
      <w:r w:rsidRPr="00552EC2">
        <w:t>Compte tenu des conclusions de la RPC23-1, les résultats de ces études n</w:t>
      </w:r>
      <w:r w:rsidR="006E4CC5" w:rsidRPr="00552EC2">
        <w:t>'</w:t>
      </w:r>
      <w:r w:rsidRPr="00552EC2">
        <w:t xml:space="preserve">ont pas été inclus dans le </w:t>
      </w:r>
      <w:r w:rsidR="00C242C9" w:rsidRPr="00552EC2">
        <w:t>r</w:t>
      </w:r>
      <w:r w:rsidRPr="00552EC2">
        <w:t xml:space="preserve">apport de la RPC à la CMR-23. Toutefois, </w:t>
      </w:r>
      <w:r w:rsidR="00C242C9" w:rsidRPr="00552EC2">
        <w:t>ces résultats</w:t>
      </w:r>
      <w:r w:rsidRPr="00552EC2">
        <w:t xml:space="preserve"> figurent au § 4.3.2 du </w:t>
      </w:r>
      <w:r w:rsidR="006556A5" w:rsidRPr="00552EC2">
        <w:t>r</w:t>
      </w:r>
      <w:r w:rsidRPr="00552EC2">
        <w:t>apport du Directeur du Bureau des radiocommunications</w:t>
      </w:r>
      <w:r w:rsidR="00647E29" w:rsidRPr="00552EC2">
        <w:t>,</w:t>
      </w:r>
      <w:r w:rsidR="00EA57E1" w:rsidRPr="00552EC2">
        <w:t xml:space="preserve"> </w:t>
      </w:r>
      <w:r w:rsidRPr="00552EC2">
        <w:t xml:space="preserve">intitulé «Partie 1: Activités </w:t>
      </w:r>
      <w:r w:rsidR="00721223" w:rsidRPr="00552EC2">
        <w:t>menées par le</w:t>
      </w:r>
      <w:r w:rsidRPr="00552EC2">
        <w:t xml:space="preserve"> Secteur des radiocommunications </w:t>
      </w:r>
      <w:r w:rsidR="00721223" w:rsidRPr="00552EC2">
        <w:t>pendant la période entr</w:t>
      </w:r>
      <w:r w:rsidRPr="00552EC2">
        <w:t xml:space="preserve">e la CMR-19 et la CMR-23» (Addendum 1 au Document </w:t>
      </w:r>
      <w:hyperlink r:id="rId14" w:history="1">
        <w:r w:rsidR="006556A5" w:rsidRPr="00552EC2">
          <w:rPr>
            <w:rStyle w:val="Hyperlink"/>
            <w:lang w:eastAsia="ja-JP"/>
          </w:rPr>
          <w:t>4</w:t>
        </w:r>
      </w:hyperlink>
      <w:r w:rsidRPr="00552EC2">
        <w:t>).</w:t>
      </w:r>
    </w:p>
    <w:p w14:paraId="159E9F93" w14:textId="7A265F1E" w:rsidR="00B33A1B" w:rsidRPr="00552EC2" w:rsidRDefault="00B33A1B" w:rsidP="00EA57E1">
      <w:pPr>
        <w:keepNext/>
        <w:keepLines/>
      </w:pPr>
      <w:r w:rsidRPr="00552EC2">
        <w:lastRenderedPageBreak/>
        <w:t>Compte tenu de</w:t>
      </w:r>
      <w:r w:rsidR="00EA57E1" w:rsidRPr="00552EC2">
        <w:t xml:space="preserve"> </w:t>
      </w:r>
      <w:r w:rsidR="00647E29" w:rsidRPr="00552EC2">
        <w:t>cette situation</w:t>
      </w:r>
      <w:r w:rsidR="00EA57E1" w:rsidRPr="00552EC2">
        <w:t>,</w:t>
      </w:r>
      <w:r w:rsidRPr="00552EC2">
        <w:t xml:space="preserve"> le Japon soumet la présente contribution afin de </w:t>
      </w:r>
      <w:r w:rsidR="00647E29" w:rsidRPr="00552EC2">
        <w:t xml:space="preserve">faire connaître </w:t>
      </w:r>
      <w:r w:rsidRPr="00552EC2">
        <w:t xml:space="preserve">ses vues et </w:t>
      </w:r>
      <w:r w:rsidR="00647E29" w:rsidRPr="00552EC2">
        <w:t xml:space="preserve">de soumettre ses </w:t>
      </w:r>
      <w:r w:rsidRPr="00552EC2">
        <w:t xml:space="preserve">propositions </w:t>
      </w:r>
      <w:r w:rsidR="00647E29" w:rsidRPr="00552EC2">
        <w:t xml:space="preserve">sur </w:t>
      </w:r>
      <w:r w:rsidR="006556A5" w:rsidRPr="00552EC2">
        <w:t>les questions relatives au</w:t>
      </w:r>
      <w:r w:rsidRPr="00552EC2">
        <w:t xml:space="preserve"> numéro </w:t>
      </w:r>
      <w:r w:rsidRPr="00552EC2">
        <w:rPr>
          <w:b/>
          <w:bCs/>
        </w:rPr>
        <w:t>21.5</w:t>
      </w:r>
      <w:r w:rsidRPr="00552EC2">
        <w:t xml:space="preserve"> du RR</w:t>
      </w:r>
      <w:r w:rsidR="006556A5" w:rsidRPr="00552EC2">
        <w:t xml:space="preserve">, telles </w:t>
      </w:r>
      <w:r w:rsidR="00A937D7" w:rsidRPr="00552EC2">
        <w:t>qu</w:t>
      </w:r>
      <w:r w:rsidR="006E4CC5" w:rsidRPr="00552EC2">
        <w:t>'</w:t>
      </w:r>
      <w:r w:rsidR="00A937D7" w:rsidRPr="00552EC2">
        <w:t xml:space="preserve">elles </w:t>
      </w:r>
      <w:r w:rsidR="00721223" w:rsidRPr="00552EC2">
        <w:t>ont été</w:t>
      </w:r>
      <w:r w:rsidR="00647E29" w:rsidRPr="00552EC2">
        <w:t xml:space="preserve"> présentées</w:t>
      </w:r>
      <w:r w:rsidR="00EA57E1" w:rsidRPr="00552EC2">
        <w:t xml:space="preserve"> </w:t>
      </w:r>
      <w:r w:rsidR="00A937D7" w:rsidRPr="00552EC2">
        <w:t>dans</w:t>
      </w:r>
      <w:r w:rsidR="006556A5" w:rsidRPr="00552EC2">
        <w:t xml:space="preserve"> le</w:t>
      </w:r>
      <w:r w:rsidRPr="00552EC2">
        <w:t xml:space="preserve"> Document </w:t>
      </w:r>
      <w:hyperlink r:id="rId15" w:history="1">
        <w:r w:rsidR="006556A5" w:rsidRPr="00552EC2">
          <w:rPr>
            <w:rStyle w:val="Hyperlink"/>
            <w:rFonts w:cstheme="minorHAnsi"/>
          </w:rPr>
          <w:t>550</w:t>
        </w:r>
      </w:hyperlink>
      <w:r w:rsidRPr="00552EC2">
        <w:t xml:space="preserve"> de la CMR-19, </w:t>
      </w:r>
      <w:r w:rsidR="00CD1BC6" w:rsidRPr="00552EC2">
        <w:t>pour examen</w:t>
      </w:r>
      <w:r w:rsidRPr="00552EC2">
        <w:t xml:space="preserve"> au titre du point 9.1 ou</w:t>
      </w:r>
      <w:r w:rsidR="00EA57E1" w:rsidRPr="00552EC2">
        <w:t xml:space="preserve">, </w:t>
      </w:r>
      <w:r w:rsidRPr="00552EC2">
        <w:t>éventuellement</w:t>
      </w:r>
      <w:r w:rsidR="00EA57E1" w:rsidRPr="00552EC2">
        <w:t>,</w:t>
      </w:r>
      <w:r w:rsidR="00647E29" w:rsidRPr="00552EC2">
        <w:t xml:space="preserve"> </w:t>
      </w:r>
      <w:r w:rsidRPr="00552EC2">
        <w:t>du point 9.2 de l</w:t>
      </w:r>
      <w:r w:rsidR="006E4CC5" w:rsidRPr="00552EC2">
        <w:t>'</w:t>
      </w:r>
      <w:r w:rsidRPr="00552EC2">
        <w:t>ordre du jour de la CMR-23.</w:t>
      </w:r>
    </w:p>
    <w:p w14:paraId="2935C771" w14:textId="1A95BF4F" w:rsidR="005766A7" w:rsidRPr="00552EC2" w:rsidRDefault="005766A7" w:rsidP="00EA57E1">
      <w:pPr>
        <w:pStyle w:val="Heading1"/>
      </w:pPr>
      <w:r w:rsidRPr="00552EC2">
        <w:t>2</w:t>
      </w:r>
      <w:r w:rsidRPr="00552EC2">
        <w:tab/>
      </w:r>
      <w:r w:rsidR="006534B6" w:rsidRPr="00552EC2">
        <w:t>Examen</w:t>
      </w:r>
    </w:p>
    <w:p w14:paraId="3A0CC043" w14:textId="0813F917" w:rsidR="006723C8" w:rsidRPr="00552EC2" w:rsidRDefault="00647E29" w:rsidP="00EA57E1">
      <w:r w:rsidRPr="00552EC2">
        <w:t>Dans le cadre de</w:t>
      </w:r>
      <w:r w:rsidR="005C10DD" w:rsidRPr="00552EC2">
        <w:t xml:space="preserve"> sa participation active aux études de l</w:t>
      </w:r>
      <w:r w:rsidR="006E4CC5" w:rsidRPr="00552EC2">
        <w:t>'</w:t>
      </w:r>
      <w:r w:rsidR="005C10DD" w:rsidRPr="00552EC2">
        <w:t xml:space="preserve">UIT-R, le Japon </w:t>
      </w:r>
      <w:r w:rsidRPr="00552EC2">
        <w:t>souhaite</w:t>
      </w:r>
      <w:r w:rsidR="005C10DD" w:rsidRPr="00552EC2">
        <w:t xml:space="preserve"> formuler les observations suivantes concernant les questions</w:t>
      </w:r>
      <w:r w:rsidR="00EA57E1" w:rsidRPr="00552EC2">
        <w:t xml:space="preserve"> </w:t>
      </w:r>
      <w:r w:rsidRPr="00552EC2">
        <w:t xml:space="preserve">évoquées </w:t>
      </w:r>
      <w:r w:rsidR="005C10DD" w:rsidRPr="00552EC2">
        <w:t xml:space="preserve">dans le Document </w:t>
      </w:r>
      <w:hyperlink r:id="rId16" w:history="1">
        <w:r w:rsidR="00C05E66" w:rsidRPr="00552EC2">
          <w:rPr>
            <w:rStyle w:val="Hyperlink"/>
            <w:rFonts w:cstheme="minorHAnsi"/>
          </w:rPr>
          <w:t>550</w:t>
        </w:r>
      </w:hyperlink>
      <w:r w:rsidR="005C10DD" w:rsidRPr="00552EC2">
        <w:t xml:space="preserve"> de la CMR-19, </w:t>
      </w:r>
      <w:r w:rsidR="00125559" w:rsidRPr="00552EC2">
        <w:t>en vue d</w:t>
      </w:r>
      <w:r w:rsidR="006E4CC5" w:rsidRPr="00552EC2">
        <w:t>'</w:t>
      </w:r>
      <w:r w:rsidR="00125559" w:rsidRPr="00552EC2">
        <w:t>assurer la protection des</w:t>
      </w:r>
      <w:r w:rsidR="005C10DD" w:rsidRPr="00552EC2">
        <w:t xml:space="preserve"> récepteurs spatiaux des services par satellite.</w:t>
      </w:r>
    </w:p>
    <w:p w14:paraId="5EDA0110" w14:textId="14ACC113" w:rsidR="005766A7" w:rsidRPr="00552EC2" w:rsidRDefault="005766A7" w:rsidP="00EA57E1">
      <w:pPr>
        <w:pStyle w:val="enumlev1"/>
      </w:pPr>
      <w:r w:rsidRPr="00552EC2">
        <w:t>–</w:t>
      </w:r>
      <w:r w:rsidRPr="00552EC2">
        <w:tab/>
      </w:r>
      <w:r w:rsidR="006723C8" w:rsidRPr="00552EC2">
        <w:t>Pour la notification d</w:t>
      </w:r>
      <w:r w:rsidR="006E4CC5" w:rsidRPr="00552EC2">
        <w:t>'</w:t>
      </w:r>
      <w:r w:rsidR="006723C8" w:rsidRPr="00552EC2">
        <w:t>une station IMT utilisant un système AAS, la puissance totale rayonnée (TRP) (c</w:t>
      </w:r>
      <w:r w:rsidR="006E4CC5" w:rsidRPr="00552EC2">
        <w:t>'</w:t>
      </w:r>
      <w:r w:rsidR="006723C8" w:rsidRPr="00552EC2">
        <w:t>est-à-dire, l</w:t>
      </w:r>
      <w:r w:rsidR="006E4CC5" w:rsidRPr="00552EC2">
        <w:t>'</w:t>
      </w:r>
      <w:r w:rsidR="006723C8" w:rsidRPr="00552EC2">
        <w:t>intégrale de la puissance émise par tous les éléments d</w:t>
      </w:r>
      <w:r w:rsidR="00647E29" w:rsidRPr="00552EC2">
        <w:t>e l</w:t>
      </w:r>
      <w:r w:rsidR="006E4CC5" w:rsidRPr="00552EC2">
        <w:t>'</w:t>
      </w:r>
      <w:r w:rsidR="006723C8" w:rsidRPr="00552EC2">
        <w:t xml:space="preserve">antenne dans différentes directions couvrant la totalité de la sphère de rayonnement) devrait </w:t>
      </w:r>
      <w:r w:rsidR="009E061F" w:rsidRPr="00552EC2">
        <w:t>figurer</w:t>
      </w:r>
      <w:r w:rsidR="00B6478F" w:rsidRPr="00552EC2">
        <w:t xml:space="preserve"> dans</w:t>
      </w:r>
      <w:r w:rsidR="006723C8" w:rsidRPr="00552EC2">
        <w:t xml:space="preserve"> l</w:t>
      </w:r>
      <w:r w:rsidR="006E4CC5" w:rsidRPr="00552EC2">
        <w:t>'</w:t>
      </w:r>
      <w:r w:rsidR="006723C8" w:rsidRPr="00552EC2">
        <w:t>élément de données 8AA du Tableau 1 de l</w:t>
      </w:r>
      <w:r w:rsidR="006E4CC5" w:rsidRPr="00552EC2">
        <w:t>'</w:t>
      </w:r>
      <w:r w:rsidR="006723C8" w:rsidRPr="00552EC2">
        <w:t xml:space="preserve">Appendice </w:t>
      </w:r>
      <w:r w:rsidR="006723C8" w:rsidRPr="00552EC2">
        <w:rPr>
          <w:b/>
          <w:bCs/>
        </w:rPr>
        <w:t>4</w:t>
      </w:r>
      <w:r w:rsidR="006723C8" w:rsidRPr="00552EC2">
        <w:t xml:space="preserve"> du RR.</w:t>
      </w:r>
    </w:p>
    <w:p w14:paraId="09BA13AD" w14:textId="02B56AE8" w:rsidR="005766A7" w:rsidRPr="00552EC2" w:rsidRDefault="005766A7" w:rsidP="00EA57E1">
      <w:pPr>
        <w:pStyle w:val="enumlev1"/>
      </w:pPr>
      <w:r w:rsidRPr="00552EC2">
        <w:t>–</w:t>
      </w:r>
      <w:r w:rsidRPr="00552EC2">
        <w:tab/>
      </w:r>
      <w:r w:rsidR="006723C8" w:rsidRPr="00552EC2">
        <w:t xml:space="preserve">Pour la vérification de la station IMT </w:t>
      </w:r>
      <w:r w:rsidR="00647E29" w:rsidRPr="00552EC2">
        <w:t xml:space="preserve">notifiée </w:t>
      </w:r>
      <w:r w:rsidR="006723C8" w:rsidRPr="00552EC2">
        <w:t>utilisant un système AAS, il convient d</w:t>
      </w:r>
      <w:r w:rsidR="006E4CC5" w:rsidRPr="00552EC2">
        <w:t>'</w:t>
      </w:r>
      <w:r w:rsidR="006723C8" w:rsidRPr="00552EC2">
        <w:t xml:space="preserve">utiliser </w:t>
      </w:r>
      <w:r w:rsidR="00647E29" w:rsidRPr="00552EC2">
        <w:t xml:space="preserve">la formule </w:t>
      </w:r>
      <w:r w:rsidR="006723C8" w:rsidRPr="00552EC2">
        <w:t xml:space="preserve">suivante pour évaluer la conformité à la limite </w:t>
      </w:r>
      <w:r w:rsidR="00647E29" w:rsidRPr="00552EC2">
        <w:t xml:space="preserve">de </w:t>
      </w:r>
      <w:r w:rsidR="00EA57E1" w:rsidRPr="00552EC2">
        <w:t>«</w:t>
      </w:r>
      <w:r w:rsidR="006723C8" w:rsidRPr="00552EC2">
        <w:t>+10 dBW</w:t>
      </w:r>
      <w:r w:rsidR="00EA57E1" w:rsidRPr="00552EC2">
        <w:t>»</w:t>
      </w:r>
      <w:r w:rsidR="00647E29" w:rsidRPr="00552EC2">
        <w:t xml:space="preserve"> prescrite</w:t>
      </w:r>
      <w:r w:rsidR="00EA57E1" w:rsidRPr="00552EC2">
        <w:t xml:space="preserve"> </w:t>
      </w:r>
      <w:r w:rsidR="006723C8" w:rsidRPr="00552EC2">
        <w:t xml:space="preserve">au numéro </w:t>
      </w:r>
      <w:r w:rsidR="006723C8" w:rsidRPr="00552EC2">
        <w:rPr>
          <w:b/>
          <w:bCs/>
        </w:rPr>
        <w:t>21.5</w:t>
      </w:r>
      <w:r w:rsidR="006723C8" w:rsidRPr="00552EC2">
        <w:t xml:space="preserve"> du RR:</w:t>
      </w:r>
    </w:p>
    <w:p w14:paraId="0F3FECF9" w14:textId="77777777" w:rsidR="00B6478F" w:rsidRPr="00552EC2" w:rsidRDefault="005766A7" w:rsidP="00EA57E1">
      <w:pPr>
        <w:pStyle w:val="Equation"/>
      </w:pPr>
      <w:r w:rsidRPr="00552EC2">
        <w:tab/>
      </w:r>
      <w:r w:rsidRPr="00552EC2"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</w:rPr>
          <m:t>- 10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BW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200</m:t>
                    </m:r>
                  </m:den>
                </m:f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 xml:space="preserve">≤10 </m:t>
        </m:r>
        <m:r>
          <w:rPr>
            <w:rFonts w:ascii="Cambria Math" w:hAnsi="Cambria Math"/>
          </w:rPr>
          <m:t>dBW</m:t>
        </m:r>
      </m:oMath>
    </w:p>
    <w:p w14:paraId="07DB4D29" w14:textId="4897A45D" w:rsidR="005766A7" w:rsidRPr="00552EC2" w:rsidRDefault="005766A7" w:rsidP="00EA57E1">
      <w:pPr>
        <w:pStyle w:val="enumlev1"/>
      </w:pPr>
      <w:r w:rsidRPr="00552EC2">
        <w:tab/>
      </w:r>
      <w:r w:rsidR="009C02A0" w:rsidRPr="00552EC2">
        <w:t xml:space="preserve">où P est la valeur de </w:t>
      </w:r>
      <w:r w:rsidR="006B79C8" w:rsidRPr="00552EC2">
        <w:t xml:space="preserve">la </w:t>
      </w:r>
      <w:r w:rsidR="009C02A0" w:rsidRPr="00552EC2">
        <w:t>TRP en dBW notifiée</w:t>
      </w:r>
      <w:r w:rsidR="00EA57E1" w:rsidRPr="00552EC2">
        <w:t xml:space="preserve"> </w:t>
      </w:r>
      <w:r w:rsidR="006B79C8" w:rsidRPr="00552EC2">
        <w:t>dans</w:t>
      </w:r>
      <w:r w:rsidR="00EA57E1" w:rsidRPr="00552EC2">
        <w:t xml:space="preserve"> </w:t>
      </w:r>
      <w:r w:rsidR="009C02A0" w:rsidRPr="00552EC2">
        <w:t>l</w:t>
      </w:r>
      <w:r w:rsidR="006E4CC5" w:rsidRPr="00552EC2">
        <w:t>'</w:t>
      </w:r>
      <w:r w:rsidR="009C02A0" w:rsidRPr="00552EC2">
        <w:t>élément de données 8AA et BW est la largeur de bande nécessaire de</w:t>
      </w:r>
      <w:r w:rsidR="006B79C8" w:rsidRPr="00552EC2">
        <w:t>s</w:t>
      </w:r>
      <w:r w:rsidR="009C02A0" w:rsidRPr="00552EC2">
        <w:t xml:space="preserve"> émission</w:t>
      </w:r>
      <w:r w:rsidR="006B79C8" w:rsidRPr="00552EC2">
        <w:t>s</w:t>
      </w:r>
      <w:r w:rsidR="009C02A0" w:rsidRPr="00552EC2">
        <w:t xml:space="preserve"> de la station IMT en MHz</w:t>
      </w:r>
      <w:r w:rsidR="00700633" w:rsidRPr="00552EC2">
        <w:t>,</w:t>
      </w:r>
      <w:r w:rsidR="009C02A0" w:rsidRPr="00552EC2">
        <w:t xml:space="preserve"> notifiée</w:t>
      </w:r>
      <w:r w:rsidR="00EA57E1" w:rsidRPr="00552EC2">
        <w:t xml:space="preserve"> </w:t>
      </w:r>
      <w:r w:rsidR="006B79C8" w:rsidRPr="00552EC2">
        <w:t>dans</w:t>
      </w:r>
      <w:r w:rsidR="009C02A0" w:rsidRPr="00552EC2">
        <w:t xml:space="preserve"> l</w:t>
      </w:r>
      <w:r w:rsidR="006E4CC5" w:rsidRPr="00552EC2">
        <w:t>'</w:t>
      </w:r>
      <w:r w:rsidR="009C02A0" w:rsidRPr="00552EC2">
        <w:t>élément de données 7AB du Tableau 1 de l</w:t>
      </w:r>
      <w:r w:rsidR="006E4CC5" w:rsidRPr="00552EC2">
        <w:t>'</w:t>
      </w:r>
      <w:r w:rsidR="009C02A0" w:rsidRPr="00552EC2">
        <w:t xml:space="preserve">Appendice </w:t>
      </w:r>
      <w:r w:rsidR="009C02A0" w:rsidRPr="00552EC2">
        <w:rPr>
          <w:b/>
          <w:bCs/>
        </w:rPr>
        <w:t>4</w:t>
      </w:r>
      <w:r w:rsidR="009C02A0" w:rsidRPr="00552EC2">
        <w:t xml:space="preserve"> du RR, respectivement</w:t>
      </w:r>
      <w:r w:rsidR="00B6478F" w:rsidRPr="00552EC2">
        <w:t>. Dans</w:t>
      </w:r>
      <w:r w:rsidR="00EA57E1" w:rsidRPr="00552EC2">
        <w:t xml:space="preserve"> </w:t>
      </w:r>
      <w:r w:rsidR="006B79C8" w:rsidRPr="00552EC2">
        <w:t>la formule</w:t>
      </w:r>
      <w:r w:rsidR="00EA57E1" w:rsidRPr="00552EC2">
        <w:t xml:space="preserve"> </w:t>
      </w:r>
      <w:r w:rsidR="00B6478F" w:rsidRPr="00552EC2">
        <w:t xml:space="preserve">ci-dessus, la valeur de «200» MHz est </w:t>
      </w:r>
      <w:r w:rsidR="00340D7A" w:rsidRPr="00552EC2">
        <w:t>indiquée</w:t>
      </w:r>
      <w:r w:rsidR="00B6478F" w:rsidRPr="00552EC2">
        <w:t xml:space="preserve"> pour éviter </w:t>
      </w:r>
      <w:r w:rsidR="006B79C8" w:rsidRPr="00552EC2">
        <w:t>d</w:t>
      </w:r>
      <w:r w:rsidR="006E4CC5" w:rsidRPr="00552EC2">
        <w:t>'</w:t>
      </w:r>
      <w:r w:rsidR="006B79C8" w:rsidRPr="00552EC2">
        <w:t>imposer des restrictions aux</w:t>
      </w:r>
      <w:r w:rsidR="00EA57E1" w:rsidRPr="00552EC2">
        <w:t xml:space="preserve"> </w:t>
      </w:r>
      <w:r w:rsidR="00B6478F" w:rsidRPr="00552EC2">
        <w:t>station</w:t>
      </w:r>
      <w:r w:rsidR="006B79C8" w:rsidRPr="00552EC2">
        <w:t>s</w:t>
      </w:r>
      <w:r w:rsidR="00B6478F" w:rsidRPr="00552EC2">
        <w:t xml:space="preserve"> IMT </w:t>
      </w:r>
      <w:r w:rsidR="00F72EA3" w:rsidRPr="00552EC2">
        <w:t>doté</w:t>
      </w:r>
      <w:r w:rsidR="006B79C8" w:rsidRPr="00552EC2">
        <w:t>es</w:t>
      </w:r>
      <w:r w:rsidR="00F72EA3" w:rsidRPr="00552EC2">
        <w:t xml:space="preserve"> d</w:t>
      </w:r>
      <w:r w:rsidR="006E4CC5" w:rsidRPr="00552EC2">
        <w:t>'</w:t>
      </w:r>
      <w:r w:rsidR="00700633" w:rsidRPr="00552EC2">
        <w:t>un</w:t>
      </w:r>
      <w:r w:rsidR="00B6478F" w:rsidRPr="00552EC2">
        <w:t xml:space="preserve"> système AAS qui </w:t>
      </w:r>
      <w:r w:rsidR="00700633" w:rsidRPr="00552EC2">
        <w:t>utilise</w:t>
      </w:r>
      <w:r w:rsidR="006B79C8" w:rsidRPr="00552EC2">
        <w:t>nt</w:t>
      </w:r>
      <w:r w:rsidR="00B6478F" w:rsidRPr="00552EC2">
        <w:t xml:space="preserve"> une grande largeur de bande de canal au-delà de 200 MHz.</w:t>
      </w:r>
    </w:p>
    <w:p w14:paraId="391492E4" w14:textId="0147AF24" w:rsidR="005766A7" w:rsidRPr="00552EC2" w:rsidRDefault="005766A7" w:rsidP="00EA57E1">
      <w:pPr>
        <w:pStyle w:val="enumlev1"/>
      </w:pPr>
      <w:r w:rsidRPr="00552EC2">
        <w:t>–</w:t>
      </w:r>
      <w:r w:rsidRPr="00552EC2">
        <w:tab/>
      </w:r>
      <w:r w:rsidR="004B1DCF" w:rsidRPr="00552EC2">
        <w:t>Le débat devrait</w:t>
      </w:r>
      <w:r w:rsidR="001A25E5" w:rsidRPr="00552EC2">
        <w:t xml:space="preserve"> </w:t>
      </w:r>
      <w:r w:rsidR="009A39DE" w:rsidRPr="00552EC2">
        <w:t xml:space="preserve">porter essentiellement sur la bande de fréquences 24,45-27,5 GHz pour ce qui est de la notification et de la vérification des stations IMT utilisant </w:t>
      </w:r>
      <w:r w:rsidR="001A25E5" w:rsidRPr="00552EC2">
        <w:t>un</w:t>
      </w:r>
      <w:r w:rsidR="009A39DE" w:rsidRPr="00552EC2">
        <w:t xml:space="preserve"> système</w:t>
      </w:r>
      <w:r w:rsidR="00EA57E1" w:rsidRPr="00552EC2">
        <w:t> </w:t>
      </w:r>
      <w:r w:rsidR="009A39DE" w:rsidRPr="00552EC2">
        <w:t xml:space="preserve">AAS. </w:t>
      </w:r>
      <w:r w:rsidR="00460233" w:rsidRPr="00552EC2">
        <w:t>Une fois</w:t>
      </w:r>
      <w:r w:rsidR="009A39DE" w:rsidRPr="00552EC2">
        <w:t xml:space="preserve"> </w:t>
      </w:r>
      <w:r w:rsidR="0099433A" w:rsidRPr="00552EC2">
        <w:t>qu</w:t>
      </w:r>
      <w:r w:rsidR="006E4CC5" w:rsidRPr="00552EC2">
        <w:t>'</w:t>
      </w:r>
      <w:r w:rsidR="0099433A" w:rsidRPr="00552EC2">
        <w:t>un accord a</w:t>
      </w:r>
      <w:r w:rsidR="00460233" w:rsidRPr="00552EC2">
        <w:t>ura</w:t>
      </w:r>
      <w:r w:rsidR="0099433A" w:rsidRPr="00552EC2">
        <w:t xml:space="preserve"> été conclu</w:t>
      </w:r>
      <w:r w:rsidR="00EA57E1" w:rsidRPr="00552EC2">
        <w:t xml:space="preserve"> </w:t>
      </w:r>
      <w:r w:rsidR="006B79C8" w:rsidRPr="00552EC2">
        <w:t xml:space="preserve">dans </w:t>
      </w:r>
      <w:r w:rsidR="009A39DE" w:rsidRPr="00552EC2">
        <w:t>la bande de fréquences</w:t>
      </w:r>
      <w:r w:rsidR="00EA57E1" w:rsidRPr="00552EC2">
        <w:t> </w:t>
      </w:r>
      <w:r w:rsidR="009A39DE" w:rsidRPr="00552EC2">
        <w:t>24,45</w:t>
      </w:r>
      <w:r w:rsidR="00EA57E1" w:rsidRPr="00552EC2">
        <w:noBreakHyphen/>
      </w:r>
      <w:r w:rsidR="009A39DE" w:rsidRPr="00552EC2">
        <w:t xml:space="preserve">27,5 GHz, </w:t>
      </w:r>
      <w:r w:rsidR="006B79C8" w:rsidRPr="00552EC2">
        <w:t xml:space="preserve">les </w:t>
      </w:r>
      <w:r w:rsidR="009A39DE" w:rsidRPr="00552EC2">
        <w:t>discussion</w:t>
      </w:r>
      <w:r w:rsidR="006B79C8" w:rsidRPr="00552EC2">
        <w:t>s</w:t>
      </w:r>
      <w:r w:rsidR="009A39DE" w:rsidRPr="00552EC2">
        <w:t xml:space="preserve"> </w:t>
      </w:r>
      <w:r w:rsidR="006B79C8" w:rsidRPr="00552EC2">
        <w:t>pourront</w:t>
      </w:r>
      <w:r w:rsidR="00EA57E1" w:rsidRPr="00552EC2">
        <w:t xml:space="preserve"> </w:t>
      </w:r>
      <w:r w:rsidR="006B79C8" w:rsidRPr="00552EC2">
        <w:t>porter sur les</w:t>
      </w:r>
      <w:r w:rsidR="009A39DE" w:rsidRPr="00552EC2">
        <w:t xml:space="preserve"> stations IMT </w:t>
      </w:r>
      <w:r w:rsidR="005525D9" w:rsidRPr="00552EC2">
        <w:t>doté</w:t>
      </w:r>
      <w:r w:rsidR="003D7668" w:rsidRPr="00552EC2">
        <w:t>e</w:t>
      </w:r>
      <w:r w:rsidR="005525D9" w:rsidRPr="00552EC2">
        <w:t>s de</w:t>
      </w:r>
      <w:r w:rsidR="009A39DE" w:rsidRPr="00552EC2">
        <w:t xml:space="preserve"> stations AAS </w:t>
      </w:r>
      <w:r w:rsidR="006B79C8" w:rsidRPr="00552EC2">
        <w:t xml:space="preserve">qui </w:t>
      </w:r>
      <w:r w:rsidR="009A39DE" w:rsidRPr="00552EC2">
        <w:t>utilis</w:t>
      </w:r>
      <w:r w:rsidR="006B79C8" w:rsidRPr="00552EC2">
        <w:t>e</w:t>
      </w:r>
      <w:r w:rsidR="009A39DE" w:rsidRPr="00552EC2">
        <w:t>nt</w:t>
      </w:r>
      <w:r w:rsidR="006872CA" w:rsidRPr="00552EC2">
        <w:t xml:space="preserve"> en partage</w:t>
      </w:r>
      <w:r w:rsidR="009A39DE" w:rsidRPr="00552EC2">
        <w:t xml:space="preserve"> d</w:t>
      </w:r>
      <w:r w:rsidR="006E4CC5" w:rsidRPr="00552EC2">
        <w:t>'</w:t>
      </w:r>
      <w:r w:rsidR="009A39DE" w:rsidRPr="00552EC2">
        <w:t>autres bandes de fréquences avec les services spatiaux (Terre vers espace).</w:t>
      </w:r>
    </w:p>
    <w:p w14:paraId="12936313" w14:textId="2C33DF44" w:rsidR="005766A7" w:rsidRPr="00552EC2" w:rsidRDefault="005766A7" w:rsidP="00EA57E1">
      <w:pPr>
        <w:pStyle w:val="enumlev1"/>
      </w:pPr>
      <w:r w:rsidRPr="00552EC2">
        <w:t>–</w:t>
      </w:r>
      <w:r w:rsidRPr="00552EC2">
        <w:tab/>
      </w:r>
      <w:r w:rsidR="00B60DC4" w:rsidRPr="00552EC2">
        <w:t>Compte tenu des</w:t>
      </w:r>
      <w:r w:rsidR="0086208D" w:rsidRPr="00552EC2">
        <w:t xml:space="preserve"> </w:t>
      </w:r>
      <w:r w:rsidR="00B60DC4" w:rsidRPr="00552EC2">
        <w:t xml:space="preserve">innovations technologiques </w:t>
      </w:r>
      <w:r w:rsidR="006B79C8" w:rsidRPr="00552EC2">
        <w:t xml:space="preserve">futures </w:t>
      </w:r>
      <w:r w:rsidR="00B21023" w:rsidRPr="00552EC2">
        <w:t xml:space="preserve">que </w:t>
      </w:r>
      <w:r w:rsidR="00B60DC4" w:rsidRPr="00552EC2">
        <w:t xml:space="preserve">pourraient </w:t>
      </w:r>
      <w:r w:rsidR="00B21023" w:rsidRPr="00552EC2">
        <w:t>connaître les</w:t>
      </w:r>
      <w:r w:rsidR="00B60DC4" w:rsidRPr="00552EC2">
        <w:t xml:space="preserve"> stations IMT </w:t>
      </w:r>
      <w:r w:rsidR="00B21023" w:rsidRPr="00552EC2">
        <w:t>dotées de</w:t>
      </w:r>
      <w:r w:rsidR="00EA57E1" w:rsidRPr="00552EC2">
        <w:t xml:space="preserve"> </w:t>
      </w:r>
      <w:r w:rsidR="00B60DC4" w:rsidRPr="00552EC2">
        <w:t xml:space="preserve">systèmes AAS </w:t>
      </w:r>
      <w:r w:rsidR="00BC3603" w:rsidRPr="00552EC2">
        <w:t xml:space="preserve">fonctionnant au-delà de la limite </w:t>
      </w:r>
      <w:r w:rsidR="00B21023" w:rsidRPr="00552EC2">
        <w:t>de</w:t>
      </w:r>
      <w:r w:rsidR="00BC3603" w:rsidRPr="00552EC2">
        <w:t xml:space="preserve"> </w:t>
      </w:r>
      <w:r w:rsidR="00B60DC4" w:rsidRPr="00552EC2">
        <w:t>+10 dBW p</w:t>
      </w:r>
      <w:r w:rsidR="00ED6B9A" w:rsidRPr="00552EC2">
        <w:t>our une</w:t>
      </w:r>
      <w:r w:rsidR="00B60DC4" w:rsidRPr="00552EC2">
        <w:t xml:space="preserve"> largeur de bande de 200 MHz, </w:t>
      </w:r>
      <w:r w:rsidR="00163CCB" w:rsidRPr="00552EC2">
        <w:t xml:space="preserve">mais </w:t>
      </w:r>
      <w:r w:rsidR="00F25E2D" w:rsidRPr="00552EC2">
        <w:t>avec</w:t>
      </w:r>
      <w:r w:rsidR="00B47649" w:rsidRPr="00552EC2">
        <w:t xml:space="preserve"> des</w:t>
      </w:r>
      <w:r w:rsidR="00163CCB" w:rsidRPr="00552EC2">
        <w:t xml:space="preserve"> brouillages moindres</w:t>
      </w:r>
      <w:r w:rsidR="00B60DC4" w:rsidRPr="00552EC2">
        <w:t xml:space="preserve"> </w:t>
      </w:r>
      <w:r w:rsidR="00BD2EBA" w:rsidRPr="00552EC2">
        <w:t>causés aux</w:t>
      </w:r>
      <w:r w:rsidR="00B60DC4" w:rsidRPr="00552EC2">
        <w:t xml:space="preserve"> récepteurs </w:t>
      </w:r>
      <w:r w:rsidR="00B21023" w:rsidRPr="00552EC2">
        <w:t xml:space="preserve">de </w:t>
      </w:r>
      <w:r w:rsidR="00B60DC4" w:rsidRPr="00552EC2">
        <w:t xml:space="preserve">satellites, on pourrait envisager </w:t>
      </w:r>
      <w:r w:rsidR="00B21023" w:rsidRPr="00552EC2">
        <w:t>d</w:t>
      </w:r>
      <w:r w:rsidR="006E4CC5" w:rsidRPr="00552EC2">
        <w:t>'</w:t>
      </w:r>
      <w:r w:rsidR="00B21023" w:rsidRPr="00552EC2">
        <w:t xml:space="preserve">adopter </w:t>
      </w:r>
      <w:r w:rsidR="00B60DC4" w:rsidRPr="00552EC2">
        <w:t xml:space="preserve">une mesure supplémentaire permettant de notifier ces stations IMT utilisant des stations AAS (par exemple, </w:t>
      </w:r>
      <w:r w:rsidR="00BD2EBA" w:rsidRPr="00552EC2">
        <w:t xml:space="preserve">le </w:t>
      </w:r>
      <w:r w:rsidR="00B60DC4" w:rsidRPr="00552EC2">
        <w:t>gabarit de p.i.r.e. en fonction de l</w:t>
      </w:r>
      <w:r w:rsidR="006E4CC5" w:rsidRPr="00552EC2">
        <w:t>'</w:t>
      </w:r>
      <w:r w:rsidR="00B60DC4" w:rsidRPr="00552EC2">
        <w:t>angle vertical au-dessus de l</w:t>
      </w:r>
      <w:r w:rsidR="006E4CC5" w:rsidRPr="00552EC2">
        <w:t>'</w:t>
      </w:r>
      <w:r w:rsidR="00B60DC4" w:rsidRPr="00552EC2">
        <w:t>horizon).</w:t>
      </w:r>
    </w:p>
    <w:p w14:paraId="5A80FB47" w14:textId="4CA69EAB" w:rsidR="005766A7" w:rsidRPr="00552EC2" w:rsidRDefault="005766A7" w:rsidP="00EA57E1">
      <w:pPr>
        <w:pStyle w:val="Heading1"/>
      </w:pPr>
      <w:r w:rsidRPr="00552EC2">
        <w:t>3</w:t>
      </w:r>
      <w:r w:rsidRPr="00552EC2">
        <w:tab/>
        <w:t>Proposition</w:t>
      </w:r>
    </w:p>
    <w:p w14:paraId="0432A616" w14:textId="3E4B2B53" w:rsidR="005766A7" w:rsidRPr="00552EC2" w:rsidRDefault="00BD2EBA" w:rsidP="00EA57E1">
      <w:r w:rsidRPr="00552EC2">
        <w:t>Compte tenu de ce qui précède et des divergences de vues</w:t>
      </w:r>
      <w:r w:rsidR="00EA57E1" w:rsidRPr="00552EC2">
        <w:t xml:space="preserve"> </w:t>
      </w:r>
      <w:r w:rsidR="00B21023" w:rsidRPr="00552EC2">
        <w:t xml:space="preserve">qui sont apparues </w:t>
      </w:r>
      <w:r w:rsidRPr="00552EC2">
        <w:t>dans les études de l</w:t>
      </w:r>
      <w:r w:rsidR="006E4CC5" w:rsidRPr="00552EC2">
        <w:t>'</w:t>
      </w:r>
      <w:r w:rsidRPr="00552EC2">
        <w:t>UIT-R, le Japon propose la solution suivante pour traiter</w:t>
      </w:r>
      <w:r w:rsidR="00EA57E1" w:rsidRPr="00552EC2">
        <w:t xml:space="preserve"> </w:t>
      </w:r>
      <w:r w:rsidRPr="00552EC2">
        <w:t>les</w:t>
      </w:r>
      <w:r w:rsidR="00EA57E1" w:rsidRPr="00552EC2">
        <w:t xml:space="preserve"> </w:t>
      </w:r>
      <w:r w:rsidR="0065584A" w:rsidRPr="00552EC2">
        <w:t>problèmes évoqués</w:t>
      </w:r>
      <w:r w:rsidR="00EA57E1" w:rsidRPr="00552EC2">
        <w:t xml:space="preserve"> </w:t>
      </w:r>
      <w:r w:rsidRPr="00552EC2">
        <w:t>dans le Document</w:t>
      </w:r>
      <w:r w:rsidR="00EA57E1" w:rsidRPr="00552EC2">
        <w:t> </w:t>
      </w:r>
      <w:r w:rsidRPr="00552EC2">
        <w:t>550 de la CMR-19</w:t>
      </w:r>
      <w:r w:rsidR="0065584A" w:rsidRPr="00552EC2">
        <w:t xml:space="preserve"> lors de</w:t>
      </w:r>
      <w:r w:rsidR="00EA57E1" w:rsidRPr="00552EC2">
        <w:t xml:space="preserve"> </w:t>
      </w:r>
      <w:r w:rsidR="0065584A" w:rsidRPr="00552EC2">
        <w:t>la CMR-23</w:t>
      </w:r>
      <w:r w:rsidRPr="00552EC2">
        <w:t>.</w:t>
      </w:r>
    </w:p>
    <w:p w14:paraId="6DB53DE7" w14:textId="1ACEB036" w:rsidR="005766A7" w:rsidRPr="00552EC2" w:rsidRDefault="005766A7" w:rsidP="00EA57E1">
      <w:pPr>
        <w:pStyle w:val="enumlev1"/>
        <w:keepNext/>
        <w:keepLines/>
      </w:pPr>
      <w:r w:rsidRPr="00552EC2">
        <w:lastRenderedPageBreak/>
        <w:t>–</w:t>
      </w:r>
      <w:r w:rsidRPr="00552EC2">
        <w:tab/>
      </w:r>
      <w:r w:rsidR="00D912C9" w:rsidRPr="00552EC2">
        <w:t>Outre les</w:t>
      </w:r>
      <w:r w:rsidR="00732999" w:rsidRPr="00552EC2">
        <w:t xml:space="preserve"> procédures existantes relatives à la vérification et à la notification des stations concernant la puissance fournie à l</w:t>
      </w:r>
      <w:r w:rsidR="006E4CC5" w:rsidRPr="00552EC2">
        <w:t>'</w:t>
      </w:r>
      <w:r w:rsidR="00732999" w:rsidRPr="00552EC2">
        <w:t>antenne (c</w:t>
      </w:r>
      <w:r w:rsidR="006E4CC5" w:rsidRPr="00552EC2">
        <w:t>'</w:t>
      </w:r>
      <w:r w:rsidR="00732999" w:rsidRPr="00552EC2">
        <w:t>est-à-dire</w:t>
      </w:r>
      <w:r w:rsidR="00EA57E1" w:rsidRPr="00552EC2">
        <w:t xml:space="preserve"> </w:t>
      </w:r>
      <w:r w:rsidR="00732999" w:rsidRPr="00552EC2">
        <w:t>la puissance transmise)</w:t>
      </w:r>
      <w:r w:rsidR="00EA57E1" w:rsidRPr="00552EC2">
        <w:t xml:space="preserve"> </w:t>
      </w:r>
      <w:r w:rsidR="0065584A" w:rsidRPr="00552EC2">
        <w:t xml:space="preserve">dont il est question </w:t>
      </w:r>
      <w:r w:rsidR="00732999" w:rsidRPr="00552EC2">
        <w:t xml:space="preserve">au numéro </w:t>
      </w:r>
      <w:r w:rsidR="00732999" w:rsidRPr="00552EC2">
        <w:rPr>
          <w:b/>
          <w:bCs/>
        </w:rPr>
        <w:t>21.5</w:t>
      </w:r>
      <w:r w:rsidR="00732999" w:rsidRPr="00552EC2">
        <w:t xml:space="preserve"> du RR, la TRP (c</w:t>
      </w:r>
      <w:r w:rsidR="006E4CC5" w:rsidRPr="00552EC2">
        <w:t>'</w:t>
      </w:r>
      <w:r w:rsidR="00732999" w:rsidRPr="00552EC2">
        <w:t>est-à-dire</w:t>
      </w:r>
      <w:r w:rsidR="00EA57E1" w:rsidRPr="00552EC2">
        <w:t xml:space="preserve"> </w:t>
      </w:r>
      <w:r w:rsidR="00FC3D41" w:rsidRPr="00552EC2">
        <w:t>l</w:t>
      </w:r>
      <w:r w:rsidR="006E4CC5" w:rsidRPr="00552EC2">
        <w:t>'</w:t>
      </w:r>
      <w:r w:rsidR="00FC3D41" w:rsidRPr="00552EC2">
        <w:t>intégrale de la puissance émise par tous les éléments d</w:t>
      </w:r>
      <w:r w:rsidR="0065584A" w:rsidRPr="00552EC2">
        <w:t>e l</w:t>
      </w:r>
      <w:r w:rsidR="006E4CC5" w:rsidRPr="00552EC2">
        <w:t>'</w:t>
      </w:r>
      <w:r w:rsidR="00FC3D41" w:rsidRPr="00552EC2">
        <w:t>antenne dans différentes directions couvrant la totalité de la sphère de rayonnement</w:t>
      </w:r>
      <w:r w:rsidR="00732999" w:rsidRPr="00552EC2">
        <w:t xml:space="preserve">) peut être utilisée </w:t>
      </w:r>
      <w:r w:rsidR="00E64CC8" w:rsidRPr="00552EC2">
        <w:t>en tant que</w:t>
      </w:r>
      <w:r w:rsidR="00732999" w:rsidRPr="00552EC2">
        <w:t xml:space="preserve"> valeur équivalente de la puissance transmise dans la notification </w:t>
      </w:r>
      <w:r w:rsidR="0065584A" w:rsidRPr="00552EC2">
        <w:t xml:space="preserve">des </w:t>
      </w:r>
      <w:r w:rsidR="00732999" w:rsidRPr="00552EC2">
        <w:t>assignation</w:t>
      </w:r>
      <w:r w:rsidR="0065584A" w:rsidRPr="00552EC2">
        <w:t>s</w:t>
      </w:r>
      <w:r w:rsidR="00732999" w:rsidRPr="00552EC2">
        <w:t xml:space="preserve"> de fréquence d</w:t>
      </w:r>
      <w:r w:rsidR="006E4CC5" w:rsidRPr="00552EC2">
        <w:t>'</w:t>
      </w:r>
      <w:r w:rsidR="00732999" w:rsidRPr="00552EC2">
        <w:t xml:space="preserve">une station IMT utilisant </w:t>
      </w:r>
      <w:r w:rsidR="00FC3D41" w:rsidRPr="00552EC2">
        <w:t>un</w:t>
      </w:r>
      <w:r w:rsidR="00732999" w:rsidRPr="00552EC2">
        <w:t xml:space="preserve"> système AAS.</w:t>
      </w:r>
    </w:p>
    <w:p w14:paraId="35135F5E" w14:textId="5CEBEA52" w:rsidR="005766A7" w:rsidRPr="00552EC2" w:rsidRDefault="005766A7" w:rsidP="00EA57E1">
      <w:pPr>
        <w:pStyle w:val="enumlev1"/>
      </w:pPr>
      <w:r w:rsidRPr="00552EC2">
        <w:t>–</w:t>
      </w:r>
      <w:r w:rsidRPr="00552EC2">
        <w:tab/>
      </w:r>
      <w:r w:rsidR="00FC3D41" w:rsidRPr="00552EC2">
        <w:t>Lorsque l</w:t>
      </w:r>
      <w:r w:rsidR="006E4CC5" w:rsidRPr="00552EC2">
        <w:t>'</w:t>
      </w:r>
      <w:r w:rsidR="00FC3D41" w:rsidRPr="00552EC2">
        <w:t xml:space="preserve">élément de données 8AA est indiqué en tant que TRP pour les stations IMT dans la bande de fréquences 24,45-27,5 GHz, </w:t>
      </w:r>
      <w:r w:rsidR="0065584A" w:rsidRPr="00552EC2">
        <w:t xml:space="preserve">la formule </w:t>
      </w:r>
      <w:r w:rsidR="00FC3D41" w:rsidRPr="00552EC2">
        <w:t>suivante est appliquée</w:t>
      </w:r>
      <w:r w:rsidR="00EA57E1" w:rsidRPr="00552EC2">
        <w:t xml:space="preserve"> </w:t>
      </w:r>
      <w:r w:rsidR="0065584A" w:rsidRPr="00552EC2">
        <w:t>lors de l</w:t>
      </w:r>
      <w:r w:rsidR="006E4CC5" w:rsidRPr="00552EC2">
        <w:t>'</w:t>
      </w:r>
      <w:r w:rsidR="0065584A" w:rsidRPr="00552EC2">
        <w:t>évaluation de</w:t>
      </w:r>
      <w:r w:rsidR="00FC3D41" w:rsidRPr="00552EC2">
        <w:t xml:space="preserve"> la conformité </w:t>
      </w:r>
      <w:r w:rsidR="003C54AE" w:rsidRPr="00552EC2">
        <w:t>à</w:t>
      </w:r>
      <w:r w:rsidR="00FC3D41" w:rsidRPr="00552EC2">
        <w:t xml:space="preserve"> la limite </w:t>
      </w:r>
      <w:r w:rsidR="0065584A" w:rsidRPr="00552EC2">
        <w:t>de</w:t>
      </w:r>
      <w:r w:rsidR="00EA57E1" w:rsidRPr="00552EC2">
        <w:t xml:space="preserve"> </w:t>
      </w:r>
      <w:r w:rsidR="00FC3D41" w:rsidRPr="00552EC2">
        <w:t>«+10 dBW»</w:t>
      </w:r>
      <w:r w:rsidR="00EA57E1" w:rsidRPr="00552EC2">
        <w:t xml:space="preserve"> </w:t>
      </w:r>
      <w:r w:rsidR="0065584A" w:rsidRPr="00552EC2">
        <w:t>prescrite</w:t>
      </w:r>
      <w:r w:rsidR="00EA57E1" w:rsidRPr="00552EC2">
        <w:t xml:space="preserve"> </w:t>
      </w:r>
      <w:r w:rsidR="00FC3D41" w:rsidRPr="00552EC2">
        <w:t xml:space="preserve">au numéro </w:t>
      </w:r>
      <w:r w:rsidR="00FC3D41" w:rsidRPr="00552EC2">
        <w:rPr>
          <w:b/>
          <w:bCs/>
        </w:rPr>
        <w:t>21.5</w:t>
      </w:r>
      <w:r w:rsidR="00FC3D41" w:rsidRPr="00552EC2">
        <w:t xml:space="preserve"> du RR.</w:t>
      </w:r>
    </w:p>
    <w:p w14:paraId="6CBC515E" w14:textId="77777777" w:rsidR="00486316" w:rsidRPr="00552EC2" w:rsidRDefault="005766A7" w:rsidP="00EA57E1">
      <w:pPr>
        <w:pStyle w:val="Equation"/>
      </w:pPr>
      <w:r w:rsidRPr="00552EC2">
        <w:tab/>
      </w:r>
      <w:r w:rsidRPr="00552EC2"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</w:rPr>
          <m:t>- 10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BW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200</m:t>
                    </m:r>
                  </m:den>
                </m:f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 xml:space="preserve">≤10 </m:t>
        </m:r>
        <m:r>
          <w:rPr>
            <w:rFonts w:ascii="Cambria Math" w:hAnsi="Cambria Math"/>
          </w:rPr>
          <m:t>dBW</m:t>
        </m:r>
      </m:oMath>
    </w:p>
    <w:p w14:paraId="2C8C2A53" w14:textId="52A973C2" w:rsidR="005766A7" w:rsidRPr="00552EC2" w:rsidRDefault="00486316" w:rsidP="006E4CC5">
      <w:pPr>
        <w:pStyle w:val="NormalIndent"/>
      </w:pPr>
      <w:r w:rsidRPr="00552EC2">
        <w:t>où P est la valeur de</w:t>
      </w:r>
      <w:r w:rsidR="00EA57E1" w:rsidRPr="00552EC2">
        <w:t xml:space="preserve"> </w:t>
      </w:r>
      <w:r w:rsidR="0065584A" w:rsidRPr="00552EC2">
        <w:t xml:space="preserve">la </w:t>
      </w:r>
      <w:r w:rsidRPr="00552EC2">
        <w:t xml:space="preserve">TRP en dBW notifiée </w:t>
      </w:r>
      <w:r w:rsidR="0065584A" w:rsidRPr="00552EC2">
        <w:t>dans</w:t>
      </w:r>
      <w:r w:rsidR="00EA57E1" w:rsidRPr="00552EC2">
        <w:t xml:space="preserve"> </w:t>
      </w:r>
      <w:r w:rsidRPr="00552EC2">
        <w:t>l</w:t>
      </w:r>
      <w:r w:rsidR="006E4CC5" w:rsidRPr="00552EC2">
        <w:t>'</w:t>
      </w:r>
      <w:r w:rsidRPr="00552EC2">
        <w:t>élément de données 8AA et BW est la largeur de bande nécessaire de</w:t>
      </w:r>
      <w:r w:rsidR="0065584A" w:rsidRPr="00552EC2">
        <w:t>s</w:t>
      </w:r>
      <w:r w:rsidRPr="00552EC2">
        <w:t xml:space="preserve"> émission</w:t>
      </w:r>
      <w:r w:rsidR="0065584A" w:rsidRPr="00552EC2">
        <w:t>s</w:t>
      </w:r>
      <w:r w:rsidRPr="00552EC2">
        <w:t xml:space="preserve"> de la station IMT en MHz</w:t>
      </w:r>
      <w:r w:rsidR="007513FE" w:rsidRPr="00552EC2">
        <w:t>,</w:t>
      </w:r>
      <w:r w:rsidRPr="00552EC2">
        <w:t xml:space="preserve"> notifiée</w:t>
      </w:r>
      <w:r w:rsidR="00EA57E1" w:rsidRPr="00552EC2">
        <w:t xml:space="preserve"> </w:t>
      </w:r>
      <w:r w:rsidR="0065584A" w:rsidRPr="00552EC2">
        <w:t>dans</w:t>
      </w:r>
      <w:r w:rsidRPr="00552EC2">
        <w:t xml:space="preserve"> l</w:t>
      </w:r>
      <w:r w:rsidR="006E4CC5" w:rsidRPr="00552EC2">
        <w:t>'</w:t>
      </w:r>
      <w:r w:rsidRPr="00552EC2">
        <w:t>élément de données 7AB du Tableau 1 de l</w:t>
      </w:r>
      <w:r w:rsidR="006E4CC5" w:rsidRPr="00552EC2">
        <w:t>'</w:t>
      </w:r>
      <w:r w:rsidRPr="00552EC2">
        <w:t xml:space="preserve">Appendice </w:t>
      </w:r>
      <w:r w:rsidRPr="00552EC2">
        <w:rPr>
          <w:b/>
          <w:bCs/>
        </w:rPr>
        <w:t>4</w:t>
      </w:r>
      <w:r w:rsidRPr="00552EC2">
        <w:t xml:space="preserve"> du RR, respectivement. Les administrations notificatrices sont priées d</w:t>
      </w:r>
      <w:r w:rsidR="006E4CC5" w:rsidRPr="00552EC2">
        <w:t>'</w:t>
      </w:r>
      <w:r w:rsidRPr="00552EC2">
        <w:t>indiquer si l</w:t>
      </w:r>
      <w:r w:rsidR="006E4CC5" w:rsidRPr="00552EC2">
        <w:t>'</w:t>
      </w:r>
      <w:r w:rsidRPr="00552EC2">
        <w:t>élément de données 8AA est indiqué en tant que TRP, afin d</w:t>
      </w:r>
      <w:r w:rsidR="006E4CC5" w:rsidRPr="00552EC2">
        <w:t>'</w:t>
      </w:r>
      <w:r w:rsidRPr="00552EC2">
        <w:t>appliquer cette</w:t>
      </w:r>
      <w:r w:rsidR="00EA57E1" w:rsidRPr="00552EC2">
        <w:t xml:space="preserve"> </w:t>
      </w:r>
      <w:r w:rsidR="0065584A" w:rsidRPr="00552EC2">
        <w:t>formule</w:t>
      </w:r>
      <w:r w:rsidRPr="00552EC2">
        <w:t>, le cas échéant.</w:t>
      </w:r>
    </w:p>
    <w:p w14:paraId="134C670F" w14:textId="35A4D744" w:rsidR="005766A7" w:rsidRPr="00552EC2" w:rsidRDefault="00486316" w:rsidP="00EA57E1">
      <w:r w:rsidRPr="00552EC2">
        <w:t xml:space="preserve">Si cette solution, </w:t>
      </w:r>
      <w:r w:rsidR="007513FE" w:rsidRPr="00552EC2">
        <w:t>y compris</w:t>
      </w:r>
      <w:r w:rsidR="002072AD" w:rsidRPr="00552EC2">
        <w:t xml:space="preserve"> moyennant quelques ajustements,</w:t>
      </w:r>
      <w:r w:rsidRPr="00552EC2">
        <w:t xml:space="preserve"> </w:t>
      </w:r>
      <w:r w:rsidR="0065584A" w:rsidRPr="00552EC2">
        <w:t>est retenue par</w:t>
      </w:r>
      <w:r w:rsidR="00EF10BE" w:rsidRPr="00552EC2">
        <w:t xml:space="preserve"> la</w:t>
      </w:r>
      <w:r w:rsidRPr="00552EC2">
        <w:t xml:space="preserve"> </w:t>
      </w:r>
      <w:r w:rsidR="00EF10BE" w:rsidRPr="00552EC2">
        <w:t>C</w:t>
      </w:r>
      <w:r w:rsidRPr="00552EC2">
        <w:t>onférence,</w:t>
      </w:r>
      <w:r w:rsidR="00EA57E1" w:rsidRPr="00552EC2">
        <w:t xml:space="preserve"> </w:t>
      </w:r>
      <w:r w:rsidR="0065584A" w:rsidRPr="00552EC2">
        <w:t>elle pourra être</w:t>
      </w:r>
      <w:r w:rsidR="002072AD" w:rsidRPr="00552EC2">
        <w:t xml:space="preserve"> consign</w:t>
      </w:r>
      <w:r w:rsidR="0065584A" w:rsidRPr="00552EC2">
        <w:t>ée</w:t>
      </w:r>
      <w:r w:rsidR="00EA57E1" w:rsidRPr="00552EC2">
        <w:t xml:space="preserve"> </w:t>
      </w:r>
      <w:r w:rsidR="0065584A" w:rsidRPr="00552EC2">
        <w:t>au</w:t>
      </w:r>
      <w:r w:rsidR="00EA57E1" w:rsidRPr="00552EC2">
        <w:t xml:space="preserve"> </w:t>
      </w:r>
      <w:r w:rsidRPr="00552EC2">
        <w:t xml:space="preserve">procès-verbal de la plénière en tant que décision de la CMR-23, qui servira à élaborer </w:t>
      </w:r>
      <w:r w:rsidR="0065584A" w:rsidRPr="00552EC2">
        <w:t xml:space="preserve">en conséquence </w:t>
      </w:r>
      <w:r w:rsidRPr="00552EC2">
        <w:t>une Règle de procédure</w:t>
      </w:r>
      <w:r w:rsidR="00EA57E1" w:rsidRPr="00552EC2">
        <w:t xml:space="preserve"> </w:t>
      </w:r>
      <w:r w:rsidR="00387B96" w:rsidRPr="00552EC2">
        <w:t>De plus</w:t>
      </w:r>
      <w:r w:rsidRPr="00552EC2">
        <w:t>, cette solution</w:t>
      </w:r>
      <w:r w:rsidR="00EA57E1" w:rsidRPr="00552EC2">
        <w:t xml:space="preserve"> </w:t>
      </w:r>
      <w:r w:rsidR="0065584A" w:rsidRPr="00552EC2">
        <w:t>pourra</w:t>
      </w:r>
      <w:r w:rsidR="00EA57E1" w:rsidRPr="00552EC2">
        <w:t xml:space="preserve"> </w:t>
      </w:r>
      <w:r w:rsidR="0065584A" w:rsidRPr="00552EC2">
        <w:t>faire l</w:t>
      </w:r>
      <w:r w:rsidR="006E4CC5" w:rsidRPr="00552EC2">
        <w:t>'</w:t>
      </w:r>
      <w:r w:rsidR="0065584A" w:rsidRPr="00552EC2">
        <w:t>objet d</w:t>
      </w:r>
      <w:r w:rsidR="006E4CC5" w:rsidRPr="00552EC2">
        <w:t>'</w:t>
      </w:r>
      <w:r w:rsidRPr="00552EC2">
        <w:t>une nouvelle Note relative à l</w:t>
      </w:r>
      <w:r w:rsidR="006E4CC5" w:rsidRPr="00552EC2">
        <w:t>'</w:t>
      </w:r>
      <w:r w:rsidRPr="00552EC2">
        <w:t xml:space="preserve">élément de données 8AA </w:t>
      </w:r>
      <w:r w:rsidR="00FF6429" w:rsidRPr="00552EC2">
        <w:t xml:space="preserve">du </w:t>
      </w:r>
      <w:r w:rsidRPr="00552EC2">
        <w:t>Tableau 1 de l</w:t>
      </w:r>
      <w:r w:rsidR="006E4CC5" w:rsidRPr="00552EC2">
        <w:t>'</w:t>
      </w:r>
      <w:r w:rsidRPr="00552EC2">
        <w:t xml:space="preserve">Appendice </w:t>
      </w:r>
      <w:r w:rsidRPr="00552EC2">
        <w:rPr>
          <w:b/>
          <w:bCs/>
        </w:rPr>
        <w:t>4</w:t>
      </w:r>
      <w:r w:rsidRPr="00552EC2">
        <w:t xml:space="preserve"> du RR, </w:t>
      </w:r>
      <w:r w:rsidR="00B20E27" w:rsidRPr="00552EC2">
        <w:t xml:space="preserve">sans </w:t>
      </w:r>
      <w:r w:rsidR="00FD0CA7" w:rsidRPr="00552EC2">
        <w:t xml:space="preserve">apporter de modification </w:t>
      </w:r>
      <w:r w:rsidR="00EA74D8" w:rsidRPr="00552EC2">
        <w:t>(</w:t>
      </w:r>
      <w:r w:rsidR="00EA74D8" w:rsidRPr="00552EC2">
        <w:rPr>
          <w:u w:val="single"/>
        </w:rPr>
        <w:t>NOC</w:t>
      </w:r>
      <w:r w:rsidR="00EA74D8" w:rsidRPr="00552EC2">
        <w:t xml:space="preserve">) </w:t>
      </w:r>
      <w:r w:rsidR="00FD0CA7" w:rsidRPr="00552EC2">
        <w:t xml:space="preserve">à </w:t>
      </w:r>
      <w:r w:rsidR="00B20E27" w:rsidRPr="00552EC2">
        <w:t>l</w:t>
      </w:r>
      <w:r w:rsidR="006E4CC5" w:rsidRPr="00552EC2">
        <w:t>'</w:t>
      </w:r>
      <w:r w:rsidR="00B20E27" w:rsidRPr="00552EC2">
        <w:t xml:space="preserve">Article </w:t>
      </w:r>
      <w:r w:rsidR="00B20E27" w:rsidRPr="00552EC2">
        <w:rPr>
          <w:b/>
          <w:bCs/>
        </w:rPr>
        <w:t>21</w:t>
      </w:r>
      <w:r w:rsidR="00B20E27" w:rsidRPr="00552EC2">
        <w:t xml:space="preserve"> du RR. </w:t>
      </w:r>
    </w:p>
    <w:p w14:paraId="343A9795" w14:textId="46D5F496" w:rsidR="005766A7" w:rsidRPr="00552EC2" w:rsidRDefault="005766A7" w:rsidP="00EA57E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52EC2">
        <w:br w:type="page"/>
      </w:r>
    </w:p>
    <w:p w14:paraId="6F72F0BA" w14:textId="7B923EC7" w:rsidR="0013723B" w:rsidRPr="00552EC2" w:rsidRDefault="005B7CFE" w:rsidP="00EA57E1">
      <w:pPr>
        <w:pStyle w:val="Proposal"/>
      </w:pPr>
      <w:r w:rsidRPr="00552EC2">
        <w:lastRenderedPageBreak/>
        <w:tab/>
        <w:t>J/99A24/1</w:t>
      </w:r>
    </w:p>
    <w:p w14:paraId="347F4850" w14:textId="39AA65A4" w:rsidR="005766A7" w:rsidRPr="00552EC2" w:rsidRDefault="00E52EE0" w:rsidP="00EA57E1">
      <w:r w:rsidRPr="00552EC2">
        <w:t xml:space="preserve">Compte tenu des </w:t>
      </w:r>
      <w:r w:rsidR="0065584A" w:rsidRPr="00552EC2">
        <w:t>divergences de vues qui se sont fait jour</w:t>
      </w:r>
      <w:r w:rsidR="006E4CC5" w:rsidRPr="00552EC2">
        <w:t xml:space="preserve"> </w:t>
      </w:r>
      <w:r w:rsidRPr="00552EC2">
        <w:t>dans les études de l</w:t>
      </w:r>
      <w:r w:rsidR="006E4CC5" w:rsidRPr="00552EC2">
        <w:t>'</w:t>
      </w:r>
      <w:r w:rsidRPr="00552EC2">
        <w:t>UIT-R concernant le Document 550 de la CMR-19, la solution suivante est proposée.</w:t>
      </w:r>
    </w:p>
    <w:p w14:paraId="645CEC2C" w14:textId="55094718" w:rsidR="005766A7" w:rsidRPr="00552EC2" w:rsidRDefault="005766A7" w:rsidP="006E4CC5">
      <w:pPr>
        <w:pStyle w:val="enumlev1"/>
      </w:pPr>
      <w:r w:rsidRPr="00552EC2">
        <w:t>–</w:t>
      </w:r>
      <w:r w:rsidRPr="00552EC2">
        <w:tab/>
      </w:r>
      <w:r w:rsidR="00E52EE0" w:rsidRPr="00552EC2">
        <w:t>Outre les procédures existantes relatives à la vérification et à la notification des stations concernant la puissance fournie à l</w:t>
      </w:r>
      <w:r w:rsidR="006E4CC5" w:rsidRPr="00552EC2">
        <w:t>'</w:t>
      </w:r>
      <w:r w:rsidR="00E52EE0" w:rsidRPr="00552EC2">
        <w:t>antenne (c</w:t>
      </w:r>
      <w:r w:rsidR="006E4CC5" w:rsidRPr="00552EC2">
        <w:t>'</w:t>
      </w:r>
      <w:r w:rsidR="00E52EE0" w:rsidRPr="00552EC2">
        <w:t>est-à-dire</w:t>
      </w:r>
      <w:r w:rsidR="006E4CC5" w:rsidRPr="00552EC2">
        <w:t xml:space="preserve"> </w:t>
      </w:r>
      <w:r w:rsidR="00E52EE0" w:rsidRPr="00552EC2">
        <w:t xml:space="preserve">la puissance transmise) </w:t>
      </w:r>
      <w:r w:rsidR="0065584A" w:rsidRPr="00552EC2">
        <w:t xml:space="preserve">dont il est question </w:t>
      </w:r>
      <w:r w:rsidR="00E52EE0" w:rsidRPr="00552EC2">
        <w:t xml:space="preserve">au numéro </w:t>
      </w:r>
      <w:r w:rsidR="00E52EE0" w:rsidRPr="00552EC2">
        <w:rPr>
          <w:b/>
          <w:bCs/>
        </w:rPr>
        <w:t>21.5</w:t>
      </w:r>
      <w:r w:rsidR="00E52EE0" w:rsidRPr="00552EC2">
        <w:t xml:space="preserve"> du RR, la TRP (c</w:t>
      </w:r>
      <w:r w:rsidR="006E4CC5" w:rsidRPr="00552EC2">
        <w:t>'</w:t>
      </w:r>
      <w:r w:rsidR="00E52EE0" w:rsidRPr="00552EC2">
        <w:t>est-à-dire</w:t>
      </w:r>
      <w:r w:rsidR="0065584A" w:rsidRPr="00552EC2">
        <w:t xml:space="preserve"> </w:t>
      </w:r>
      <w:r w:rsidR="00E52EE0" w:rsidRPr="00552EC2">
        <w:t>l</w:t>
      </w:r>
      <w:r w:rsidR="006E4CC5" w:rsidRPr="00552EC2">
        <w:t>'</w:t>
      </w:r>
      <w:r w:rsidR="00E52EE0" w:rsidRPr="00552EC2">
        <w:t>intégrale de la puissance émise par tous les éléments d</w:t>
      </w:r>
      <w:r w:rsidR="0065584A" w:rsidRPr="00552EC2">
        <w:t>e l</w:t>
      </w:r>
      <w:r w:rsidR="006E4CC5" w:rsidRPr="00552EC2">
        <w:t>'</w:t>
      </w:r>
      <w:r w:rsidR="00E52EE0" w:rsidRPr="00552EC2">
        <w:t xml:space="preserve">antenne dans différentes directions couvrant la totalité de la sphère de rayonnement) peut être utilisée en tant que valeur équivalente de la puissance transmise dans la notification </w:t>
      </w:r>
      <w:r w:rsidR="0065584A" w:rsidRPr="00552EC2">
        <w:t xml:space="preserve">des </w:t>
      </w:r>
      <w:r w:rsidR="00E52EE0" w:rsidRPr="00552EC2">
        <w:t>assignation</w:t>
      </w:r>
      <w:r w:rsidR="0065584A" w:rsidRPr="00552EC2">
        <w:t>s</w:t>
      </w:r>
      <w:r w:rsidR="00E52EE0" w:rsidRPr="00552EC2">
        <w:t xml:space="preserve"> de fréquence d</w:t>
      </w:r>
      <w:r w:rsidR="006E4CC5" w:rsidRPr="00552EC2">
        <w:t>'</w:t>
      </w:r>
      <w:r w:rsidR="00E52EE0" w:rsidRPr="00552EC2">
        <w:t>une station IMT utilisant un système AAS.</w:t>
      </w:r>
    </w:p>
    <w:p w14:paraId="05D81C14" w14:textId="3D0E5C22" w:rsidR="00E52EE0" w:rsidRPr="00552EC2" w:rsidRDefault="005766A7" w:rsidP="006E4CC5">
      <w:pPr>
        <w:pStyle w:val="enumlev1"/>
      </w:pPr>
      <w:r w:rsidRPr="00552EC2">
        <w:t>–</w:t>
      </w:r>
      <w:r w:rsidRPr="00552EC2">
        <w:tab/>
      </w:r>
      <w:r w:rsidR="00E52EE0" w:rsidRPr="00552EC2">
        <w:t>Lorsque l</w:t>
      </w:r>
      <w:r w:rsidR="006E4CC5" w:rsidRPr="00552EC2">
        <w:t>'</w:t>
      </w:r>
      <w:r w:rsidR="00E52EE0" w:rsidRPr="00552EC2">
        <w:t xml:space="preserve">élément de données 8AA est indiqué en tant que TRP pour les stations IMT dans la bande de fréquences 24,45-27,5 GHz, </w:t>
      </w:r>
      <w:r w:rsidR="0065584A" w:rsidRPr="00552EC2">
        <w:t xml:space="preserve">la formule </w:t>
      </w:r>
      <w:r w:rsidR="00E52EE0" w:rsidRPr="00552EC2">
        <w:t xml:space="preserve">suivante est appliquée </w:t>
      </w:r>
      <w:r w:rsidR="0065584A" w:rsidRPr="00552EC2">
        <w:t>lors de l</w:t>
      </w:r>
      <w:r w:rsidR="006E4CC5" w:rsidRPr="00552EC2">
        <w:t>'</w:t>
      </w:r>
      <w:r w:rsidR="0065584A" w:rsidRPr="00552EC2">
        <w:t xml:space="preserve">évaluation de </w:t>
      </w:r>
      <w:r w:rsidR="00E52EE0" w:rsidRPr="00552EC2">
        <w:t>la conformité à la limite</w:t>
      </w:r>
      <w:r w:rsidR="006E4CC5" w:rsidRPr="00552EC2">
        <w:t xml:space="preserve"> </w:t>
      </w:r>
      <w:r w:rsidR="0065584A" w:rsidRPr="00552EC2">
        <w:t>de</w:t>
      </w:r>
      <w:r w:rsidR="00E52EE0" w:rsidRPr="00552EC2">
        <w:t xml:space="preserve"> «+10 dBW»</w:t>
      </w:r>
      <w:r w:rsidR="006E4CC5" w:rsidRPr="00552EC2">
        <w:t xml:space="preserve"> </w:t>
      </w:r>
      <w:r w:rsidR="0065584A" w:rsidRPr="00552EC2">
        <w:t>prescrite</w:t>
      </w:r>
      <w:r w:rsidR="00E52EE0" w:rsidRPr="00552EC2">
        <w:t xml:space="preserve"> au numéro </w:t>
      </w:r>
      <w:r w:rsidR="00E52EE0" w:rsidRPr="00552EC2">
        <w:rPr>
          <w:b/>
          <w:bCs/>
        </w:rPr>
        <w:t>21.5</w:t>
      </w:r>
      <w:r w:rsidR="00E52EE0" w:rsidRPr="00552EC2">
        <w:t xml:space="preserve"> du</w:t>
      </w:r>
      <w:r w:rsidR="006E4CC5" w:rsidRPr="00552EC2">
        <w:t> </w:t>
      </w:r>
      <w:r w:rsidR="00E52EE0" w:rsidRPr="00552EC2">
        <w:t>RR.</w:t>
      </w:r>
    </w:p>
    <w:p w14:paraId="4EB9D7D9" w14:textId="77777777" w:rsidR="00E52EE0" w:rsidRPr="00552EC2" w:rsidRDefault="00E52EE0" w:rsidP="00EA57E1">
      <w:pPr>
        <w:pStyle w:val="Equation"/>
      </w:pPr>
      <w:r w:rsidRPr="00552EC2">
        <w:tab/>
      </w:r>
      <w:r w:rsidRPr="00552EC2"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</w:rPr>
          <m:t>- 10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BW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200</m:t>
                    </m:r>
                  </m:den>
                </m:f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 xml:space="preserve">≤10 </m:t>
        </m:r>
        <m:r>
          <w:rPr>
            <w:rFonts w:ascii="Cambria Math" w:hAnsi="Cambria Math"/>
          </w:rPr>
          <m:t>dBW</m:t>
        </m:r>
      </m:oMath>
    </w:p>
    <w:p w14:paraId="6108FE31" w14:textId="3C6563B1" w:rsidR="005766A7" w:rsidRPr="00552EC2" w:rsidRDefault="00E52EE0" w:rsidP="006E4CC5">
      <w:pPr>
        <w:pStyle w:val="NormalIndent"/>
      </w:pPr>
      <w:r w:rsidRPr="00552EC2">
        <w:t xml:space="preserve">où P est la valeur de </w:t>
      </w:r>
      <w:r w:rsidR="008546A0" w:rsidRPr="00552EC2">
        <w:t xml:space="preserve">la </w:t>
      </w:r>
      <w:r w:rsidRPr="00552EC2">
        <w:t xml:space="preserve">TRP en dBW notifiée </w:t>
      </w:r>
      <w:r w:rsidR="008546A0" w:rsidRPr="00552EC2">
        <w:t>dans</w:t>
      </w:r>
      <w:r w:rsidR="006E4CC5" w:rsidRPr="00552EC2">
        <w:t xml:space="preserve"> </w:t>
      </w:r>
      <w:r w:rsidRPr="00552EC2">
        <w:t>l</w:t>
      </w:r>
      <w:r w:rsidR="006E4CC5" w:rsidRPr="00552EC2">
        <w:t>'</w:t>
      </w:r>
      <w:r w:rsidRPr="00552EC2">
        <w:t>élément de données 8AA et BW est la largeur de bande nécessaire de</w:t>
      </w:r>
      <w:r w:rsidR="008546A0" w:rsidRPr="00552EC2">
        <w:t>s</w:t>
      </w:r>
      <w:r w:rsidRPr="00552EC2">
        <w:t xml:space="preserve"> émission</w:t>
      </w:r>
      <w:r w:rsidR="008546A0" w:rsidRPr="00552EC2">
        <w:t>s</w:t>
      </w:r>
      <w:r w:rsidRPr="00552EC2">
        <w:t xml:space="preserve"> de la station IMT en MHz, notifiée </w:t>
      </w:r>
      <w:r w:rsidR="008546A0" w:rsidRPr="00552EC2">
        <w:t>dans</w:t>
      </w:r>
      <w:r w:rsidR="006E4CC5" w:rsidRPr="00552EC2">
        <w:t xml:space="preserve"> </w:t>
      </w:r>
      <w:r w:rsidRPr="00552EC2">
        <w:t>l</w:t>
      </w:r>
      <w:r w:rsidR="006E4CC5" w:rsidRPr="00552EC2">
        <w:t>'</w:t>
      </w:r>
      <w:r w:rsidRPr="00552EC2">
        <w:t>élément de données 7AB du Tableau 1 de l</w:t>
      </w:r>
      <w:r w:rsidR="006E4CC5" w:rsidRPr="00552EC2">
        <w:t>'</w:t>
      </w:r>
      <w:r w:rsidRPr="00552EC2">
        <w:t xml:space="preserve">Appendice </w:t>
      </w:r>
      <w:r w:rsidRPr="00552EC2">
        <w:rPr>
          <w:b/>
          <w:bCs/>
        </w:rPr>
        <w:t>4</w:t>
      </w:r>
      <w:r w:rsidRPr="00552EC2">
        <w:t xml:space="preserve"> du RR, respectivement. Afin d</w:t>
      </w:r>
      <w:r w:rsidR="006E4CC5" w:rsidRPr="00552EC2">
        <w:t>'</w:t>
      </w:r>
      <w:r w:rsidRPr="00552EC2">
        <w:t xml:space="preserve">appliquer cette </w:t>
      </w:r>
      <w:r w:rsidR="008546A0" w:rsidRPr="00552EC2">
        <w:t>formule</w:t>
      </w:r>
      <w:r w:rsidRPr="00552EC2">
        <w:t>, les administrations notificatrices sont priées de préciser si l</w:t>
      </w:r>
      <w:r w:rsidR="006E4CC5" w:rsidRPr="00552EC2">
        <w:t>'</w:t>
      </w:r>
      <w:r w:rsidRPr="00552EC2">
        <w:t>élément de données 8AA est indiqué en tant que TRP.</w:t>
      </w:r>
    </w:p>
    <w:p w14:paraId="5BD0CAD8" w14:textId="286F591E" w:rsidR="00F6216D" w:rsidRPr="00552EC2" w:rsidRDefault="00F6216D" w:rsidP="00347117">
      <w:r w:rsidRPr="00552EC2">
        <w:t xml:space="preserve">Si cette solution, y compris moyennant quelques ajustements, </w:t>
      </w:r>
      <w:r w:rsidR="008546A0" w:rsidRPr="00552EC2">
        <w:t>est retenue par</w:t>
      </w:r>
      <w:r w:rsidRPr="00552EC2">
        <w:t xml:space="preserve"> la Conférence, </w:t>
      </w:r>
      <w:r w:rsidR="008546A0" w:rsidRPr="00552EC2">
        <w:t>elle pourra être consignée</w:t>
      </w:r>
      <w:r w:rsidR="006E4CC5" w:rsidRPr="00552EC2">
        <w:t xml:space="preserve"> </w:t>
      </w:r>
      <w:r w:rsidR="008546A0" w:rsidRPr="00552EC2">
        <w:t>au</w:t>
      </w:r>
      <w:r w:rsidR="006E4CC5" w:rsidRPr="00552EC2">
        <w:t xml:space="preserve"> </w:t>
      </w:r>
      <w:r w:rsidRPr="00552EC2">
        <w:t xml:space="preserve">procès-verbal de la plénière en tant que décision de la CMR-23, qui servira </w:t>
      </w:r>
      <w:r w:rsidR="008546A0" w:rsidRPr="00552EC2">
        <w:t xml:space="preserve">en conséquence </w:t>
      </w:r>
      <w:r w:rsidRPr="00552EC2">
        <w:t>à élaborer une Règle de procédure. De plus, cette solution</w:t>
      </w:r>
      <w:r w:rsidR="008546A0" w:rsidRPr="00552EC2">
        <w:t xml:space="preserve"> pourra</w:t>
      </w:r>
      <w:r w:rsidR="006E4CC5" w:rsidRPr="00552EC2">
        <w:t xml:space="preserve"> </w:t>
      </w:r>
      <w:r w:rsidR="008546A0" w:rsidRPr="00552EC2">
        <w:t>faire l</w:t>
      </w:r>
      <w:r w:rsidR="006E4CC5" w:rsidRPr="00552EC2">
        <w:t>'</w:t>
      </w:r>
      <w:r w:rsidR="008546A0" w:rsidRPr="00552EC2">
        <w:t>objet d</w:t>
      </w:r>
      <w:r w:rsidR="006E4CC5" w:rsidRPr="00552EC2">
        <w:t>'</w:t>
      </w:r>
      <w:r w:rsidR="008546A0" w:rsidRPr="00552EC2">
        <w:t>une</w:t>
      </w:r>
      <w:r w:rsidR="006E4CC5" w:rsidRPr="00552EC2">
        <w:t xml:space="preserve"> </w:t>
      </w:r>
      <w:r w:rsidRPr="00552EC2">
        <w:t>nouvelle Note relative à l</w:t>
      </w:r>
      <w:r w:rsidR="006E4CC5" w:rsidRPr="00552EC2">
        <w:t>'</w:t>
      </w:r>
      <w:r w:rsidRPr="00552EC2">
        <w:t>élément de données 8AA du Tableau 1 de l</w:t>
      </w:r>
      <w:r w:rsidR="006E4CC5" w:rsidRPr="00552EC2">
        <w:t>'</w:t>
      </w:r>
      <w:r w:rsidRPr="00552EC2">
        <w:t xml:space="preserve">Appendice </w:t>
      </w:r>
      <w:r w:rsidRPr="00552EC2">
        <w:rPr>
          <w:b/>
          <w:bCs/>
        </w:rPr>
        <w:t>4</w:t>
      </w:r>
      <w:r w:rsidRPr="00552EC2">
        <w:t xml:space="preserve"> du RR, sans apporter de modification (</w:t>
      </w:r>
      <w:r w:rsidRPr="00552EC2">
        <w:rPr>
          <w:u w:val="single"/>
        </w:rPr>
        <w:t>NOC</w:t>
      </w:r>
      <w:r w:rsidRPr="00552EC2">
        <w:t>) à l</w:t>
      </w:r>
      <w:r w:rsidR="006E4CC5" w:rsidRPr="00552EC2">
        <w:t>'</w:t>
      </w:r>
      <w:r w:rsidRPr="00552EC2">
        <w:t xml:space="preserve">Article </w:t>
      </w:r>
      <w:r w:rsidRPr="00552EC2">
        <w:rPr>
          <w:b/>
          <w:bCs/>
        </w:rPr>
        <w:t>21</w:t>
      </w:r>
      <w:r w:rsidRPr="00552EC2">
        <w:t xml:space="preserve"> du RR.</w:t>
      </w:r>
    </w:p>
    <w:p w14:paraId="2231959F" w14:textId="5CB99393" w:rsidR="005766A7" w:rsidRPr="00552EC2" w:rsidRDefault="005B7CFE" w:rsidP="00EA57E1">
      <w:pPr>
        <w:pStyle w:val="Reasons"/>
      </w:pPr>
      <w:r w:rsidRPr="00552EC2">
        <w:rPr>
          <w:b/>
        </w:rPr>
        <w:t>Motifs:</w:t>
      </w:r>
      <w:r w:rsidRPr="00552EC2">
        <w:tab/>
      </w:r>
      <w:r w:rsidR="002072AD" w:rsidRPr="00552EC2">
        <w:t>La solution susmentionnée est proposée pour tenir compte des différents points de vue exprimés dans les études de l</w:t>
      </w:r>
      <w:r w:rsidR="006E4CC5" w:rsidRPr="00552EC2">
        <w:t>'</w:t>
      </w:r>
      <w:r w:rsidR="002072AD" w:rsidRPr="00552EC2">
        <w:t>UIT-R concernant le Document 550 de la CMR-19.</w:t>
      </w:r>
    </w:p>
    <w:p w14:paraId="6345CC93" w14:textId="77777777" w:rsidR="005766A7" w:rsidRPr="00552EC2" w:rsidRDefault="005766A7" w:rsidP="00EA57E1">
      <w:pPr>
        <w:jc w:val="center"/>
      </w:pPr>
      <w:r w:rsidRPr="00552EC2">
        <w:t>______________</w:t>
      </w:r>
    </w:p>
    <w:sectPr w:rsidR="005766A7" w:rsidRPr="00552EC2">
      <w:headerReference w:type="default" r:id="rId17"/>
      <w:footerReference w:type="even" r:id="rId18"/>
      <w:footerReference w:type="default" r:id="rId19"/>
      <w:footerReference w:type="first" r:id="rId20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BABA3" w14:textId="77777777" w:rsidR="00CB685A" w:rsidRDefault="00CB685A">
      <w:r>
        <w:separator/>
      </w:r>
    </w:p>
  </w:endnote>
  <w:endnote w:type="continuationSeparator" w:id="0">
    <w:p w14:paraId="71069009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42C1" w14:textId="482E20CD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7117">
      <w:rPr>
        <w:noProof/>
      </w:rPr>
      <w:t>09.11.23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F2D7" w14:textId="021919FF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F1F71">
      <w:rPr>
        <w:lang w:val="en-US"/>
      </w:rPr>
      <w:t>P:\FRA\ITU-R\CONF-R\CMR23\000\099ADD24F.docx</w:t>
    </w:r>
    <w:r>
      <w:fldChar w:fldCharType="end"/>
    </w:r>
    <w:r w:rsidR="005766A7" w:rsidRPr="00EA57E1">
      <w:rPr>
        <w:lang w:val="en-GB"/>
      </w:rPr>
      <w:t xml:space="preserve"> (530158)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53FE" w14:textId="5F43B83F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F1F71">
      <w:rPr>
        <w:lang w:val="en-US"/>
      </w:rPr>
      <w:t>P:\FRA\ITU-R\CONF-R\CMR23\000\099ADD24F.docx</w:t>
    </w:r>
    <w:r>
      <w:fldChar w:fldCharType="end"/>
    </w:r>
    <w:r w:rsidR="005766A7" w:rsidRPr="00EA57E1">
      <w:rPr>
        <w:lang w:val="en-GB"/>
      </w:rPr>
      <w:t xml:space="preserve"> (530158)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B4C5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36FE7D9F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8532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2173875D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99(Add.24)-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04477018">
    <w:abstractNumId w:val="0"/>
  </w:num>
  <w:num w:numId="2" w16cid:durableId="124665176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B7096"/>
    <w:rsid w:val="00115E1F"/>
    <w:rsid w:val="001167B9"/>
    <w:rsid w:val="00125559"/>
    <w:rsid w:val="001267A0"/>
    <w:rsid w:val="0012775C"/>
    <w:rsid w:val="0013723B"/>
    <w:rsid w:val="00150A83"/>
    <w:rsid w:val="0015203F"/>
    <w:rsid w:val="00154F11"/>
    <w:rsid w:val="00160C64"/>
    <w:rsid w:val="00163CCB"/>
    <w:rsid w:val="0018169B"/>
    <w:rsid w:val="0019352B"/>
    <w:rsid w:val="001960D0"/>
    <w:rsid w:val="001A11F6"/>
    <w:rsid w:val="001A25E5"/>
    <w:rsid w:val="001F17E8"/>
    <w:rsid w:val="00204306"/>
    <w:rsid w:val="002072AD"/>
    <w:rsid w:val="00212FE0"/>
    <w:rsid w:val="00225CF2"/>
    <w:rsid w:val="00232FD2"/>
    <w:rsid w:val="0026554E"/>
    <w:rsid w:val="002A4622"/>
    <w:rsid w:val="002A6F8F"/>
    <w:rsid w:val="002B17E5"/>
    <w:rsid w:val="002C0EBF"/>
    <w:rsid w:val="002C1A14"/>
    <w:rsid w:val="002C28A4"/>
    <w:rsid w:val="002D7E0A"/>
    <w:rsid w:val="002F2FC1"/>
    <w:rsid w:val="00315AFE"/>
    <w:rsid w:val="00340D7A"/>
    <w:rsid w:val="003411F6"/>
    <w:rsid w:val="00347117"/>
    <w:rsid w:val="003606A6"/>
    <w:rsid w:val="0036650C"/>
    <w:rsid w:val="00387B96"/>
    <w:rsid w:val="00393ACD"/>
    <w:rsid w:val="003A583E"/>
    <w:rsid w:val="003C54AE"/>
    <w:rsid w:val="003D7668"/>
    <w:rsid w:val="003E112B"/>
    <w:rsid w:val="003E1D1C"/>
    <w:rsid w:val="003E7B05"/>
    <w:rsid w:val="003F3719"/>
    <w:rsid w:val="003F6F2D"/>
    <w:rsid w:val="00460233"/>
    <w:rsid w:val="00466211"/>
    <w:rsid w:val="00483196"/>
    <w:rsid w:val="004834A9"/>
    <w:rsid w:val="00486316"/>
    <w:rsid w:val="004B1DCF"/>
    <w:rsid w:val="004D01FC"/>
    <w:rsid w:val="004E28C3"/>
    <w:rsid w:val="004F1F8E"/>
    <w:rsid w:val="00512A32"/>
    <w:rsid w:val="00532AD2"/>
    <w:rsid w:val="005343DA"/>
    <w:rsid w:val="005525D9"/>
    <w:rsid w:val="00552EC2"/>
    <w:rsid w:val="00560874"/>
    <w:rsid w:val="0056745D"/>
    <w:rsid w:val="005766A7"/>
    <w:rsid w:val="00586CF2"/>
    <w:rsid w:val="005A7C75"/>
    <w:rsid w:val="005B7CFE"/>
    <w:rsid w:val="005C10DD"/>
    <w:rsid w:val="005C3768"/>
    <w:rsid w:val="005C6C3F"/>
    <w:rsid w:val="00613635"/>
    <w:rsid w:val="0062093D"/>
    <w:rsid w:val="00637ECF"/>
    <w:rsid w:val="00647B59"/>
    <w:rsid w:val="00647E29"/>
    <w:rsid w:val="006534B6"/>
    <w:rsid w:val="006556A5"/>
    <w:rsid w:val="0065584A"/>
    <w:rsid w:val="006723C8"/>
    <w:rsid w:val="0067628A"/>
    <w:rsid w:val="006872CA"/>
    <w:rsid w:val="00690C7B"/>
    <w:rsid w:val="006A4B45"/>
    <w:rsid w:val="006B79C8"/>
    <w:rsid w:val="006D4724"/>
    <w:rsid w:val="006E4CC5"/>
    <w:rsid w:val="006F5FA2"/>
    <w:rsid w:val="00700633"/>
    <w:rsid w:val="0070076C"/>
    <w:rsid w:val="00701BAE"/>
    <w:rsid w:val="00712D0E"/>
    <w:rsid w:val="00721223"/>
    <w:rsid w:val="00721F04"/>
    <w:rsid w:val="00730E95"/>
    <w:rsid w:val="00732999"/>
    <w:rsid w:val="007426B9"/>
    <w:rsid w:val="007466EB"/>
    <w:rsid w:val="00746D43"/>
    <w:rsid w:val="007513FE"/>
    <w:rsid w:val="00763418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546A0"/>
    <w:rsid w:val="0086208D"/>
    <w:rsid w:val="00863C0A"/>
    <w:rsid w:val="008A3120"/>
    <w:rsid w:val="008A4B97"/>
    <w:rsid w:val="008C5B8E"/>
    <w:rsid w:val="008C5DD5"/>
    <w:rsid w:val="008C7123"/>
    <w:rsid w:val="008D41BE"/>
    <w:rsid w:val="008D58D3"/>
    <w:rsid w:val="008D5E4C"/>
    <w:rsid w:val="008E3BC9"/>
    <w:rsid w:val="008F431E"/>
    <w:rsid w:val="00923064"/>
    <w:rsid w:val="00930FFD"/>
    <w:rsid w:val="00936D25"/>
    <w:rsid w:val="00941EA5"/>
    <w:rsid w:val="00964700"/>
    <w:rsid w:val="00966C16"/>
    <w:rsid w:val="0098732F"/>
    <w:rsid w:val="0099433A"/>
    <w:rsid w:val="009A045F"/>
    <w:rsid w:val="009A39DE"/>
    <w:rsid w:val="009A6A2B"/>
    <w:rsid w:val="009C02A0"/>
    <w:rsid w:val="009C7E7C"/>
    <w:rsid w:val="009D2432"/>
    <w:rsid w:val="009E061F"/>
    <w:rsid w:val="00A00473"/>
    <w:rsid w:val="00A03C9B"/>
    <w:rsid w:val="00A36E97"/>
    <w:rsid w:val="00A37105"/>
    <w:rsid w:val="00A606C3"/>
    <w:rsid w:val="00A83B09"/>
    <w:rsid w:val="00A84541"/>
    <w:rsid w:val="00A937D7"/>
    <w:rsid w:val="00AE36A0"/>
    <w:rsid w:val="00B00294"/>
    <w:rsid w:val="00B10844"/>
    <w:rsid w:val="00B20E27"/>
    <w:rsid w:val="00B21023"/>
    <w:rsid w:val="00B33A1B"/>
    <w:rsid w:val="00B3749C"/>
    <w:rsid w:val="00B47649"/>
    <w:rsid w:val="00B477DB"/>
    <w:rsid w:val="00B60DC4"/>
    <w:rsid w:val="00B6478F"/>
    <w:rsid w:val="00B64FD0"/>
    <w:rsid w:val="00B82CEA"/>
    <w:rsid w:val="00BA5BD0"/>
    <w:rsid w:val="00BB14C1"/>
    <w:rsid w:val="00BB1D82"/>
    <w:rsid w:val="00BB4A81"/>
    <w:rsid w:val="00BC217E"/>
    <w:rsid w:val="00BC3603"/>
    <w:rsid w:val="00BD2EBA"/>
    <w:rsid w:val="00BD51C5"/>
    <w:rsid w:val="00BF26E7"/>
    <w:rsid w:val="00C05E66"/>
    <w:rsid w:val="00C1305F"/>
    <w:rsid w:val="00C242C9"/>
    <w:rsid w:val="00C31430"/>
    <w:rsid w:val="00C53FCA"/>
    <w:rsid w:val="00C71DEB"/>
    <w:rsid w:val="00C76BAF"/>
    <w:rsid w:val="00C814B9"/>
    <w:rsid w:val="00C8457E"/>
    <w:rsid w:val="00C958B2"/>
    <w:rsid w:val="00CB685A"/>
    <w:rsid w:val="00CD1BC6"/>
    <w:rsid w:val="00CD516F"/>
    <w:rsid w:val="00CF669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912C9"/>
    <w:rsid w:val="00DC402B"/>
    <w:rsid w:val="00DE0932"/>
    <w:rsid w:val="00DF15E8"/>
    <w:rsid w:val="00E03A27"/>
    <w:rsid w:val="00E049F1"/>
    <w:rsid w:val="00E37A25"/>
    <w:rsid w:val="00E52EE0"/>
    <w:rsid w:val="00E537FF"/>
    <w:rsid w:val="00E60CB2"/>
    <w:rsid w:val="00E64CC8"/>
    <w:rsid w:val="00E6539B"/>
    <w:rsid w:val="00E70A31"/>
    <w:rsid w:val="00E723A7"/>
    <w:rsid w:val="00EA3F38"/>
    <w:rsid w:val="00EA57E1"/>
    <w:rsid w:val="00EA5AB6"/>
    <w:rsid w:val="00EA74D8"/>
    <w:rsid w:val="00EC7615"/>
    <w:rsid w:val="00ED16AA"/>
    <w:rsid w:val="00ED6B8D"/>
    <w:rsid w:val="00ED6B9A"/>
    <w:rsid w:val="00EE3D7B"/>
    <w:rsid w:val="00EF10BE"/>
    <w:rsid w:val="00EF1F71"/>
    <w:rsid w:val="00EF662E"/>
    <w:rsid w:val="00F10064"/>
    <w:rsid w:val="00F148F1"/>
    <w:rsid w:val="00F20620"/>
    <w:rsid w:val="00F25E2D"/>
    <w:rsid w:val="00F6216D"/>
    <w:rsid w:val="00F65695"/>
    <w:rsid w:val="00F711A7"/>
    <w:rsid w:val="00F72EA3"/>
    <w:rsid w:val="00F95BC9"/>
    <w:rsid w:val="00FA3BBF"/>
    <w:rsid w:val="00FB6EA0"/>
    <w:rsid w:val="00FC3D41"/>
    <w:rsid w:val="00FC41F8"/>
    <w:rsid w:val="00FD0CA7"/>
    <w:rsid w:val="00FD7AA3"/>
    <w:rsid w:val="00FE258A"/>
    <w:rsid w:val="00FF1C40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D08737E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B6E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6EA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6EA0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6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6EA0"/>
    <w:rPr>
      <w:rFonts w:ascii="Times New Roman" w:hAnsi="Times New Roman"/>
      <w:b/>
      <w:bCs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154F1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82CEA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16-WRC19-C-0550/f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16-WRC19-C-0550/fr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R16-WRC19-C-0550/fr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23-WRC23-C-0004/f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R23-WRC23-C-0099!A24!MSW-F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A3DCEB-8676-459A-8D08-A66120D588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8433CC3-E75C-4325-86D0-D74AA8276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3C63F7-7BC5-429E-BC58-2A87090E2ED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1404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R23-WRC23-C-0099!A24!MSW-F</vt:lpstr>
    </vt:vector>
  </TitlesOfParts>
  <Manager>Secrétariat général - Pool</Manager>
  <Company>Union internationale des télécommunications (UIT)</Company>
  <LinksUpToDate>false</LinksUpToDate>
  <CharactersWithSpaces>8933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R23-WRC23-C-0099!A24!MSW-F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7</cp:revision>
  <cp:lastPrinted>2003-06-05T19:34:00Z</cp:lastPrinted>
  <dcterms:created xsi:type="dcterms:W3CDTF">2023-11-09T16:00:00Z</dcterms:created>
  <dcterms:modified xsi:type="dcterms:W3CDTF">2023-11-09T16:33:00Z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