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6BEAD3B" w14:textId="77777777" w:rsidTr="004C6D0B">
        <w:trPr>
          <w:cantSplit/>
        </w:trPr>
        <w:tc>
          <w:tcPr>
            <w:tcW w:w="1418" w:type="dxa"/>
            <w:vAlign w:val="center"/>
          </w:tcPr>
          <w:p w14:paraId="7078A94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2C2DAD" wp14:editId="15E0F26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0032BC3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4B2B46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71C142B8" wp14:editId="1E29881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39F7CD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C0868B4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9A5AB0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56E49B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884442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536768A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DD8A505" w14:textId="77777777" w:rsidTr="001226EC">
        <w:trPr>
          <w:cantSplit/>
        </w:trPr>
        <w:tc>
          <w:tcPr>
            <w:tcW w:w="6771" w:type="dxa"/>
            <w:gridSpan w:val="2"/>
          </w:tcPr>
          <w:p w14:paraId="530F23E2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6E0819A" w14:textId="77777777" w:rsidR="005651C9" w:rsidRPr="00610FD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0FD2">
              <w:rPr>
                <w:rFonts w:ascii="Verdana" w:hAnsi="Verdana"/>
                <w:b/>
                <w:bCs/>
                <w:sz w:val="18"/>
                <w:szCs w:val="18"/>
              </w:rPr>
              <w:t>Документ 94</w:t>
            </w:r>
            <w:r w:rsidR="005651C9" w:rsidRPr="00610FD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10FD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14:paraId="6B491312" w14:textId="77777777" w:rsidTr="001226EC">
        <w:trPr>
          <w:cantSplit/>
        </w:trPr>
        <w:tc>
          <w:tcPr>
            <w:tcW w:w="6771" w:type="dxa"/>
            <w:gridSpan w:val="2"/>
          </w:tcPr>
          <w:p w14:paraId="2B3F93E0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118B0F2" w14:textId="77777777" w:rsidR="000F33D8" w:rsidRPr="00610F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10FD2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0A0EF3" w14:paraId="4D9966B6" w14:textId="77777777" w:rsidTr="001226EC">
        <w:trPr>
          <w:cantSplit/>
        </w:trPr>
        <w:tc>
          <w:tcPr>
            <w:tcW w:w="6771" w:type="dxa"/>
            <w:gridSpan w:val="2"/>
          </w:tcPr>
          <w:p w14:paraId="6D6D8D9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EDE34B9" w14:textId="77777777" w:rsidR="000F33D8" w:rsidRPr="00610F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10FD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3634B522" w14:textId="77777777" w:rsidTr="009546EA">
        <w:trPr>
          <w:cantSplit/>
        </w:trPr>
        <w:tc>
          <w:tcPr>
            <w:tcW w:w="10031" w:type="dxa"/>
            <w:gridSpan w:val="4"/>
          </w:tcPr>
          <w:p w14:paraId="1106353A" w14:textId="77777777" w:rsidR="000F33D8" w:rsidRPr="00610FD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 w14:paraId="1C0CED0E" w14:textId="77777777">
        <w:trPr>
          <w:cantSplit/>
        </w:trPr>
        <w:tc>
          <w:tcPr>
            <w:tcW w:w="10031" w:type="dxa"/>
            <w:gridSpan w:val="4"/>
          </w:tcPr>
          <w:p w14:paraId="1F15A2A2" w14:textId="77777777" w:rsidR="000F33D8" w:rsidRPr="0034646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4646E">
              <w:rPr>
                <w:szCs w:val="26"/>
              </w:rPr>
              <w:t>Канада/Соединенные Штаты Америки/Мексика</w:t>
            </w:r>
          </w:p>
        </w:tc>
      </w:tr>
      <w:tr w:rsidR="000F33D8" w:rsidRPr="000A0EF3" w14:paraId="0A19C6C0" w14:textId="77777777">
        <w:trPr>
          <w:cantSplit/>
        </w:trPr>
        <w:tc>
          <w:tcPr>
            <w:tcW w:w="10031" w:type="dxa"/>
            <w:gridSpan w:val="4"/>
          </w:tcPr>
          <w:p w14:paraId="36EF0183" w14:textId="77777777" w:rsidR="000F33D8" w:rsidRPr="0034646E" w:rsidRDefault="0034646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5011130B" w14:textId="77777777">
        <w:trPr>
          <w:cantSplit/>
        </w:trPr>
        <w:tc>
          <w:tcPr>
            <w:tcW w:w="10031" w:type="dxa"/>
            <w:gridSpan w:val="4"/>
          </w:tcPr>
          <w:p w14:paraId="19EA642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DFBB76C" w14:textId="77777777">
        <w:trPr>
          <w:cantSplit/>
        </w:trPr>
        <w:tc>
          <w:tcPr>
            <w:tcW w:w="10031" w:type="dxa"/>
            <w:gridSpan w:val="4"/>
          </w:tcPr>
          <w:p w14:paraId="3A1475E5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7(H) повестки дня</w:t>
            </w:r>
          </w:p>
        </w:tc>
      </w:tr>
    </w:tbl>
    <w:bookmarkEnd w:id="7"/>
    <w:p w14:paraId="7CB86CEB" w14:textId="77777777" w:rsidR="005F0545" w:rsidRPr="00A24D52" w:rsidRDefault="0034646E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A376689" w14:textId="77777777" w:rsidR="005F0545" w:rsidRPr="00B21C36" w:rsidRDefault="0034646E" w:rsidP="00DF4FC1">
      <w:pPr>
        <w:ind w:left="1134" w:hanging="1134"/>
      </w:pPr>
      <w:r w:rsidRPr="00B21C36">
        <w:t>7(</w:t>
      </w:r>
      <w:r>
        <w:rPr>
          <w:lang w:val="en-US"/>
        </w:rPr>
        <w:t>H</w:t>
      </w:r>
      <w:r w:rsidRPr="00B21C36">
        <w:t>)</w:t>
      </w:r>
      <w:r w:rsidRPr="00B21C36">
        <w:tab/>
      </w:r>
      <w:r w:rsidRPr="003A652B">
        <w:t>Тема H – Усиленная защита Приложений </w:t>
      </w:r>
      <w:r w:rsidRPr="003A652B">
        <w:rPr>
          <w:b/>
          <w:bCs/>
        </w:rPr>
        <w:t>30/30A</w:t>
      </w:r>
      <w:r w:rsidRPr="003A652B">
        <w:t xml:space="preserve"> к РР в Районах 1 и 3 и Приложения </w:t>
      </w:r>
      <w:r w:rsidRPr="003A652B">
        <w:rPr>
          <w:b/>
          <w:bCs/>
        </w:rPr>
        <w:t xml:space="preserve">30B </w:t>
      </w:r>
      <w:r w:rsidRPr="003A652B">
        <w:t>к РР</w:t>
      </w:r>
    </w:p>
    <w:p w14:paraId="4A6576A7" w14:textId="77777777" w:rsidR="009B5CC2" w:rsidRPr="0034646E" w:rsidRDefault="009B5CC2" w:rsidP="0034646E">
      <w:r w:rsidRPr="0034646E">
        <w:br w:type="page"/>
      </w:r>
    </w:p>
    <w:p w14:paraId="3185B930" w14:textId="65E09F75" w:rsidR="005F0545" w:rsidRPr="009B12F3" w:rsidRDefault="0034646E" w:rsidP="00BD71B8">
      <w:pPr>
        <w:pStyle w:val="AppendixNo"/>
        <w:spacing w:before="0"/>
      </w:pPr>
      <w:bookmarkStart w:id="8" w:name="_Toc42495209"/>
      <w:r w:rsidRPr="009B12F3">
        <w:lastRenderedPageBreak/>
        <w:t xml:space="preserve">ПРИЛОЖЕНИЕ </w:t>
      </w:r>
      <w:r w:rsidR="00523268">
        <w:t xml:space="preserve"> </w:t>
      </w:r>
      <w:r w:rsidRPr="009B12F3">
        <w:rPr>
          <w:rStyle w:val="href"/>
        </w:rPr>
        <w:t>30</w:t>
      </w:r>
      <w:r w:rsidRPr="009B12F3">
        <w:t xml:space="preserve">  (Пересм. ВКР-1</w:t>
      </w:r>
      <w:r w:rsidRPr="0034646E">
        <w:t>9</w:t>
      </w:r>
      <w:r w:rsidRPr="009B12F3">
        <w:t>)</w:t>
      </w:r>
      <w:r w:rsidRPr="009B12F3">
        <w:rPr>
          <w:rStyle w:val="FootnoteReference"/>
        </w:rPr>
        <w:footnoteReference w:customMarkFollows="1" w:id="1"/>
        <w:t>*</w:t>
      </w:r>
      <w:bookmarkEnd w:id="8"/>
    </w:p>
    <w:p w14:paraId="721E3C14" w14:textId="77777777" w:rsidR="005F0545" w:rsidRPr="009B12F3" w:rsidRDefault="0034646E" w:rsidP="00BD71B8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bookmarkStart w:id="11" w:name="_Toc42495210"/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  <w:bookmarkEnd w:id="11"/>
    </w:p>
    <w:p w14:paraId="0CF3BCB6" w14:textId="77777777" w:rsidR="00B353AD" w:rsidRDefault="0034646E">
      <w:pPr>
        <w:pStyle w:val="Proposal"/>
      </w:pPr>
      <w:r>
        <w:rPr>
          <w:u w:val="single"/>
        </w:rPr>
        <w:t>NOC</w:t>
      </w:r>
      <w:r>
        <w:tab/>
        <w:t>CAN/USA/MEX/94/1</w:t>
      </w:r>
    </w:p>
    <w:p w14:paraId="7D9B45E4" w14:textId="77777777" w:rsidR="005F0545" w:rsidRPr="009B12F3" w:rsidRDefault="0034646E" w:rsidP="00BD71B8">
      <w:pPr>
        <w:pStyle w:val="AppArtNo"/>
      </w:pPr>
      <w:r w:rsidRPr="009B12F3">
        <w:t>СТАТЬЯ  7</w:t>
      </w:r>
      <w:r w:rsidRPr="009B12F3">
        <w:rPr>
          <w:sz w:val="16"/>
          <w:szCs w:val="16"/>
        </w:rPr>
        <w:t>     (Пересм. ВКР</w:t>
      </w:r>
      <w:r w:rsidRPr="009B12F3">
        <w:rPr>
          <w:sz w:val="16"/>
          <w:szCs w:val="16"/>
        </w:rPr>
        <w:noBreakHyphen/>
      </w:r>
      <w:r>
        <w:rPr>
          <w:sz w:val="16"/>
          <w:szCs w:val="16"/>
        </w:rPr>
        <w:t>19</w:t>
      </w:r>
      <w:r w:rsidRPr="009B12F3">
        <w:rPr>
          <w:sz w:val="16"/>
          <w:szCs w:val="16"/>
        </w:rPr>
        <w:t>)</w:t>
      </w:r>
    </w:p>
    <w:p w14:paraId="48D52960" w14:textId="02147532" w:rsidR="005F0545" w:rsidRPr="009B12F3" w:rsidRDefault="0034646E" w:rsidP="00BD71B8">
      <w:pPr>
        <w:pStyle w:val="AppArttitle"/>
      </w:pPr>
      <w:r w:rsidRPr="009B12F3">
        <w:t xml:space="preserve">Координация, заявление и регистрация в Международном </w:t>
      </w:r>
      <w:r w:rsidRPr="009B12F3">
        <w:br/>
        <w:t xml:space="preserve">справочном регистре частот частотных присвоений станциям </w:t>
      </w:r>
      <w:r w:rsidRPr="009B12F3">
        <w:br/>
        <w:t xml:space="preserve">фиксированной спутниковой службы (космос-Земля) в полосах </w:t>
      </w:r>
      <w:r w:rsidRPr="009B12F3">
        <w:br/>
        <w:t xml:space="preserve">11,7–12,2 ГГц (в Районе 2), 12,2–12,7 ГГц (в Районе 3) и 12,5–12,7 ГГц </w:t>
      </w:r>
      <w:r w:rsidRPr="009B12F3">
        <w:br/>
        <w:t xml:space="preserve">(в Районе 1) и станциям радиовещательной спутниковой службы в полосе </w:t>
      </w:r>
      <w:r w:rsidRPr="009B12F3">
        <w:br/>
        <w:t xml:space="preserve">12,5–12,7 ГГц (в Районе 3) в тех случаях, когда затрагиваются частотные присвоения станциям радиовещательной спутниковой службы </w:t>
      </w:r>
      <w:r w:rsidRPr="009B12F3">
        <w:br/>
        <w:t xml:space="preserve">в полосах 11,7–12,5 ГГц в Районе 1, 12,2–12,7 ГГц в Районе 2 </w:t>
      </w:r>
      <w:r w:rsidRPr="009B12F3">
        <w:br/>
        <w:t>и 11,7–12,2 ГГц в Районе 3</w:t>
      </w:r>
      <w:r w:rsidRPr="009B12F3">
        <w:rPr>
          <w:b w:val="0"/>
          <w:bCs/>
          <w:position w:val="6"/>
          <w:sz w:val="16"/>
        </w:rPr>
        <w:footnoteReference w:customMarkFollows="1" w:id="3"/>
        <w:t>22</w:t>
      </w:r>
    </w:p>
    <w:p w14:paraId="34A110EE" w14:textId="37FCBBB3" w:rsidR="00B353AD" w:rsidRPr="00610FD2" w:rsidRDefault="0034646E">
      <w:pPr>
        <w:pStyle w:val="Reasons"/>
      </w:pPr>
      <w:r>
        <w:rPr>
          <w:b/>
        </w:rPr>
        <w:t>Основания</w:t>
      </w:r>
      <w:r w:rsidRPr="00610FD2">
        <w:t>:</w:t>
      </w:r>
      <w:r w:rsidRPr="00610FD2">
        <w:tab/>
      </w:r>
      <w:bookmarkStart w:id="12" w:name="_Hlk133233568"/>
      <w:r w:rsidR="00610FD2">
        <w:t>Сферой</w:t>
      </w:r>
      <w:r w:rsidR="00610FD2" w:rsidRPr="00610FD2">
        <w:t xml:space="preserve"> </w:t>
      </w:r>
      <w:r w:rsidR="00610FD2">
        <w:t>охвата</w:t>
      </w:r>
      <w:r w:rsidR="00610FD2" w:rsidRPr="00610FD2">
        <w:t xml:space="preserve"> </w:t>
      </w:r>
      <w:r w:rsidR="00610FD2">
        <w:t>настоящей</w:t>
      </w:r>
      <w:r w:rsidR="00610FD2" w:rsidRPr="00610FD2">
        <w:t xml:space="preserve"> </w:t>
      </w:r>
      <w:r w:rsidR="00610FD2">
        <w:t>темы</w:t>
      </w:r>
      <w:r w:rsidR="00610FD2" w:rsidRPr="00610FD2">
        <w:t xml:space="preserve">, </w:t>
      </w:r>
      <w:r w:rsidR="00610FD2">
        <w:t>определенной</w:t>
      </w:r>
      <w:r w:rsidR="00610FD2" w:rsidRPr="00610FD2">
        <w:t xml:space="preserve"> </w:t>
      </w:r>
      <w:r w:rsidR="00610FD2">
        <w:t>в</w:t>
      </w:r>
      <w:r w:rsidR="00610FD2" w:rsidRPr="00610FD2">
        <w:t xml:space="preserve"> </w:t>
      </w:r>
      <w:r w:rsidR="00610FD2">
        <w:t>Отчете</w:t>
      </w:r>
      <w:r w:rsidR="00610FD2" w:rsidRPr="00610FD2">
        <w:t xml:space="preserve"> </w:t>
      </w:r>
      <w:r w:rsidR="00610FD2">
        <w:t>ПСК</w:t>
      </w:r>
      <w:r w:rsidR="00610FD2" w:rsidRPr="00610FD2">
        <w:t xml:space="preserve">, </w:t>
      </w:r>
      <w:r w:rsidR="00610FD2">
        <w:t>является</w:t>
      </w:r>
      <w:r w:rsidR="00610FD2" w:rsidRPr="00610FD2">
        <w:t xml:space="preserve"> </w:t>
      </w:r>
      <w:r w:rsidR="00610FD2">
        <w:t>воздействие</w:t>
      </w:r>
      <w:r w:rsidR="00610FD2" w:rsidRPr="00610FD2">
        <w:t xml:space="preserve"> </w:t>
      </w:r>
      <w:r w:rsidR="00610FD2">
        <w:t>неявного</w:t>
      </w:r>
      <w:r w:rsidR="00610FD2" w:rsidRPr="00610FD2">
        <w:t xml:space="preserve"> </w:t>
      </w:r>
      <w:r w:rsidR="00610FD2">
        <w:t>согласия</w:t>
      </w:r>
      <w:r w:rsidR="00610FD2" w:rsidRPr="00610FD2">
        <w:t xml:space="preserve"> </w:t>
      </w:r>
      <w:r w:rsidR="00610FD2">
        <w:t>по</w:t>
      </w:r>
      <w:r w:rsidR="00610FD2" w:rsidRPr="00610FD2">
        <w:t xml:space="preserve"> </w:t>
      </w:r>
      <w:r w:rsidR="00610FD2">
        <w:t>эталонной</w:t>
      </w:r>
      <w:r w:rsidR="00610FD2" w:rsidRPr="00610FD2">
        <w:t xml:space="preserve"> </w:t>
      </w:r>
      <w:r w:rsidR="00610FD2">
        <w:t>ситуации</w:t>
      </w:r>
      <w:r w:rsidR="00610FD2" w:rsidRPr="00610FD2">
        <w:t xml:space="preserve"> </w:t>
      </w:r>
      <w:r w:rsidR="00610FD2">
        <w:t>присвоений</w:t>
      </w:r>
      <w:r w:rsidR="00610FD2" w:rsidRPr="00610FD2">
        <w:t xml:space="preserve"> </w:t>
      </w:r>
      <w:r w:rsidR="00610FD2">
        <w:t>Приложения </w:t>
      </w:r>
      <w:r w:rsidRPr="00610FD2">
        <w:rPr>
          <w:b/>
          <w:bCs/>
        </w:rPr>
        <w:t>30</w:t>
      </w:r>
      <w:r w:rsidRPr="00610FD2">
        <w:t xml:space="preserve"> </w:t>
      </w:r>
      <w:r w:rsidR="00B95819">
        <w:t xml:space="preserve">к </w:t>
      </w:r>
      <w:r w:rsidR="00610FD2">
        <w:t>РР, которые не учитывают воздействие неплановых присвоений на космические службы</w:t>
      </w:r>
      <w:r w:rsidRPr="00610FD2">
        <w:t xml:space="preserve">. </w:t>
      </w:r>
      <w:r w:rsidR="00610FD2">
        <w:t>Наряду</w:t>
      </w:r>
      <w:r w:rsidR="00610FD2" w:rsidRPr="00610FD2">
        <w:t xml:space="preserve"> </w:t>
      </w:r>
      <w:r w:rsidR="00610FD2">
        <w:t>с</w:t>
      </w:r>
      <w:r w:rsidR="00610FD2" w:rsidRPr="00610FD2">
        <w:t xml:space="preserve"> </w:t>
      </w:r>
      <w:r w:rsidR="00610FD2">
        <w:t>этим</w:t>
      </w:r>
      <w:r w:rsidR="00610FD2" w:rsidRPr="00610FD2">
        <w:t xml:space="preserve"> </w:t>
      </w:r>
      <w:r w:rsidR="00610FD2">
        <w:t>не</w:t>
      </w:r>
      <w:r w:rsidR="00610FD2" w:rsidRPr="00610FD2">
        <w:t xml:space="preserve"> </w:t>
      </w:r>
      <w:r w:rsidR="00610FD2">
        <w:t>были</w:t>
      </w:r>
      <w:r w:rsidR="00610FD2" w:rsidRPr="00610FD2">
        <w:t xml:space="preserve"> </w:t>
      </w:r>
      <w:r w:rsidR="00610FD2">
        <w:t>изучены</w:t>
      </w:r>
      <w:r w:rsidR="00610FD2" w:rsidRPr="00610FD2">
        <w:t xml:space="preserve"> </w:t>
      </w:r>
      <w:r w:rsidR="00610FD2">
        <w:t>изменения</w:t>
      </w:r>
      <w:r w:rsidR="00610FD2" w:rsidRPr="00610FD2">
        <w:t xml:space="preserve"> </w:t>
      </w:r>
      <w:r w:rsidR="00610FD2">
        <w:t>Статьи</w:t>
      </w:r>
      <w:r w:rsidR="00610FD2" w:rsidRPr="00610FD2">
        <w:rPr>
          <w:lang w:val="en-GB"/>
        </w:rPr>
        <w:t> </w:t>
      </w:r>
      <w:r w:rsidR="00610FD2" w:rsidRPr="00610FD2">
        <w:t xml:space="preserve">7 </w:t>
      </w:r>
      <w:r w:rsidR="00610FD2">
        <w:t>Приложения</w:t>
      </w:r>
      <w:r w:rsidR="00610FD2" w:rsidRPr="00610FD2">
        <w:rPr>
          <w:lang w:val="en-GB"/>
        </w:rPr>
        <w:t> </w:t>
      </w:r>
      <w:r w:rsidR="00610FD2" w:rsidRPr="00610FD2">
        <w:rPr>
          <w:b/>
          <w:bCs/>
        </w:rPr>
        <w:t>3</w:t>
      </w:r>
      <w:r w:rsidR="00B95819">
        <w:rPr>
          <w:b/>
          <w:bCs/>
        </w:rPr>
        <w:t>0</w:t>
      </w:r>
      <w:r w:rsidR="00610FD2" w:rsidRPr="00610FD2">
        <w:rPr>
          <w:b/>
          <w:bCs/>
        </w:rPr>
        <w:t xml:space="preserve"> </w:t>
      </w:r>
      <w:r w:rsidR="00B95819" w:rsidRPr="00B95819">
        <w:t xml:space="preserve">к </w:t>
      </w:r>
      <w:r w:rsidR="00610FD2">
        <w:t>РР</w:t>
      </w:r>
      <w:r w:rsidR="00610FD2" w:rsidRPr="00610FD2">
        <w:t xml:space="preserve">, </w:t>
      </w:r>
      <w:r w:rsidR="00610FD2">
        <w:t>и</w:t>
      </w:r>
      <w:r w:rsidR="00610FD2" w:rsidRPr="00610FD2">
        <w:t xml:space="preserve"> </w:t>
      </w:r>
      <w:r w:rsidR="00610FD2">
        <w:t>это</w:t>
      </w:r>
      <w:r w:rsidR="00610FD2" w:rsidRPr="00610FD2">
        <w:t xml:space="preserve"> </w:t>
      </w:r>
      <w:r w:rsidR="00610FD2">
        <w:t>могло</w:t>
      </w:r>
      <w:r w:rsidR="00610FD2" w:rsidRPr="00610FD2">
        <w:t xml:space="preserve"> </w:t>
      </w:r>
      <w:r w:rsidR="00610FD2">
        <w:t>привести</w:t>
      </w:r>
      <w:r w:rsidR="00610FD2" w:rsidRPr="00610FD2">
        <w:t xml:space="preserve"> </w:t>
      </w:r>
      <w:r w:rsidR="00610FD2">
        <w:t>к</w:t>
      </w:r>
      <w:r w:rsidR="00610FD2" w:rsidRPr="00610FD2">
        <w:t xml:space="preserve"> </w:t>
      </w:r>
      <w:r w:rsidR="00610FD2">
        <w:t>несбалансированной</w:t>
      </w:r>
      <w:r w:rsidR="00610FD2" w:rsidRPr="00610FD2">
        <w:t xml:space="preserve"> </w:t>
      </w:r>
      <w:r w:rsidR="00610FD2">
        <w:t>ситуации</w:t>
      </w:r>
      <w:r w:rsidR="00610FD2" w:rsidRPr="00610FD2">
        <w:t xml:space="preserve"> </w:t>
      </w:r>
      <w:r w:rsidR="00610FD2">
        <w:t>в</w:t>
      </w:r>
      <w:r w:rsidR="00610FD2" w:rsidRPr="00610FD2">
        <w:t xml:space="preserve"> </w:t>
      </w:r>
      <w:r w:rsidR="00610FD2">
        <w:t>обработке</w:t>
      </w:r>
      <w:r w:rsidR="00610FD2" w:rsidRPr="00610FD2">
        <w:t xml:space="preserve"> </w:t>
      </w:r>
      <w:r w:rsidR="00610FD2">
        <w:t>плановых</w:t>
      </w:r>
      <w:r w:rsidR="00610FD2" w:rsidRPr="00610FD2">
        <w:t xml:space="preserve"> </w:t>
      </w:r>
      <w:r w:rsidR="00610FD2">
        <w:t>и</w:t>
      </w:r>
      <w:r w:rsidR="00610FD2" w:rsidRPr="00610FD2">
        <w:t xml:space="preserve"> </w:t>
      </w:r>
      <w:r w:rsidR="00610FD2">
        <w:t>неплановых</w:t>
      </w:r>
      <w:r w:rsidR="00610FD2" w:rsidRPr="00610FD2">
        <w:t xml:space="preserve"> </w:t>
      </w:r>
      <w:r w:rsidR="00610FD2">
        <w:t>присвоений</w:t>
      </w:r>
      <w:r w:rsidR="00803403">
        <w:t xml:space="preserve"> между регионами</w:t>
      </w:r>
      <w:r w:rsidRPr="00610FD2">
        <w:t>.</w:t>
      </w:r>
      <w:bookmarkEnd w:id="12"/>
    </w:p>
    <w:p w14:paraId="22135820" w14:textId="77777777" w:rsidR="005F0545" w:rsidRPr="009B12F3" w:rsidRDefault="0034646E" w:rsidP="00BD71B8">
      <w:pPr>
        <w:pStyle w:val="AppendixNo"/>
        <w:spacing w:before="0"/>
      </w:pPr>
      <w:bookmarkStart w:id="13" w:name="_Toc42495225"/>
      <w:r w:rsidRPr="009B12F3">
        <w:lastRenderedPageBreak/>
        <w:t xml:space="preserve">ПРИЛОЖЕНИЕ </w:t>
      </w:r>
      <w:r w:rsidRPr="009B12F3">
        <w:rPr>
          <w:rStyle w:val="href"/>
        </w:rPr>
        <w:t>30A</w:t>
      </w:r>
      <w:r w:rsidRPr="009B12F3">
        <w:t xml:space="preserve">  (</w:t>
      </w:r>
      <w:r w:rsidRPr="009B12F3">
        <w:rPr>
          <w:caps w:val="0"/>
        </w:rPr>
        <w:t>ПЕРЕСМ</w:t>
      </w:r>
      <w:r w:rsidRPr="009B12F3">
        <w:t>. ВКР-1</w:t>
      </w:r>
      <w:r w:rsidRPr="0034646E">
        <w:t>9</w:t>
      </w:r>
      <w:r w:rsidRPr="009B12F3">
        <w:t>)</w:t>
      </w:r>
      <w:r w:rsidRPr="009B12F3">
        <w:rPr>
          <w:rStyle w:val="FootnoteReference"/>
        </w:rPr>
        <w:footnoteReference w:customMarkFollows="1" w:id="4"/>
        <w:t>*</w:t>
      </w:r>
      <w:bookmarkEnd w:id="13"/>
    </w:p>
    <w:p w14:paraId="5B28790C" w14:textId="77777777" w:rsidR="005F0545" w:rsidRPr="009B12F3" w:rsidRDefault="0034646E" w:rsidP="00BD71B8">
      <w:pPr>
        <w:pStyle w:val="Appendixtitle"/>
        <w:rPr>
          <w:rFonts w:ascii="Times New Roman" w:hAnsi="Times New Roman"/>
        </w:rPr>
      </w:pPr>
      <w:bookmarkStart w:id="14" w:name="_Toc459987204"/>
      <w:bookmarkStart w:id="15" w:name="_Toc459987891"/>
      <w:bookmarkStart w:id="16" w:name="_Toc42495226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5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6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14"/>
      <w:bookmarkEnd w:id="15"/>
      <w:bookmarkEnd w:id="16"/>
    </w:p>
    <w:p w14:paraId="3AB8AEC1" w14:textId="77777777" w:rsidR="00B353AD" w:rsidRDefault="0034646E">
      <w:pPr>
        <w:pStyle w:val="Proposal"/>
      </w:pPr>
      <w:r>
        <w:rPr>
          <w:u w:val="single"/>
        </w:rPr>
        <w:t>NOC</w:t>
      </w:r>
      <w:r>
        <w:tab/>
        <w:t>CAN/USA/MEX/94/2</w:t>
      </w:r>
    </w:p>
    <w:p w14:paraId="5A150372" w14:textId="77777777" w:rsidR="005F0545" w:rsidRPr="00B4505C" w:rsidRDefault="0034646E" w:rsidP="00BD71B8">
      <w:pPr>
        <w:pStyle w:val="AppArtNo"/>
        <w:keepNext w:val="0"/>
        <w:keepLines w:val="0"/>
        <w:rPr>
          <w:sz w:val="16"/>
          <w:szCs w:val="16"/>
        </w:rPr>
      </w:pPr>
      <w:r w:rsidRPr="00B4505C">
        <w:t>СТАТЬЯ  7</w:t>
      </w:r>
      <w:r w:rsidRPr="00B4505C">
        <w:rPr>
          <w:sz w:val="16"/>
          <w:szCs w:val="16"/>
        </w:rPr>
        <w:t>     (Пересм. ВКР-19)</w:t>
      </w:r>
    </w:p>
    <w:p w14:paraId="73320461" w14:textId="77777777" w:rsidR="005F0545" w:rsidRPr="00B95819" w:rsidRDefault="0034646E" w:rsidP="00BD71B8">
      <w:pPr>
        <w:pStyle w:val="AppArttitle"/>
        <w:keepNext w:val="0"/>
        <w:keepLines w:val="0"/>
      </w:pPr>
      <w:r w:rsidRPr="00B4505C">
        <w:t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частот 17,3–18,1 ГГц и в Районах 2 и 3 в полосе частот 17,7−18,1 ГГц, станциям фиксированной спутниковой службы (Земля-космос) в Районе 2 в полосах частот 14,5−14,8 ГГц и 17,8–18,1 ГГц</w:t>
      </w:r>
      <w:r w:rsidRPr="00B4505C">
        <w:rPr>
          <w:szCs w:val="26"/>
        </w:rPr>
        <w:t xml:space="preserve">, станциям фиксированной спутниковой службы (Земля-космос) в </w:t>
      </w:r>
      <w:r w:rsidRPr="00B4505C">
        <w:t xml:space="preserve">странах, перечисленных в Резолюции </w:t>
      </w:r>
      <w:r w:rsidRPr="00B4505C">
        <w:rPr>
          <w:rFonts w:eastAsia="SimSun" w:cs="Traditional Arabic"/>
          <w:sz w:val="24"/>
        </w:rPr>
        <w:t>163</w:t>
      </w:r>
      <w:r w:rsidRPr="00B4505C">
        <w:t xml:space="preserve"> (ВКР</w:t>
      </w:r>
      <w:r w:rsidRPr="00B4505C">
        <w:noBreakHyphen/>
        <w:t>15),</w:t>
      </w:r>
      <w:r w:rsidRPr="00B4505C">
        <w:rPr>
          <w:szCs w:val="26"/>
        </w:rPr>
        <w:t xml:space="preserve"> в полосе частот 14,5−14,75 ГГц и в </w:t>
      </w:r>
      <w:r w:rsidRPr="00B4505C">
        <w:t>странах, перечисленных в Резолюции </w:t>
      </w:r>
      <w:r w:rsidRPr="00B4505C">
        <w:rPr>
          <w:rFonts w:eastAsia="SimSun" w:cs="Traditional Arabic"/>
          <w:sz w:val="24"/>
        </w:rPr>
        <w:t>164</w:t>
      </w:r>
      <w:r w:rsidRPr="00B4505C">
        <w:t xml:space="preserve"> (ВКР</w:t>
      </w:r>
      <w:r w:rsidRPr="00B4505C">
        <w:noBreakHyphen/>
        <w:t>15),</w:t>
      </w:r>
      <w:r w:rsidRPr="00B4505C">
        <w:rPr>
          <w:szCs w:val="26"/>
        </w:rPr>
        <w:t xml:space="preserve"> в полосе частот 14,5−14,8 ГГц, когда эти станции не предназначены для фидерных линий для радиовещательной спутниковой службы,</w:t>
      </w:r>
      <w:r w:rsidRPr="00B4505C">
        <w:t xml:space="preserve"> и станциям радиовещательной спутниковой службы в Районе 2 в полосе частот 17,3−17,8 ГГц, когда затрагиваются частотные присвоения фидерным линиям для радиовещательных спутниковых станций в полосах частот </w:t>
      </w:r>
      <w:r w:rsidRPr="00B4505C">
        <w:rPr>
          <w:szCs w:val="26"/>
        </w:rPr>
        <w:t xml:space="preserve">14,5−14,8 ГГц и </w:t>
      </w:r>
      <w:r w:rsidRPr="00B4505C">
        <w:t>17,3−18,1 ГГц в Районах 1 и 3 или в полосе частот 17,3–17,8 ГГц в Районе 2</w:t>
      </w:r>
      <w:r w:rsidRPr="009B12F3">
        <w:rPr>
          <w:b w:val="0"/>
          <w:bCs/>
          <w:position w:val="6"/>
          <w:sz w:val="16"/>
          <w:szCs w:val="16"/>
        </w:rPr>
        <w:footnoteReference w:customMarkFollows="1" w:id="7"/>
        <w:t>28</w:t>
      </w:r>
      <w:r w:rsidRPr="00B4505C">
        <w:rPr>
          <w:b w:val="0"/>
          <w:bCs/>
          <w:sz w:val="16"/>
          <w:szCs w:val="16"/>
        </w:rPr>
        <w:t>     (ПЕРЕСМ. ВКР</w:t>
      </w:r>
      <w:r w:rsidRPr="00B95819">
        <w:rPr>
          <w:b w:val="0"/>
          <w:bCs/>
          <w:sz w:val="16"/>
          <w:szCs w:val="16"/>
        </w:rPr>
        <w:t>-19)</w:t>
      </w:r>
    </w:p>
    <w:p w14:paraId="60DEE084" w14:textId="0A43EEFD" w:rsidR="00B353AD" w:rsidRPr="00803403" w:rsidRDefault="0034646E">
      <w:pPr>
        <w:pStyle w:val="Reasons"/>
        <w:rPr>
          <w:szCs w:val="24"/>
        </w:rPr>
      </w:pPr>
      <w:r>
        <w:rPr>
          <w:b/>
        </w:rPr>
        <w:t>Основания</w:t>
      </w:r>
      <w:r w:rsidRPr="00803403">
        <w:t>:</w:t>
      </w:r>
      <w:r w:rsidRPr="00803403">
        <w:tab/>
      </w:r>
      <w:r w:rsidR="00803403">
        <w:t>Сферой</w:t>
      </w:r>
      <w:r w:rsidR="00803403" w:rsidRPr="00610FD2">
        <w:t xml:space="preserve"> </w:t>
      </w:r>
      <w:r w:rsidR="00803403">
        <w:t>охвата</w:t>
      </w:r>
      <w:r w:rsidR="00803403" w:rsidRPr="00610FD2">
        <w:t xml:space="preserve"> </w:t>
      </w:r>
      <w:r w:rsidR="00803403">
        <w:t>настоящей</w:t>
      </w:r>
      <w:r w:rsidR="00803403" w:rsidRPr="00610FD2">
        <w:t xml:space="preserve"> </w:t>
      </w:r>
      <w:r w:rsidR="00803403">
        <w:t>темы</w:t>
      </w:r>
      <w:r w:rsidR="00803403" w:rsidRPr="00610FD2">
        <w:t xml:space="preserve">, </w:t>
      </w:r>
      <w:r w:rsidR="00803403">
        <w:t>определенной</w:t>
      </w:r>
      <w:r w:rsidR="00803403" w:rsidRPr="00610FD2">
        <w:t xml:space="preserve"> </w:t>
      </w:r>
      <w:r w:rsidR="00803403">
        <w:t>в</w:t>
      </w:r>
      <w:r w:rsidR="00803403" w:rsidRPr="00610FD2">
        <w:t xml:space="preserve"> </w:t>
      </w:r>
      <w:r w:rsidR="00803403">
        <w:t>Отчете</w:t>
      </w:r>
      <w:r w:rsidR="00803403" w:rsidRPr="00610FD2">
        <w:t xml:space="preserve"> </w:t>
      </w:r>
      <w:r w:rsidR="00803403">
        <w:t>ПСК</w:t>
      </w:r>
      <w:r w:rsidR="00803403" w:rsidRPr="00610FD2">
        <w:t xml:space="preserve">, </w:t>
      </w:r>
      <w:r w:rsidR="00803403">
        <w:t>является</w:t>
      </w:r>
      <w:r w:rsidR="00803403" w:rsidRPr="00610FD2">
        <w:t xml:space="preserve"> </w:t>
      </w:r>
      <w:r w:rsidR="00803403">
        <w:t>воздействие</w:t>
      </w:r>
      <w:r w:rsidR="00803403" w:rsidRPr="00610FD2">
        <w:t xml:space="preserve"> </w:t>
      </w:r>
      <w:r w:rsidR="00803403">
        <w:t>неявного</w:t>
      </w:r>
      <w:r w:rsidR="00803403" w:rsidRPr="00610FD2">
        <w:t xml:space="preserve"> </w:t>
      </w:r>
      <w:r w:rsidR="00803403">
        <w:t>согласия</w:t>
      </w:r>
      <w:r w:rsidR="00803403" w:rsidRPr="00610FD2">
        <w:t xml:space="preserve"> </w:t>
      </w:r>
      <w:r w:rsidR="00803403">
        <w:t>по</w:t>
      </w:r>
      <w:r w:rsidR="00803403" w:rsidRPr="00610FD2">
        <w:t xml:space="preserve"> </w:t>
      </w:r>
      <w:r w:rsidR="00803403">
        <w:t>эталонной</w:t>
      </w:r>
      <w:r w:rsidR="00803403" w:rsidRPr="00610FD2">
        <w:t xml:space="preserve"> </w:t>
      </w:r>
      <w:r w:rsidR="00803403">
        <w:t>ситуации</w:t>
      </w:r>
      <w:r w:rsidR="00803403" w:rsidRPr="00610FD2">
        <w:t xml:space="preserve"> </w:t>
      </w:r>
      <w:r w:rsidR="00803403">
        <w:t>присвоений</w:t>
      </w:r>
      <w:r w:rsidR="00803403" w:rsidRPr="00610FD2">
        <w:t xml:space="preserve"> </w:t>
      </w:r>
      <w:r w:rsidR="00803403">
        <w:t>Приложения </w:t>
      </w:r>
      <w:r w:rsidR="00803403" w:rsidRPr="00610FD2">
        <w:rPr>
          <w:b/>
          <w:bCs/>
        </w:rPr>
        <w:t>30</w:t>
      </w:r>
      <w:r w:rsidR="00803403" w:rsidRPr="00610FD2">
        <w:t xml:space="preserve"> </w:t>
      </w:r>
      <w:r w:rsidR="00B95819">
        <w:t xml:space="preserve">к </w:t>
      </w:r>
      <w:r w:rsidR="00803403">
        <w:t>РР, которые не учитывают воздействие неплановых присвоений на космические службы</w:t>
      </w:r>
      <w:r w:rsidR="00803403" w:rsidRPr="00610FD2">
        <w:t xml:space="preserve">. </w:t>
      </w:r>
      <w:r w:rsidR="00803403">
        <w:t>Наряду</w:t>
      </w:r>
      <w:r w:rsidR="00803403" w:rsidRPr="00610FD2">
        <w:t xml:space="preserve"> </w:t>
      </w:r>
      <w:r w:rsidR="00803403">
        <w:t>с</w:t>
      </w:r>
      <w:r w:rsidR="00803403" w:rsidRPr="00610FD2">
        <w:t xml:space="preserve"> </w:t>
      </w:r>
      <w:r w:rsidR="00803403">
        <w:t>этим</w:t>
      </w:r>
      <w:r w:rsidR="00803403" w:rsidRPr="00610FD2">
        <w:t xml:space="preserve"> </w:t>
      </w:r>
      <w:r w:rsidR="00803403">
        <w:t>не</w:t>
      </w:r>
      <w:r w:rsidR="00803403" w:rsidRPr="00610FD2">
        <w:t xml:space="preserve"> </w:t>
      </w:r>
      <w:r w:rsidR="00803403">
        <w:t>были</w:t>
      </w:r>
      <w:r w:rsidR="00803403" w:rsidRPr="00610FD2">
        <w:t xml:space="preserve"> </w:t>
      </w:r>
      <w:r w:rsidR="00803403">
        <w:t>изучены</w:t>
      </w:r>
      <w:r w:rsidR="00803403" w:rsidRPr="00610FD2">
        <w:t xml:space="preserve"> </w:t>
      </w:r>
      <w:r w:rsidR="00803403">
        <w:t>изменения</w:t>
      </w:r>
      <w:r w:rsidR="00803403" w:rsidRPr="00610FD2">
        <w:t xml:space="preserve"> </w:t>
      </w:r>
      <w:r w:rsidR="00803403">
        <w:t>Статьи</w:t>
      </w:r>
      <w:r w:rsidR="00803403" w:rsidRPr="00610FD2">
        <w:rPr>
          <w:lang w:val="en-GB"/>
        </w:rPr>
        <w:t> </w:t>
      </w:r>
      <w:r w:rsidR="00803403" w:rsidRPr="00610FD2">
        <w:t xml:space="preserve">7 </w:t>
      </w:r>
      <w:r w:rsidR="00803403">
        <w:t>Приложения</w:t>
      </w:r>
      <w:r w:rsidR="00803403" w:rsidRPr="00610FD2">
        <w:rPr>
          <w:lang w:val="en-GB"/>
        </w:rPr>
        <w:t> </w:t>
      </w:r>
      <w:r w:rsidR="00803403" w:rsidRPr="00610FD2">
        <w:rPr>
          <w:b/>
          <w:bCs/>
        </w:rPr>
        <w:t>3</w:t>
      </w:r>
      <w:r w:rsidR="00B95819">
        <w:rPr>
          <w:b/>
          <w:bCs/>
        </w:rPr>
        <w:t>0</w:t>
      </w:r>
      <w:r w:rsidR="00803403" w:rsidRPr="00610FD2">
        <w:rPr>
          <w:b/>
          <w:bCs/>
        </w:rPr>
        <w:t xml:space="preserve"> </w:t>
      </w:r>
      <w:r w:rsidR="00B95819" w:rsidRPr="00B95819">
        <w:t xml:space="preserve">к </w:t>
      </w:r>
      <w:r w:rsidR="00803403">
        <w:t>РР</w:t>
      </w:r>
      <w:r w:rsidR="00803403" w:rsidRPr="00610FD2">
        <w:t xml:space="preserve">, </w:t>
      </w:r>
      <w:r w:rsidR="00803403">
        <w:t>и</w:t>
      </w:r>
      <w:r w:rsidR="00803403" w:rsidRPr="00610FD2">
        <w:t xml:space="preserve"> </w:t>
      </w:r>
      <w:r w:rsidR="00803403">
        <w:t>это</w:t>
      </w:r>
      <w:r w:rsidR="00803403" w:rsidRPr="00610FD2">
        <w:t xml:space="preserve"> </w:t>
      </w:r>
      <w:r w:rsidR="00803403">
        <w:t>могло</w:t>
      </w:r>
      <w:r w:rsidR="00803403" w:rsidRPr="00610FD2">
        <w:t xml:space="preserve"> </w:t>
      </w:r>
      <w:r w:rsidR="00803403">
        <w:t>привести</w:t>
      </w:r>
      <w:r w:rsidR="00803403" w:rsidRPr="00610FD2">
        <w:t xml:space="preserve"> </w:t>
      </w:r>
      <w:r w:rsidR="00803403">
        <w:t>к</w:t>
      </w:r>
      <w:r w:rsidR="00803403" w:rsidRPr="00610FD2">
        <w:t xml:space="preserve"> </w:t>
      </w:r>
      <w:r w:rsidR="00803403">
        <w:t>несбалансированной</w:t>
      </w:r>
      <w:r w:rsidR="00803403" w:rsidRPr="00610FD2">
        <w:t xml:space="preserve"> </w:t>
      </w:r>
      <w:r w:rsidR="00803403">
        <w:t>ситуации</w:t>
      </w:r>
      <w:r w:rsidR="00803403" w:rsidRPr="00610FD2">
        <w:t xml:space="preserve"> </w:t>
      </w:r>
      <w:r w:rsidR="00803403">
        <w:t>в</w:t>
      </w:r>
      <w:r w:rsidR="00803403" w:rsidRPr="00610FD2">
        <w:t xml:space="preserve"> </w:t>
      </w:r>
      <w:r w:rsidR="00803403">
        <w:t>обработке</w:t>
      </w:r>
      <w:r w:rsidR="00803403" w:rsidRPr="00610FD2">
        <w:t xml:space="preserve"> </w:t>
      </w:r>
      <w:r w:rsidR="00803403">
        <w:t>плановых</w:t>
      </w:r>
      <w:r w:rsidR="00803403" w:rsidRPr="00610FD2">
        <w:t xml:space="preserve"> </w:t>
      </w:r>
      <w:r w:rsidR="00803403">
        <w:t>и</w:t>
      </w:r>
      <w:r w:rsidR="00803403" w:rsidRPr="00610FD2">
        <w:t xml:space="preserve"> </w:t>
      </w:r>
      <w:r w:rsidR="00803403">
        <w:t>неплановых</w:t>
      </w:r>
      <w:r w:rsidR="00803403" w:rsidRPr="00610FD2">
        <w:t xml:space="preserve"> </w:t>
      </w:r>
      <w:r w:rsidR="00803403">
        <w:t>присвоений между регионами</w:t>
      </w:r>
      <w:r w:rsidR="00803403" w:rsidRPr="00610FD2">
        <w:t>.</w:t>
      </w:r>
    </w:p>
    <w:p w14:paraId="61581BB7" w14:textId="77777777" w:rsidR="0034646E" w:rsidRPr="0034646E" w:rsidRDefault="0034646E" w:rsidP="0034646E">
      <w:pPr>
        <w:spacing w:before="480"/>
        <w:jc w:val="center"/>
      </w:pPr>
      <w:r>
        <w:t>______________</w:t>
      </w:r>
    </w:p>
    <w:sectPr w:rsidR="0034646E" w:rsidRPr="0034646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4721" w14:textId="77777777" w:rsidR="00B958BD" w:rsidRDefault="00B958BD">
      <w:r>
        <w:separator/>
      </w:r>
    </w:p>
  </w:endnote>
  <w:endnote w:type="continuationSeparator" w:id="0">
    <w:p w14:paraId="7577073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CD1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F06060" w14:textId="1E58281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5819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EEB2" w14:textId="77777777" w:rsidR="00567276" w:rsidRPr="0034646E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646E">
      <w:rPr>
        <w:lang w:val="fr-FR"/>
      </w:rPr>
      <w:t>P:\RUS\ITU-R\CONF-R\CMR23\000\094R.docx</w:t>
    </w:r>
    <w:r>
      <w:fldChar w:fldCharType="end"/>
    </w:r>
    <w:r w:rsidR="0034646E" w:rsidRPr="0034646E">
      <w:rPr>
        <w:lang w:val="en-US"/>
      </w:rPr>
      <w:t xml:space="preserve"> (530129)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F3E4" w14:textId="77777777" w:rsidR="00567276" w:rsidRPr="0034646E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646E">
      <w:rPr>
        <w:lang w:val="fr-FR"/>
      </w:rPr>
      <w:t>P:\RUS\ITU-R\CONF-R\CMR23\000\094R.docx</w:t>
    </w:r>
    <w:r>
      <w:fldChar w:fldCharType="end"/>
    </w:r>
    <w:r w:rsidR="0034646E" w:rsidRPr="0034646E">
      <w:rPr>
        <w:lang w:val="en-US"/>
      </w:rPr>
      <w:t xml:space="preserve"> (530129)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BA6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D551359" w14:textId="77777777" w:rsidR="00B958BD" w:rsidRDefault="00B958BD">
      <w:r>
        <w:continuationSeparator/>
      </w:r>
    </w:p>
  </w:footnote>
  <w:footnote w:id="1">
    <w:p w14:paraId="7D5FDF5D" w14:textId="77777777" w:rsidR="005F0545" w:rsidRPr="00304723" w:rsidRDefault="0034646E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</w:t>
      </w:r>
      <w:r>
        <w:rPr>
          <w:lang w:val="en-US"/>
        </w:rPr>
        <w:t> </w:t>
      </w:r>
      <w:r w:rsidRPr="00304723">
        <w:rPr>
          <w:lang w:val="ru-RU"/>
        </w:rPr>
        <w:t>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6208F3E3" w14:textId="77777777" w:rsidR="005F0545" w:rsidRPr="00304723" w:rsidRDefault="0034646E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0C81241C" w14:textId="77777777" w:rsidR="005F0545" w:rsidRPr="00304723" w:rsidRDefault="0034646E" w:rsidP="00BD71B8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5152F514" w14:textId="77777777" w:rsidR="005F0545" w:rsidRPr="00304723" w:rsidRDefault="0034646E" w:rsidP="00BD71B8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7690CEDD" w14:textId="77777777" w:rsidR="005F0545" w:rsidRPr="00304723" w:rsidRDefault="0034646E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rStyle w:val="FootnoteReference"/>
          <w:bCs/>
          <w:lang w:val="ru-RU"/>
        </w:rPr>
        <w:t>22</w:t>
      </w:r>
      <w:r w:rsidRPr="00304723">
        <w:rPr>
          <w:lang w:val="ru-RU"/>
        </w:rPr>
        <w:tab/>
        <w:t xml:space="preserve">Эти положения не заменяют процедур, предусмотренных Статьями </w:t>
      </w:r>
      <w:r w:rsidRPr="00304723">
        <w:rPr>
          <w:b/>
          <w:bCs/>
          <w:lang w:val="ru-RU"/>
        </w:rPr>
        <w:t>9</w:t>
      </w:r>
      <w:r w:rsidRPr="00304723">
        <w:rPr>
          <w:lang w:val="ru-RU"/>
        </w:rPr>
        <w:t xml:space="preserve"> и </w:t>
      </w:r>
      <w:r w:rsidRPr="00304723">
        <w:rPr>
          <w:b/>
          <w:bCs/>
          <w:lang w:val="ru-RU"/>
        </w:rPr>
        <w:t>11</w:t>
      </w:r>
      <w:r w:rsidRPr="00304723">
        <w:rPr>
          <w:lang w:val="ru-RU"/>
        </w:rPr>
        <w:t xml:space="preserve"> в тех случаях, когда затрагиваются станции, отличные от станций планируемой радиовещательной спутниковой службы.</w:t>
      </w:r>
      <w:r w:rsidRPr="00304723">
        <w:rPr>
          <w:sz w:val="16"/>
          <w:szCs w:val="16"/>
          <w:lang w:val="ru-RU"/>
        </w:rPr>
        <w:t>     (</w:t>
      </w:r>
      <w:r w:rsidRPr="00304723">
        <w:rPr>
          <w:sz w:val="16"/>
          <w:lang w:val="ru-RU"/>
        </w:rPr>
        <w:t>ВКР</w:t>
      </w:r>
      <w:r w:rsidRPr="00304723">
        <w:rPr>
          <w:sz w:val="16"/>
          <w:lang w:val="ru-RU"/>
        </w:rPr>
        <w:noBreakHyphen/>
        <w:t>03)</w:t>
      </w:r>
    </w:p>
  </w:footnote>
  <w:footnote w:id="4">
    <w:p w14:paraId="2C5CE2E1" w14:textId="77777777" w:rsidR="005F0545" w:rsidRPr="00304723" w:rsidRDefault="0034646E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5">
    <w:p w14:paraId="0278AF7A" w14:textId="77777777" w:rsidR="005F0545" w:rsidRPr="00304723" w:rsidRDefault="0034646E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6AF097B6" w14:textId="77777777" w:rsidR="005F0545" w:rsidRPr="00304723" w:rsidRDefault="0034646E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6">
    <w:p w14:paraId="2AF90A65" w14:textId="77777777" w:rsidR="005F0545" w:rsidRPr="00304723" w:rsidRDefault="0034646E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2F10970A" w14:textId="77777777" w:rsidR="005F0545" w:rsidRPr="00304723" w:rsidRDefault="0034646E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7">
    <w:p w14:paraId="2A7F2603" w14:textId="77777777" w:rsidR="005F0545" w:rsidRPr="00304723" w:rsidRDefault="0034646E" w:rsidP="00381332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28</w:t>
      </w:r>
      <w:r w:rsidRPr="00304723">
        <w:rPr>
          <w:lang w:val="ru-RU"/>
        </w:rPr>
        <w:tab/>
        <w:t>Эти положения не заменяют процедур, предусмотренных в Статьях</w:t>
      </w:r>
      <w:r w:rsidRPr="00304723">
        <w:rPr>
          <w:b/>
          <w:bCs/>
          <w:lang w:val="ru-RU"/>
        </w:rPr>
        <w:t> 9</w:t>
      </w:r>
      <w:r w:rsidRPr="00304723">
        <w:rPr>
          <w:lang w:val="ru-RU"/>
        </w:rPr>
        <w:t xml:space="preserve"> и </w:t>
      </w:r>
      <w:r w:rsidRPr="00304723">
        <w:rPr>
          <w:b/>
          <w:bCs/>
          <w:lang w:val="ru-RU"/>
        </w:rPr>
        <w:t>11</w:t>
      </w:r>
      <w:r w:rsidRPr="00304723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304723">
        <w:rPr>
          <w:sz w:val="16"/>
          <w:szCs w:val="16"/>
          <w:lang w:val="ru-RU"/>
        </w:rPr>
        <w:t>     (</w:t>
      </w:r>
      <w:r w:rsidRPr="00304723">
        <w:rPr>
          <w:sz w:val="16"/>
          <w:lang w:val="ru-RU"/>
        </w:rPr>
        <w:t>ВКР</w:t>
      </w:r>
      <w:r w:rsidRPr="00304723">
        <w:rPr>
          <w:sz w:val="16"/>
          <w:lang w:val="ru-RU"/>
        </w:rPr>
        <w:noBreakHyphen/>
        <w:t>03)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62E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4646E">
      <w:rPr>
        <w:noProof/>
      </w:rPr>
      <w:t>3</w:t>
    </w:r>
    <w:r>
      <w:fldChar w:fldCharType="end"/>
    </w:r>
  </w:p>
  <w:p w14:paraId="68921C1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30227561">
    <w:abstractNumId w:val="0"/>
  </w:num>
  <w:num w:numId="2" w16cid:durableId="142777259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66A08"/>
    <w:rsid w:val="00290C74"/>
    <w:rsid w:val="002A2D3F"/>
    <w:rsid w:val="002C0AAB"/>
    <w:rsid w:val="00300F84"/>
    <w:rsid w:val="003258F2"/>
    <w:rsid w:val="00344EB8"/>
    <w:rsid w:val="0034646E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3268"/>
    <w:rsid w:val="005305D5"/>
    <w:rsid w:val="00540D1E"/>
    <w:rsid w:val="0056177B"/>
    <w:rsid w:val="005651C9"/>
    <w:rsid w:val="00567276"/>
    <w:rsid w:val="005755E2"/>
    <w:rsid w:val="00597005"/>
    <w:rsid w:val="005A295E"/>
    <w:rsid w:val="005D1879"/>
    <w:rsid w:val="005D79A3"/>
    <w:rsid w:val="005E61DD"/>
    <w:rsid w:val="005F0545"/>
    <w:rsid w:val="006023DF"/>
    <w:rsid w:val="00610FD2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03403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53AD"/>
    <w:rsid w:val="00B468A6"/>
    <w:rsid w:val="00B75113"/>
    <w:rsid w:val="00B95819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142D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A52D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9A0AE-17FB-4C6B-80D6-1798FCEF348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0B009-6905-45CC-B2B1-ED0EC0E3BA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R23-WRC23-C-0094!!MSW-R</vt:lpstr>
    </vt:vector>
  </TitlesOfParts>
  <Manager>General Secretariat - Pool</Manager>
  <Company>International Telecommunication Union (ITU)</Company>
  <LinksUpToDate>false</LinksUpToDate>
  <CharactersWithSpaces>3884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R23-WRC23-C-0094!!MSW-R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6</cp:revision>
  <cp:lastPrinted>2003-06-17T08:22:00Z</cp:lastPrinted>
  <dcterms:created xsi:type="dcterms:W3CDTF">2023-11-11T21:21:00Z</dcterms:created>
  <dcterms:modified xsi:type="dcterms:W3CDTF">2023-11-12T11:08:00Z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