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8741C6" w14:paraId="7B496ED1" w14:textId="77777777" w:rsidTr="00C1305F">
        <w:trPr>
          <w:cantSplit/>
        </w:trPr>
        <w:tc>
          <w:tcPr>
            <w:tcW w:w="1418" w:type="dxa"/>
            <w:vAlign w:val="center"/>
          </w:tcPr>
          <w:p w14:paraId="599356BD" w14:textId="77777777" w:rsidR="00C1305F" w:rsidRPr="008741C6" w:rsidRDefault="00C1305F" w:rsidP="00042256">
            <w:pPr>
              <w:spacing w:before="0"/>
              <w:rPr>
                <w:rFonts w:ascii="Verdana" w:hAnsi="Verdana"/>
                <w:b/>
                <w:bCs/>
                <w:sz w:val="20"/>
              </w:rPr>
              <w:pPrChange w:id="0" w:author="French" w:date="2023-11-14T07:14:00Z">
                <w:pPr>
                  <w:framePr w:hSpace="180" w:wrap="around" w:hAnchor="margin" w:y="-675"/>
                  <w:spacing w:before="0" w:line="240" w:lineRule="atLeast"/>
                </w:pPr>
              </w:pPrChange>
            </w:pPr>
            <w:r w:rsidRPr="008741C6">
              <w:drawing>
                <wp:inline distT="0" distB="0" distL="0" distR="0" wp14:anchorId="1E8474B8" wp14:editId="5A7E770E">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04737897" w14:textId="59420083" w:rsidR="00C1305F" w:rsidRPr="008741C6" w:rsidRDefault="00C1305F" w:rsidP="00042256">
            <w:pPr>
              <w:spacing w:before="400" w:after="48"/>
              <w:rPr>
                <w:rFonts w:ascii="Verdana" w:hAnsi="Verdana"/>
                <w:b/>
                <w:bCs/>
                <w:sz w:val="20"/>
              </w:rPr>
              <w:pPrChange w:id="1" w:author="French" w:date="2023-11-14T07:14:00Z">
                <w:pPr>
                  <w:framePr w:hSpace="180" w:wrap="around" w:hAnchor="margin" w:y="-675"/>
                  <w:spacing w:before="400" w:after="48" w:line="240" w:lineRule="atLeast"/>
                </w:pPr>
              </w:pPrChange>
            </w:pPr>
            <w:r w:rsidRPr="008741C6">
              <w:rPr>
                <w:rFonts w:ascii="Verdana" w:hAnsi="Verdana"/>
                <w:b/>
                <w:bCs/>
                <w:sz w:val="20"/>
              </w:rPr>
              <w:t>Conférence mondiale des radiocommunications (CMR-23)</w:t>
            </w:r>
            <w:r w:rsidRPr="008741C6">
              <w:rPr>
                <w:rFonts w:ascii="Verdana" w:hAnsi="Verdana"/>
                <w:b/>
                <w:bCs/>
                <w:sz w:val="20"/>
              </w:rPr>
              <w:br/>
            </w:r>
            <w:r w:rsidRPr="008741C6">
              <w:rPr>
                <w:rFonts w:ascii="Verdana" w:hAnsi="Verdana"/>
                <w:b/>
                <w:bCs/>
                <w:sz w:val="18"/>
                <w:szCs w:val="18"/>
              </w:rPr>
              <w:t xml:space="preserve">Dubaï, 20 novembre </w:t>
            </w:r>
            <w:r w:rsidR="006B5843" w:rsidRPr="008741C6">
              <w:rPr>
                <w:rFonts w:ascii="Verdana" w:hAnsi="Verdana"/>
                <w:b/>
                <w:bCs/>
                <w:sz w:val="18"/>
                <w:szCs w:val="18"/>
              </w:rPr>
              <w:t>–</w:t>
            </w:r>
            <w:r w:rsidRPr="008741C6">
              <w:rPr>
                <w:rFonts w:ascii="Verdana" w:hAnsi="Verdana"/>
                <w:b/>
                <w:bCs/>
                <w:sz w:val="18"/>
                <w:szCs w:val="18"/>
              </w:rPr>
              <w:t xml:space="preserve"> 15 décembre 2023</w:t>
            </w:r>
          </w:p>
        </w:tc>
        <w:tc>
          <w:tcPr>
            <w:tcW w:w="1809" w:type="dxa"/>
            <w:vAlign w:val="center"/>
          </w:tcPr>
          <w:p w14:paraId="5CE5E9DB" w14:textId="77777777" w:rsidR="00C1305F" w:rsidRPr="008741C6" w:rsidRDefault="00C1305F" w:rsidP="00042256">
            <w:pPr>
              <w:spacing w:before="0"/>
              <w:pPrChange w:id="2" w:author="French" w:date="2023-11-14T07:14:00Z">
                <w:pPr>
                  <w:framePr w:hSpace="180" w:wrap="around" w:hAnchor="margin" w:y="-675"/>
                  <w:spacing w:before="0" w:line="240" w:lineRule="atLeast"/>
                </w:pPr>
              </w:pPrChange>
            </w:pPr>
            <w:r w:rsidRPr="008741C6">
              <w:drawing>
                <wp:inline distT="0" distB="0" distL="0" distR="0" wp14:anchorId="40AA477A" wp14:editId="5F84E2AB">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8741C6" w14:paraId="4C84AFEA" w14:textId="77777777" w:rsidTr="0050008E">
        <w:trPr>
          <w:cantSplit/>
        </w:trPr>
        <w:tc>
          <w:tcPr>
            <w:tcW w:w="6911" w:type="dxa"/>
            <w:gridSpan w:val="2"/>
            <w:tcBorders>
              <w:bottom w:val="single" w:sz="12" w:space="0" w:color="auto"/>
            </w:tcBorders>
          </w:tcPr>
          <w:p w14:paraId="4B2D3638" w14:textId="77777777" w:rsidR="00BB1D82" w:rsidRPr="008741C6" w:rsidRDefault="00BB1D82" w:rsidP="00042256">
            <w:pPr>
              <w:spacing w:before="0" w:after="48"/>
              <w:rPr>
                <w:b/>
                <w:smallCaps/>
                <w:szCs w:val="24"/>
              </w:rPr>
              <w:pPrChange w:id="3" w:author="French" w:date="2023-11-14T07:14:00Z">
                <w:pPr>
                  <w:framePr w:hSpace="180" w:wrap="around" w:hAnchor="margin" w:y="-675"/>
                  <w:spacing w:before="0" w:after="48" w:line="240" w:lineRule="atLeast"/>
                </w:pPr>
              </w:pPrChange>
            </w:pPr>
            <w:bookmarkStart w:id="4" w:name="dhead"/>
          </w:p>
        </w:tc>
        <w:tc>
          <w:tcPr>
            <w:tcW w:w="3120" w:type="dxa"/>
            <w:gridSpan w:val="2"/>
            <w:tcBorders>
              <w:bottom w:val="single" w:sz="12" w:space="0" w:color="auto"/>
            </w:tcBorders>
          </w:tcPr>
          <w:p w14:paraId="2085EA92" w14:textId="77777777" w:rsidR="00BB1D82" w:rsidRPr="008741C6" w:rsidRDefault="00BB1D82" w:rsidP="00042256">
            <w:pPr>
              <w:spacing w:before="0"/>
              <w:rPr>
                <w:rFonts w:ascii="Verdana" w:hAnsi="Verdana"/>
                <w:szCs w:val="24"/>
              </w:rPr>
              <w:pPrChange w:id="5" w:author="French" w:date="2023-11-14T07:14:00Z">
                <w:pPr>
                  <w:framePr w:hSpace="180" w:wrap="around" w:hAnchor="margin" w:y="-675"/>
                  <w:spacing w:before="0" w:line="240" w:lineRule="atLeast"/>
                </w:pPr>
              </w:pPrChange>
            </w:pPr>
          </w:p>
        </w:tc>
      </w:tr>
      <w:tr w:rsidR="00BB1D82" w:rsidRPr="008741C6" w14:paraId="073580EB" w14:textId="77777777" w:rsidTr="00BB1D82">
        <w:trPr>
          <w:cantSplit/>
        </w:trPr>
        <w:tc>
          <w:tcPr>
            <w:tcW w:w="6911" w:type="dxa"/>
            <w:gridSpan w:val="2"/>
            <w:tcBorders>
              <w:top w:val="single" w:sz="12" w:space="0" w:color="auto"/>
            </w:tcBorders>
          </w:tcPr>
          <w:p w14:paraId="195D8BC9" w14:textId="77777777" w:rsidR="00BB1D82" w:rsidRPr="008741C6" w:rsidRDefault="00BB1D82" w:rsidP="00042256">
            <w:pPr>
              <w:spacing w:before="0" w:after="48"/>
              <w:rPr>
                <w:rFonts w:ascii="Verdana" w:hAnsi="Verdana"/>
                <w:b/>
                <w:smallCaps/>
                <w:sz w:val="20"/>
              </w:rPr>
              <w:pPrChange w:id="6" w:author="French" w:date="2023-11-14T07:14:00Z">
                <w:pPr>
                  <w:framePr w:hSpace="180" w:wrap="around" w:hAnchor="margin" w:y="-675"/>
                  <w:spacing w:before="0" w:after="48" w:line="240" w:lineRule="atLeast"/>
                </w:pPr>
              </w:pPrChange>
            </w:pPr>
          </w:p>
        </w:tc>
        <w:tc>
          <w:tcPr>
            <w:tcW w:w="3120" w:type="dxa"/>
            <w:gridSpan w:val="2"/>
            <w:tcBorders>
              <w:top w:val="single" w:sz="12" w:space="0" w:color="auto"/>
            </w:tcBorders>
          </w:tcPr>
          <w:p w14:paraId="34C86773" w14:textId="77777777" w:rsidR="00BB1D82" w:rsidRPr="008741C6" w:rsidRDefault="00BB1D82" w:rsidP="00042256">
            <w:pPr>
              <w:spacing w:before="0"/>
              <w:rPr>
                <w:rFonts w:ascii="Verdana" w:hAnsi="Verdana"/>
                <w:sz w:val="20"/>
              </w:rPr>
              <w:pPrChange w:id="7" w:author="French" w:date="2023-11-14T07:14:00Z">
                <w:pPr>
                  <w:framePr w:hSpace="180" w:wrap="around" w:hAnchor="margin" w:y="-675"/>
                  <w:spacing w:before="0" w:line="240" w:lineRule="atLeast"/>
                </w:pPr>
              </w:pPrChange>
            </w:pPr>
          </w:p>
        </w:tc>
      </w:tr>
      <w:tr w:rsidR="00BB1D82" w:rsidRPr="008741C6" w14:paraId="3E1F6F7F" w14:textId="77777777" w:rsidTr="00BB1D82">
        <w:trPr>
          <w:cantSplit/>
        </w:trPr>
        <w:tc>
          <w:tcPr>
            <w:tcW w:w="6911" w:type="dxa"/>
            <w:gridSpan w:val="2"/>
          </w:tcPr>
          <w:p w14:paraId="2A9F7E8E" w14:textId="77777777" w:rsidR="00BB1D82" w:rsidRPr="008741C6" w:rsidRDefault="006D4724" w:rsidP="00042256">
            <w:pPr>
              <w:spacing w:before="0"/>
              <w:rPr>
                <w:rFonts w:ascii="Verdana" w:hAnsi="Verdana"/>
                <w:b/>
                <w:sz w:val="20"/>
              </w:rPr>
            </w:pPr>
            <w:r w:rsidRPr="008741C6">
              <w:rPr>
                <w:rFonts w:ascii="Verdana" w:hAnsi="Verdana"/>
                <w:b/>
                <w:sz w:val="20"/>
              </w:rPr>
              <w:t>SÉANCE PLÉNIÈRE</w:t>
            </w:r>
          </w:p>
        </w:tc>
        <w:tc>
          <w:tcPr>
            <w:tcW w:w="3120" w:type="dxa"/>
            <w:gridSpan w:val="2"/>
          </w:tcPr>
          <w:p w14:paraId="43C6D67E" w14:textId="77777777" w:rsidR="00BB1D82" w:rsidRPr="008741C6" w:rsidRDefault="006D4724" w:rsidP="00042256">
            <w:pPr>
              <w:spacing w:before="0"/>
              <w:rPr>
                <w:rFonts w:ascii="Verdana" w:hAnsi="Verdana"/>
                <w:sz w:val="20"/>
              </w:rPr>
            </w:pPr>
            <w:r w:rsidRPr="008741C6">
              <w:rPr>
                <w:rFonts w:ascii="Verdana" w:hAnsi="Verdana"/>
                <w:b/>
                <w:sz w:val="20"/>
              </w:rPr>
              <w:t>Document 94</w:t>
            </w:r>
            <w:r w:rsidR="00BB1D82" w:rsidRPr="008741C6">
              <w:rPr>
                <w:rFonts w:ascii="Verdana" w:hAnsi="Verdana"/>
                <w:b/>
                <w:sz w:val="20"/>
              </w:rPr>
              <w:t>-</w:t>
            </w:r>
            <w:r w:rsidRPr="008741C6">
              <w:rPr>
                <w:rFonts w:ascii="Verdana" w:hAnsi="Verdana"/>
                <w:b/>
                <w:sz w:val="20"/>
              </w:rPr>
              <w:t>F</w:t>
            </w:r>
          </w:p>
        </w:tc>
      </w:tr>
      <w:bookmarkEnd w:id="4"/>
      <w:tr w:rsidR="00690C7B" w:rsidRPr="008741C6" w14:paraId="7EF5F84A" w14:textId="77777777" w:rsidTr="00BB1D82">
        <w:trPr>
          <w:cantSplit/>
        </w:trPr>
        <w:tc>
          <w:tcPr>
            <w:tcW w:w="6911" w:type="dxa"/>
            <w:gridSpan w:val="2"/>
          </w:tcPr>
          <w:p w14:paraId="57053F2A" w14:textId="77777777" w:rsidR="00690C7B" w:rsidRPr="008741C6" w:rsidRDefault="00690C7B" w:rsidP="00042256">
            <w:pPr>
              <w:spacing w:before="0"/>
              <w:rPr>
                <w:rFonts w:ascii="Verdana" w:hAnsi="Verdana"/>
                <w:b/>
                <w:sz w:val="20"/>
              </w:rPr>
            </w:pPr>
          </w:p>
        </w:tc>
        <w:tc>
          <w:tcPr>
            <w:tcW w:w="3120" w:type="dxa"/>
            <w:gridSpan w:val="2"/>
          </w:tcPr>
          <w:p w14:paraId="7F551AE6" w14:textId="77777777" w:rsidR="00690C7B" w:rsidRPr="008741C6" w:rsidRDefault="00690C7B" w:rsidP="00042256">
            <w:pPr>
              <w:spacing w:before="0"/>
              <w:rPr>
                <w:rFonts w:ascii="Verdana" w:hAnsi="Verdana"/>
                <w:b/>
                <w:sz w:val="20"/>
              </w:rPr>
            </w:pPr>
            <w:r w:rsidRPr="008741C6">
              <w:rPr>
                <w:rFonts w:ascii="Verdana" w:hAnsi="Verdana"/>
                <w:b/>
                <w:sz w:val="20"/>
              </w:rPr>
              <w:t>27 octobre 2023</w:t>
            </w:r>
          </w:p>
        </w:tc>
      </w:tr>
      <w:tr w:rsidR="00690C7B" w:rsidRPr="008741C6" w14:paraId="209E6D7D" w14:textId="77777777" w:rsidTr="00BB1D82">
        <w:trPr>
          <w:cantSplit/>
        </w:trPr>
        <w:tc>
          <w:tcPr>
            <w:tcW w:w="6911" w:type="dxa"/>
            <w:gridSpan w:val="2"/>
          </w:tcPr>
          <w:p w14:paraId="3D433022" w14:textId="77777777" w:rsidR="00690C7B" w:rsidRPr="008741C6" w:rsidRDefault="00690C7B" w:rsidP="00042256">
            <w:pPr>
              <w:spacing w:before="0" w:after="48"/>
              <w:rPr>
                <w:rFonts w:ascii="Verdana" w:hAnsi="Verdana"/>
                <w:b/>
                <w:smallCaps/>
                <w:sz w:val="20"/>
              </w:rPr>
            </w:pPr>
          </w:p>
        </w:tc>
        <w:tc>
          <w:tcPr>
            <w:tcW w:w="3120" w:type="dxa"/>
            <w:gridSpan w:val="2"/>
          </w:tcPr>
          <w:p w14:paraId="559A6EED" w14:textId="77777777" w:rsidR="00690C7B" w:rsidRPr="008741C6" w:rsidRDefault="00690C7B" w:rsidP="00042256">
            <w:pPr>
              <w:spacing w:before="0"/>
              <w:rPr>
                <w:rFonts w:ascii="Verdana" w:hAnsi="Verdana"/>
                <w:b/>
                <w:sz w:val="20"/>
              </w:rPr>
            </w:pPr>
            <w:r w:rsidRPr="008741C6">
              <w:rPr>
                <w:rFonts w:ascii="Verdana" w:hAnsi="Verdana"/>
                <w:b/>
                <w:sz w:val="20"/>
              </w:rPr>
              <w:t>Original: anglais</w:t>
            </w:r>
          </w:p>
        </w:tc>
      </w:tr>
      <w:tr w:rsidR="00690C7B" w:rsidRPr="008741C6" w14:paraId="09F7B108" w14:textId="77777777" w:rsidTr="00C11970">
        <w:trPr>
          <w:cantSplit/>
        </w:trPr>
        <w:tc>
          <w:tcPr>
            <w:tcW w:w="10031" w:type="dxa"/>
            <w:gridSpan w:val="4"/>
          </w:tcPr>
          <w:p w14:paraId="78DB23C2" w14:textId="77777777" w:rsidR="00690C7B" w:rsidRPr="008741C6" w:rsidRDefault="00690C7B" w:rsidP="00042256">
            <w:pPr>
              <w:spacing w:before="0"/>
              <w:rPr>
                <w:rFonts w:ascii="Verdana" w:hAnsi="Verdana"/>
                <w:b/>
                <w:sz w:val="20"/>
              </w:rPr>
            </w:pPr>
          </w:p>
        </w:tc>
      </w:tr>
      <w:tr w:rsidR="00690C7B" w:rsidRPr="008741C6" w14:paraId="3FA10634" w14:textId="77777777" w:rsidTr="0050008E">
        <w:trPr>
          <w:cantSplit/>
        </w:trPr>
        <w:tc>
          <w:tcPr>
            <w:tcW w:w="10031" w:type="dxa"/>
            <w:gridSpan w:val="4"/>
          </w:tcPr>
          <w:p w14:paraId="7E4F3494" w14:textId="3398A2C6" w:rsidR="00690C7B" w:rsidRPr="008741C6" w:rsidRDefault="00690C7B" w:rsidP="00042256">
            <w:pPr>
              <w:pStyle w:val="Source"/>
            </w:pPr>
            <w:bookmarkStart w:id="8" w:name="dsource" w:colFirst="0" w:colLast="0"/>
            <w:r w:rsidRPr="008741C6">
              <w:t>Canada/</w:t>
            </w:r>
            <w:r w:rsidR="00FE1622" w:rsidRPr="008741C6">
              <w:t>É</w:t>
            </w:r>
            <w:r w:rsidRPr="008741C6">
              <w:t>tats-Unis d'Amérique/Mexique</w:t>
            </w:r>
          </w:p>
        </w:tc>
      </w:tr>
      <w:tr w:rsidR="00690C7B" w:rsidRPr="008741C6" w14:paraId="546E8F80" w14:textId="77777777" w:rsidTr="0050008E">
        <w:trPr>
          <w:cantSplit/>
        </w:trPr>
        <w:tc>
          <w:tcPr>
            <w:tcW w:w="10031" w:type="dxa"/>
            <w:gridSpan w:val="4"/>
          </w:tcPr>
          <w:p w14:paraId="1F77DD39" w14:textId="7920DE76" w:rsidR="00690C7B" w:rsidRPr="008741C6" w:rsidRDefault="006B5843" w:rsidP="00042256">
            <w:pPr>
              <w:pStyle w:val="Title1"/>
            </w:pPr>
            <w:bookmarkStart w:id="9" w:name="dtitle1" w:colFirst="0" w:colLast="0"/>
            <w:bookmarkEnd w:id="8"/>
            <w:r w:rsidRPr="008741C6">
              <w:t>Propositions pour les travaux de la conférence</w:t>
            </w:r>
          </w:p>
        </w:tc>
      </w:tr>
      <w:tr w:rsidR="00690C7B" w:rsidRPr="008741C6" w14:paraId="52034DA4" w14:textId="77777777" w:rsidTr="0050008E">
        <w:trPr>
          <w:cantSplit/>
        </w:trPr>
        <w:tc>
          <w:tcPr>
            <w:tcW w:w="10031" w:type="dxa"/>
            <w:gridSpan w:val="4"/>
          </w:tcPr>
          <w:p w14:paraId="3083F964" w14:textId="77777777" w:rsidR="00690C7B" w:rsidRPr="008741C6" w:rsidRDefault="00690C7B" w:rsidP="00042256">
            <w:pPr>
              <w:pStyle w:val="Title2"/>
            </w:pPr>
            <w:bookmarkStart w:id="10" w:name="dtitle2" w:colFirst="0" w:colLast="0"/>
            <w:bookmarkEnd w:id="9"/>
          </w:p>
        </w:tc>
      </w:tr>
      <w:tr w:rsidR="00690C7B" w:rsidRPr="008741C6" w14:paraId="4C11F707" w14:textId="77777777" w:rsidTr="0050008E">
        <w:trPr>
          <w:cantSplit/>
        </w:trPr>
        <w:tc>
          <w:tcPr>
            <w:tcW w:w="10031" w:type="dxa"/>
            <w:gridSpan w:val="4"/>
          </w:tcPr>
          <w:p w14:paraId="63C65E06" w14:textId="77777777" w:rsidR="00690C7B" w:rsidRPr="008741C6" w:rsidRDefault="00690C7B" w:rsidP="00042256">
            <w:pPr>
              <w:pStyle w:val="Agendaitem"/>
              <w:rPr>
                <w:lang w:val="fr-FR"/>
              </w:rPr>
            </w:pPr>
            <w:bookmarkStart w:id="11" w:name="dtitle3" w:colFirst="0" w:colLast="0"/>
            <w:bookmarkEnd w:id="10"/>
            <w:r w:rsidRPr="008741C6">
              <w:rPr>
                <w:lang w:val="fr-FR"/>
              </w:rPr>
              <w:t>Point 7(H) de l'ordre du jour</w:t>
            </w:r>
          </w:p>
        </w:tc>
      </w:tr>
    </w:tbl>
    <w:bookmarkEnd w:id="11"/>
    <w:p w14:paraId="683EA221" w14:textId="77777777" w:rsidR="001F7468" w:rsidRPr="008741C6" w:rsidRDefault="00A2756A" w:rsidP="00042256">
      <w:r w:rsidRPr="008741C6">
        <w:t>7</w:t>
      </w:r>
      <w:r w:rsidRPr="008741C6">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8741C6">
        <w:rPr>
          <w:b/>
          <w:bCs/>
        </w:rPr>
        <w:t>86 (Rév.CMR-07)</w:t>
      </w:r>
      <w:r w:rsidRPr="008741C6">
        <w:t>, afin de faciliter l'utilisation rationnelle, efficace et économique des fréquences radioélectriques et des orbites associées, y compris de l'orbite des satellites géostationnaires;</w:t>
      </w:r>
    </w:p>
    <w:p w14:paraId="45DEBCFB" w14:textId="77777777" w:rsidR="001F7468" w:rsidRPr="008741C6" w:rsidRDefault="00A2756A" w:rsidP="00042256">
      <w:r w:rsidRPr="008741C6">
        <w:t>7(H)</w:t>
      </w:r>
      <w:r w:rsidRPr="008741C6">
        <w:tab/>
        <w:t xml:space="preserve">Question H – Renforcement de la protection des Appendices </w:t>
      </w:r>
      <w:r w:rsidRPr="008741C6">
        <w:rPr>
          <w:b/>
          <w:bCs/>
        </w:rPr>
        <w:t>30/30A</w:t>
      </w:r>
      <w:r w:rsidRPr="008741C6">
        <w:t xml:space="preserve"> du RR dans les Régions 1 et 3 et de l'Appendice </w:t>
      </w:r>
      <w:r w:rsidRPr="008741C6">
        <w:rPr>
          <w:b/>
          <w:bCs/>
        </w:rPr>
        <w:t>30B</w:t>
      </w:r>
      <w:r w:rsidRPr="008741C6">
        <w:t xml:space="preserve"> du RR</w:t>
      </w:r>
    </w:p>
    <w:p w14:paraId="0D04BFBB" w14:textId="77777777" w:rsidR="003A583E" w:rsidRPr="008741C6" w:rsidRDefault="003A583E" w:rsidP="00042256"/>
    <w:p w14:paraId="0A3C148C" w14:textId="77777777" w:rsidR="0015203F" w:rsidRPr="008741C6" w:rsidRDefault="0015203F" w:rsidP="00042256">
      <w:pPr>
        <w:tabs>
          <w:tab w:val="clear" w:pos="1134"/>
          <w:tab w:val="clear" w:pos="1871"/>
          <w:tab w:val="clear" w:pos="2268"/>
        </w:tabs>
        <w:overflowPunct/>
        <w:autoSpaceDE/>
        <w:autoSpaceDN/>
        <w:adjustRightInd/>
        <w:spacing w:before="0"/>
        <w:textAlignment w:val="auto"/>
      </w:pPr>
      <w:r w:rsidRPr="008741C6">
        <w:br w:type="page"/>
      </w:r>
    </w:p>
    <w:p w14:paraId="3DECE765" w14:textId="77777777" w:rsidR="001F7468" w:rsidRPr="008741C6" w:rsidRDefault="00A2756A" w:rsidP="00042256">
      <w:pPr>
        <w:pStyle w:val="AppendixNo"/>
        <w:spacing w:before="0"/>
      </w:pPr>
      <w:bookmarkStart w:id="12" w:name="_Hlk42600528"/>
      <w:bookmarkStart w:id="13" w:name="_Toc46345851"/>
      <w:r w:rsidRPr="008741C6">
        <w:lastRenderedPageBreak/>
        <w:t xml:space="preserve">APPENDICE </w:t>
      </w:r>
      <w:r w:rsidRPr="008741C6">
        <w:rPr>
          <w:rStyle w:val="href"/>
        </w:rPr>
        <w:t>30</w:t>
      </w:r>
      <w:bookmarkEnd w:id="12"/>
      <w:r w:rsidRPr="008741C6">
        <w:t xml:space="preserve"> (R</w:t>
      </w:r>
      <w:r w:rsidRPr="008741C6">
        <w:rPr>
          <w:caps w:val="0"/>
        </w:rPr>
        <w:t>ÉV</w:t>
      </w:r>
      <w:r w:rsidRPr="008741C6">
        <w:t>.CMR</w:t>
      </w:r>
      <w:r w:rsidRPr="008741C6">
        <w:noBreakHyphen/>
        <w:t>19)</w:t>
      </w:r>
      <w:r w:rsidRPr="008741C6">
        <w:rPr>
          <w:rStyle w:val="FootnoteReference"/>
        </w:rPr>
        <w:footnoteReference w:customMarkFollows="1" w:id="1"/>
        <w:t>*</w:t>
      </w:r>
      <w:bookmarkEnd w:id="13"/>
    </w:p>
    <w:p w14:paraId="4475F1CC" w14:textId="77777777" w:rsidR="001F7468" w:rsidRPr="008741C6" w:rsidRDefault="00A2756A" w:rsidP="00042256">
      <w:pPr>
        <w:pStyle w:val="Appendixtitle"/>
        <w:rPr>
          <w:rFonts w:asciiTheme="majorBidi" w:hAnsiTheme="majorBidi"/>
        </w:rPr>
      </w:pPr>
      <w:bookmarkStart w:id="14" w:name="_Toc459986341"/>
      <w:bookmarkStart w:id="15" w:name="_Toc459987791"/>
      <w:bookmarkStart w:id="16" w:name="_Toc46345852"/>
      <w:r w:rsidRPr="008741C6">
        <w:t>Dispositions applicables à tous les services et Plans et Liste</w:t>
      </w:r>
      <w:r w:rsidRPr="008741C6">
        <w:rPr>
          <w:rStyle w:val="FootnoteReference"/>
          <w:rFonts w:ascii="Times New Roman" w:hAnsi="Times New Roman"/>
          <w:b w:val="0"/>
          <w:bCs/>
          <w:color w:val="000000"/>
        </w:rPr>
        <w:footnoteReference w:customMarkFollows="1" w:id="2"/>
        <w:t>1</w:t>
      </w:r>
      <w:r w:rsidRPr="008741C6">
        <w:t xml:space="preserve"> associés</w:t>
      </w:r>
      <w:r w:rsidRPr="008741C6">
        <w:br/>
        <w:t>concernant le service de radiodiffusion par satellite dans les</w:t>
      </w:r>
      <w:r w:rsidRPr="008741C6">
        <w:br/>
        <w:t>bandes 11,7-12,2 GHz (dans la Région 3), 11,7-12,5 GHz</w:t>
      </w:r>
      <w:r w:rsidRPr="008741C6">
        <w:br/>
        <w:t>(dans la Région 1) et 12,2-12,7 GHz (dans la Région 2)</w:t>
      </w:r>
      <w:r w:rsidRPr="008741C6">
        <w:rPr>
          <w:b w:val="0"/>
          <w:sz w:val="16"/>
        </w:rPr>
        <w:t>     </w:t>
      </w:r>
      <w:r w:rsidRPr="008741C6">
        <w:rPr>
          <w:rFonts w:asciiTheme="majorBidi" w:hAnsiTheme="majorBidi"/>
          <w:b w:val="0"/>
          <w:sz w:val="16"/>
        </w:rPr>
        <w:t>(CMR</w:t>
      </w:r>
      <w:r w:rsidRPr="008741C6">
        <w:rPr>
          <w:rFonts w:asciiTheme="majorBidi" w:hAnsiTheme="majorBidi"/>
          <w:b w:val="0"/>
          <w:sz w:val="16"/>
        </w:rPr>
        <w:noBreakHyphen/>
        <w:t>03)</w:t>
      </w:r>
      <w:bookmarkEnd w:id="14"/>
      <w:bookmarkEnd w:id="15"/>
      <w:bookmarkEnd w:id="16"/>
    </w:p>
    <w:p w14:paraId="7BC9EC5B" w14:textId="77777777" w:rsidR="002178BA" w:rsidRPr="008741C6" w:rsidRDefault="00A2756A" w:rsidP="00042256">
      <w:pPr>
        <w:pStyle w:val="Proposal"/>
      </w:pPr>
      <w:r w:rsidRPr="008741C6">
        <w:rPr>
          <w:u w:val="single"/>
        </w:rPr>
        <w:t>NOC</w:t>
      </w:r>
      <w:r w:rsidRPr="008741C6">
        <w:tab/>
        <w:t>CAN/USA/MEX/94/1</w:t>
      </w:r>
    </w:p>
    <w:p w14:paraId="0C7D69AE" w14:textId="300401DA" w:rsidR="001F7468" w:rsidRPr="008741C6" w:rsidRDefault="00A2756A" w:rsidP="00042256">
      <w:pPr>
        <w:pStyle w:val="AppArtNo"/>
      </w:pPr>
      <w:r w:rsidRPr="008741C6">
        <w:t>ARTICLE 7</w:t>
      </w:r>
      <w:r w:rsidRPr="008741C6">
        <w:rPr>
          <w:sz w:val="16"/>
          <w:szCs w:val="16"/>
        </w:rPr>
        <w:t>     (RÉv.CMR</w:t>
      </w:r>
      <w:r w:rsidRPr="008741C6">
        <w:rPr>
          <w:sz w:val="16"/>
          <w:szCs w:val="16"/>
        </w:rPr>
        <w:noBreakHyphen/>
        <w:t>19)</w:t>
      </w:r>
    </w:p>
    <w:p w14:paraId="424BED2F" w14:textId="77777777" w:rsidR="001F7468" w:rsidRPr="008741C6" w:rsidRDefault="00A2756A" w:rsidP="00042256">
      <w:pPr>
        <w:pStyle w:val="AppArttitle"/>
        <w:rPr>
          <w:lang w:val="fr-FR"/>
        </w:rPr>
      </w:pPr>
      <w:bookmarkStart w:id="17" w:name="_Toc459986349"/>
      <w:r w:rsidRPr="008741C6">
        <w:rPr>
          <w:lang w:val="fr-FR"/>
        </w:rPr>
        <w:t xml:space="preserve">Coordination, notification et inscription dans le Fichier de référence international des fréquences des assignations de fréquence aux stations du service fixe par satellite (espace vers Terre) dans les bandes 11,7-12,2 GHz (dans la Région 2), 12,2-12,7 GHz (dans la Région 3) et 12,5-12,7 GHz </w:t>
      </w:r>
      <w:r w:rsidRPr="008741C6">
        <w:rPr>
          <w:lang w:val="fr-FR"/>
        </w:rPr>
        <w:br/>
        <w:t xml:space="preserve">(dans la Région 1) et aux stations du service de radiodiffusion par satellite </w:t>
      </w:r>
      <w:r w:rsidRPr="008741C6">
        <w:rPr>
          <w:lang w:val="fr-FR"/>
        </w:rPr>
        <w:br/>
        <w:t>dans la bande 12,5-12,7 GHz (dans la Région 3), lorsque des assignations de fréquence à des stations de radiodiffusion par satellite dans les bandes 11,7</w:t>
      </w:r>
      <w:r w:rsidRPr="008741C6">
        <w:rPr>
          <w:lang w:val="fr-FR"/>
        </w:rPr>
        <w:noBreakHyphen/>
        <w:t xml:space="preserve">12,5 GHz dans la Région 1, 12,2-12,7 GHz dans la Région 2 </w:t>
      </w:r>
      <w:r w:rsidRPr="008741C6">
        <w:rPr>
          <w:lang w:val="fr-FR"/>
        </w:rPr>
        <w:br/>
        <w:t>et 11,7-12,2 GHz dans la Région 3 sont concernées</w:t>
      </w:r>
      <w:r w:rsidRPr="008741C6">
        <w:rPr>
          <w:rStyle w:val="FootnoteReference"/>
          <w:b w:val="0"/>
          <w:bCs/>
          <w:color w:val="000000"/>
          <w:lang w:val="fr-FR"/>
        </w:rPr>
        <w:footnoteReference w:customMarkFollows="1" w:id="3"/>
        <w:t>22</w:t>
      </w:r>
      <w:bookmarkEnd w:id="17"/>
    </w:p>
    <w:p w14:paraId="75D70E05" w14:textId="482B730A" w:rsidR="002178BA" w:rsidRPr="008741C6" w:rsidRDefault="00A2756A" w:rsidP="00042256">
      <w:pPr>
        <w:pStyle w:val="Reasons"/>
      </w:pPr>
      <w:r w:rsidRPr="008741C6">
        <w:rPr>
          <w:b/>
        </w:rPr>
        <w:t>Motifs:</w:t>
      </w:r>
      <w:r w:rsidRPr="008741C6">
        <w:tab/>
      </w:r>
      <w:r w:rsidR="00FE1622" w:rsidRPr="008741C6">
        <w:t>La portée de cette Question, comme indiqué dans le Rapport de la RPC, concerne l</w:t>
      </w:r>
      <w:r w:rsidR="00042256" w:rsidRPr="008741C6">
        <w:t>'</w:t>
      </w:r>
      <w:r w:rsidR="00FE1622" w:rsidRPr="008741C6">
        <w:t>incidence d</w:t>
      </w:r>
      <w:r w:rsidR="00042256" w:rsidRPr="008741C6">
        <w:t>'</w:t>
      </w:r>
      <w:r w:rsidR="00FE1622" w:rsidRPr="008741C6">
        <w:t xml:space="preserve">un accord implicite sur la situation de référence des assignations figurant </w:t>
      </w:r>
      <w:r w:rsidR="001F7468" w:rsidRPr="008741C6">
        <w:t xml:space="preserve">dans </w:t>
      </w:r>
      <w:r w:rsidR="00FE1622" w:rsidRPr="008741C6">
        <w:lastRenderedPageBreak/>
        <w:t>l</w:t>
      </w:r>
      <w:r w:rsidR="00042256" w:rsidRPr="008741C6">
        <w:t>'</w:t>
      </w:r>
      <w:r w:rsidR="00FE1622" w:rsidRPr="008741C6">
        <w:t xml:space="preserve">Appendice </w:t>
      </w:r>
      <w:r w:rsidR="00FE1622" w:rsidRPr="008741C6">
        <w:rPr>
          <w:b/>
        </w:rPr>
        <w:t>30</w:t>
      </w:r>
      <w:r w:rsidR="00FE1622" w:rsidRPr="008741C6">
        <w:t xml:space="preserve"> du RR</w:t>
      </w:r>
      <w:r w:rsidR="001F7468" w:rsidRPr="008741C6">
        <w:t>,</w:t>
      </w:r>
      <w:r w:rsidR="00FE1622" w:rsidRPr="008741C6">
        <w:t xml:space="preserve"> qui ne tiennent pas compte de</w:t>
      </w:r>
      <w:r w:rsidR="001F7468" w:rsidRPr="008741C6">
        <w:t>s</w:t>
      </w:r>
      <w:r w:rsidR="00FE1622" w:rsidRPr="008741C6">
        <w:t xml:space="preserve"> incidence</w:t>
      </w:r>
      <w:r w:rsidR="001F7468" w:rsidRPr="008741C6">
        <w:t>s</w:t>
      </w:r>
      <w:r w:rsidR="00FE1622" w:rsidRPr="008741C6">
        <w:t xml:space="preserve"> des assignations </w:t>
      </w:r>
      <w:r w:rsidR="00B8544A" w:rsidRPr="008741C6">
        <w:t xml:space="preserve">non planifiées </w:t>
      </w:r>
      <w:r w:rsidR="00FE1622" w:rsidRPr="008741C6">
        <w:t xml:space="preserve">aux services spatiaux. En outre, les modifications </w:t>
      </w:r>
      <w:r w:rsidR="001F7468" w:rsidRPr="008741C6">
        <w:t xml:space="preserve">apportées à </w:t>
      </w:r>
      <w:r w:rsidR="00FE1622" w:rsidRPr="008741C6">
        <w:t>l</w:t>
      </w:r>
      <w:r w:rsidR="00042256" w:rsidRPr="008741C6">
        <w:t>'</w:t>
      </w:r>
      <w:r w:rsidR="00FE1622" w:rsidRPr="008741C6">
        <w:t>Article 7 de l</w:t>
      </w:r>
      <w:r w:rsidR="00042256" w:rsidRPr="008741C6">
        <w:t>'</w:t>
      </w:r>
      <w:r w:rsidR="00FE1622" w:rsidRPr="008741C6">
        <w:t xml:space="preserve">Appendice </w:t>
      </w:r>
      <w:r w:rsidR="00FE1622" w:rsidRPr="008741C6">
        <w:rPr>
          <w:b/>
        </w:rPr>
        <w:t>30</w:t>
      </w:r>
      <w:r w:rsidR="00FE1622" w:rsidRPr="008741C6">
        <w:t xml:space="preserve"> du RR n</w:t>
      </w:r>
      <w:r w:rsidR="00042256" w:rsidRPr="008741C6">
        <w:t>'</w:t>
      </w:r>
      <w:r w:rsidR="00FE1622" w:rsidRPr="008741C6">
        <w:t>ont pas été étudiées et pourraient conduire à un déséquilibre dans le traitement des assignations planifiées par rapport aux assignations n</w:t>
      </w:r>
      <w:r w:rsidR="00B8544A" w:rsidRPr="008741C6">
        <w:t>on planifiées entre les régions</w:t>
      </w:r>
      <w:r w:rsidRPr="008741C6">
        <w:t>.</w:t>
      </w:r>
    </w:p>
    <w:p w14:paraId="5641CFE0" w14:textId="77777777" w:rsidR="001F7468" w:rsidRPr="008741C6" w:rsidRDefault="00A2756A" w:rsidP="00042256">
      <w:pPr>
        <w:pStyle w:val="AppendixNo"/>
        <w:spacing w:before="0"/>
      </w:pPr>
      <w:bookmarkStart w:id="18" w:name="_Toc46345861"/>
      <w:r w:rsidRPr="008741C6">
        <w:t xml:space="preserve">APPENDICE </w:t>
      </w:r>
      <w:r w:rsidRPr="008741C6">
        <w:rPr>
          <w:rStyle w:val="href"/>
          <w:color w:val="000000"/>
        </w:rPr>
        <w:t>30A </w:t>
      </w:r>
      <w:r w:rsidRPr="008741C6">
        <w:t>(R</w:t>
      </w:r>
      <w:r w:rsidRPr="008741C6">
        <w:rPr>
          <w:caps w:val="0"/>
        </w:rPr>
        <w:t>ÉV</w:t>
      </w:r>
      <w:r w:rsidRPr="008741C6">
        <w:t>.CMR-19)</w:t>
      </w:r>
      <w:r w:rsidRPr="008741C6">
        <w:rPr>
          <w:rStyle w:val="FootnoteReference"/>
        </w:rPr>
        <w:footnoteReference w:customMarkFollows="1" w:id="4"/>
        <w:t>*</w:t>
      </w:r>
      <w:bookmarkEnd w:id="18"/>
    </w:p>
    <w:p w14:paraId="35D09A2B" w14:textId="77777777" w:rsidR="001F7468" w:rsidRPr="008741C6" w:rsidRDefault="00A2756A" w:rsidP="00042256">
      <w:pPr>
        <w:pStyle w:val="Appendixtitle"/>
        <w:rPr>
          <w:b w:val="0"/>
          <w:color w:val="000000"/>
          <w:sz w:val="16"/>
        </w:rPr>
      </w:pPr>
      <w:bookmarkStart w:id="19" w:name="_Toc459986364"/>
      <w:bookmarkStart w:id="20" w:name="_Toc459987807"/>
      <w:bookmarkStart w:id="21" w:name="_Toc46345862"/>
      <w:r w:rsidRPr="008741C6">
        <w:rPr>
          <w:color w:val="000000"/>
        </w:rPr>
        <w:t>Dispositions et Plans et Liste</w:t>
      </w:r>
      <w:r w:rsidRPr="008741C6">
        <w:rPr>
          <w:rFonts w:ascii="Times New Roman" w:hAnsi="Times New Roman"/>
          <w:b w:val="0"/>
          <w:bCs/>
          <w:vertAlign w:val="superscript"/>
        </w:rPr>
        <w:footnoteReference w:customMarkFollows="1" w:id="5"/>
        <w:t>1</w:t>
      </w:r>
      <w:r w:rsidRPr="008741C6">
        <w:rPr>
          <w:color w:val="000000"/>
        </w:rPr>
        <w:t xml:space="preserve"> des liaisons de connexion associés du </w:t>
      </w:r>
      <w:r w:rsidRPr="008741C6">
        <w:rPr>
          <w:color w:val="000000"/>
        </w:rPr>
        <w:br/>
        <w:t xml:space="preserve">service de radiodiffusion par satellite (11,7-12,5 GHz en Région 1, </w:t>
      </w:r>
      <w:r w:rsidRPr="008741C6">
        <w:rPr>
          <w:color w:val="000000"/>
        </w:rPr>
        <w:br/>
        <w:t xml:space="preserve">12,2-12,7 GHz en Région 2 et 11,7-12,2 GHz en Région 3) dans </w:t>
      </w:r>
      <w:r w:rsidRPr="008741C6">
        <w:rPr>
          <w:color w:val="000000"/>
        </w:rPr>
        <w:br/>
        <w:t>les bandes 14,5-14,8 GHz</w:t>
      </w:r>
      <w:r w:rsidRPr="008741C6">
        <w:rPr>
          <w:rStyle w:val="FootnoteReference"/>
          <w:rFonts w:ascii="Times New Roman" w:hAnsi="Times New Roman"/>
          <w:b w:val="0"/>
          <w:bCs/>
          <w:color w:val="000000"/>
        </w:rPr>
        <w:footnoteReference w:customMarkFollows="1" w:id="6"/>
        <w:t>2</w:t>
      </w:r>
      <w:r w:rsidRPr="008741C6">
        <w:rPr>
          <w:color w:val="000000"/>
        </w:rPr>
        <w:t xml:space="preserve"> et 17,3-18,1 GHz en Régions 1 </w:t>
      </w:r>
      <w:r w:rsidRPr="008741C6">
        <w:rPr>
          <w:color w:val="000000"/>
        </w:rPr>
        <w:br/>
        <w:t>et 3 et 17,3-17,8 GHz en Région 2</w:t>
      </w:r>
      <w:r w:rsidRPr="008741C6">
        <w:rPr>
          <w:rFonts w:ascii="Times New Roman"/>
          <w:b w:val="0"/>
          <w:color w:val="000000"/>
          <w:sz w:val="16"/>
        </w:rPr>
        <w:t>     </w:t>
      </w:r>
      <w:r w:rsidRPr="008741C6">
        <w:rPr>
          <w:rFonts w:ascii="Times New Roman"/>
          <w:b w:val="0"/>
          <w:color w:val="000000"/>
          <w:sz w:val="16"/>
        </w:rPr>
        <w:t>(CMR</w:t>
      </w:r>
      <w:r w:rsidRPr="008741C6">
        <w:rPr>
          <w:rFonts w:ascii="Times New Roman"/>
          <w:b w:val="0"/>
          <w:color w:val="000000"/>
          <w:sz w:val="16"/>
        </w:rPr>
        <w:noBreakHyphen/>
        <w:t>03)</w:t>
      </w:r>
      <w:bookmarkEnd w:id="19"/>
      <w:bookmarkEnd w:id="20"/>
      <w:bookmarkEnd w:id="21"/>
    </w:p>
    <w:p w14:paraId="1EB73CA3" w14:textId="77777777" w:rsidR="002178BA" w:rsidRPr="008741C6" w:rsidRDefault="00A2756A" w:rsidP="00042256">
      <w:pPr>
        <w:pStyle w:val="Proposal"/>
      </w:pPr>
      <w:r w:rsidRPr="008741C6">
        <w:rPr>
          <w:u w:val="single"/>
        </w:rPr>
        <w:t>NOC</w:t>
      </w:r>
      <w:r w:rsidRPr="008741C6">
        <w:tab/>
        <w:t>CAN/USA/MEX/94/2</w:t>
      </w:r>
    </w:p>
    <w:p w14:paraId="769E0AF5" w14:textId="23D83DB3" w:rsidR="001F7468" w:rsidRPr="008741C6" w:rsidRDefault="00A2756A" w:rsidP="00042256">
      <w:pPr>
        <w:pStyle w:val="AppArtNo"/>
        <w:rPr>
          <w:sz w:val="16"/>
        </w:rPr>
      </w:pPr>
      <w:r w:rsidRPr="008741C6">
        <w:t>ARTICLE 7</w:t>
      </w:r>
      <w:r w:rsidRPr="008741C6">
        <w:rPr>
          <w:sz w:val="16"/>
        </w:rPr>
        <w:t>     (Rév.CMR-19)</w:t>
      </w:r>
    </w:p>
    <w:p w14:paraId="28175FBA" w14:textId="77777777" w:rsidR="001F7468" w:rsidRPr="008741C6" w:rsidRDefault="00A2756A" w:rsidP="00042256">
      <w:pPr>
        <w:pStyle w:val="AppArttitle"/>
        <w:rPr>
          <w:lang w:val="fr-FR"/>
        </w:rPr>
      </w:pPr>
      <w:bookmarkStart w:id="22" w:name="_Toc459986372"/>
      <w:r w:rsidRPr="008741C6">
        <w:rPr>
          <w:lang w:val="fr-FR"/>
        </w:rPr>
        <w:t>Coordination, notification et inscription dans le Fichier de référence international des fréquences d'assignations de fréquence aux stations du service fixe par satellite (espace vers Terre) en Région 1 dans la bande de fréquences 17,3</w:t>
      </w:r>
      <w:r w:rsidRPr="008741C6">
        <w:rPr>
          <w:lang w:val="fr-FR"/>
        </w:rPr>
        <w:noBreakHyphen/>
        <w:t>18,1 GHz et en Régions 2 et 3 dans la bande de fréquences 17,7</w:t>
      </w:r>
      <w:r w:rsidRPr="008741C6">
        <w:rPr>
          <w:lang w:val="fr-FR"/>
        </w:rPr>
        <w:noBreakHyphen/>
        <w:t>18,1 GHz, aux stations du service fixe par satellite (Terre vers espace) en Région 2 dans les bandes de fréquences 14,5</w:t>
      </w:r>
      <w:r w:rsidRPr="008741C6">
        <w:rPr>
          <w:lang w:val="fr-FR"/>
        </w:rPr>
        <w:noBreakHyphen/>
        <w:t>14,8 GHz et 17,8</w:t>
      </w:r>
      <w:r w:rsidRPr="008741C6">
        <w:rPr>
          <w:lang w:val="fr-FR"/>
        </w:rPr>
        <w:noBreakHyphen/>
        <w:t>18,1 GHz, aux stations du service fixe par satellite (Terre vers espace) dans les pays énumérés dans la Résolution 163 (CMR</w:t>
      </w:r>
      <w:r w:rsidRPr="008741C6">
        <w:rPr>
          <w:lang w:val="fr-FR"/>
        </w:rPr>
        <w:noBreakHyphen/>
        <w:t>15) dans la bande de fréquences 14,5</w:t>
      </w:r>
      <w:r w:rsidRPr="008741C6">
        <w:rPr>
          <w:lang w:val="fr-FR"/>
        </w:rPr>
        <w:noBreakHyphen/>
        <w:t xml:space="preserve">14,75 GHz et dans les pays énumérés dans la Résolution 164 </w:t>
      </w:r>
      <w:r w:rsidRPr="008741C6">
        <w:rPr>
          <w:bCs/>
          <w:lang w:val="fr-FR"/>
        </w:rPr>
        <w:t>(CMR-15)</w:t>
      </w:r>
      <w:r w:rsidRPr="008741C6">
        <w:rPr>
          <w:lang w:val="fr-FR"/>
        </w:rPr>
        <w:t xml:space="preserve"> dans la bande de fréquences 14,5</w:t>
      </w:r>
      <w:r w:rsidRPr="008741C6">
        <w:rPr>
          <w:lang w:val="fr-FR"/>
        </w:rPr>
        <w:noBreakHyphen/>
        <w:t>14,8 GHz où ces stations n'assurent pas de liaisons de connexion pour le service de radiodiffusion par satellite, et aux stations du service de radiodiffusion par satellite en Région 2 dans la bande de fréquences 17,3</w:t>
      </w:r>
      <w:r w:rsidRPr="008741C6">
        <w:rPr>
          <w:lang w:val="fr-FR"/>
        </w:rPr>
        <w:noBreakHyphen/>
        <w:t xml:space="preserve">17,8 GHz, lorsque des assignations de fréquence à des liaisons </w:t>
      </w:r>
      <w:r w:rsidRPr="008741C6">
        <w:rPr>
          <w:lang w:val="fr-FR"/>
        </w:rPr>
        <w:br/>
        <w:t xml:space="preserve">de connexion de stations de radiodiffusion par satellite dans </w:t>
      </w:r>
      <w:r w:rsidRPr="008741C6">
        <w:rPr>
          <w:lang w:val="fr-FR"/>
        </w:rPr>
        <w:br/>
        <w:t>les bandes de fréquences 14,5</w:t>
      </w:r>
      <w:r w:rsidRPr="008741C6">
        <w:rPr>
          <w:lang w:val="fr-FR"/>
        </w:rPr>
        <w:noBreakHyphen/>
        <w:t>14,8 GHz et 17,3</w:t>
      </w:r>
      <w:r w:rsidRPr="008741C6">
        <w:rPr>
          <w:lang w:val="fr-FR"/>
        </w:rPr>
        <w:noBreakHyphen/>
        <w:t xml:space="preserve">18,1 GHz </w:t>
      </w:r>
      <w:r w:rsidRPr="008741C6">
        <w:rPr>
          <w:lang w:val="fr-FR"/>
        </w:rPr>
        <w:br/>
        <w:t xml:space="preserve">en Régions 1 et 3 ou dans la bande de fréquences </w:t>
      </w:r>
      <w:r w:rsidRPr="008741C6">
        <w:rPr>
          <w:lang w:val="fr-FR"/>
        </w:rPr>
        <w:br/>
        <w:t>17,3</w:t>
      </w:r>
      <w:r w:rsidRPr="008741C6">
        <w:rPr>
          <w:lang w:val="fr-FR"/>
        </w:rPr>
        <w:noBreakHyphen/>
        <w:t>17,8 GHz en Région 2 sont concernées</w:t>
      </w:r>
      <w:bookmarkEnd w:id="22"/>
      <w:r w:rsidRPr="008741C6">
        <w:rPr>
          <w:rStyle w:val="FootnoteReference"/>
          <w:b w:val="0"/>
          <w:bCs/>
          <w:lang w:val="fr-FR"/>
        </w:rPr>
        <w:footnoteReference w:customMarkFollows="1" w:id="7"/>
        <w:t>28</w:t>
      </w:r>
      <w:r w:rsidRPr="008741C6">
        <w:rPr>
          <w:b w:val="0"/>
          <w:bCs/>
          <w:sz w:val="16"/>
          <w:szCs w:val="16"/>
          <w:lang w:val="fr-FR"/>
        </w:rPr>
        <w:t>     (Rév.CMR-19)</w:t>
      </w:r>
    </w:p>
    <w:p w14:paraId="6A2B162F" w14:textId="3EF085AD" w:rsidR="00A2756A" w:rsidRPr="008741C6" w:rsidRDefault="00A2756A" w:rsidP="00E252EC">
      <w:pPr>
        <w:pStyle w:val="Reasons"/>
        <w:keepLines/>
      </w:pPr>
      <w:r w:rsidRPr="008741C6">
        <w:rPr>
          <w:b/>
        </w:rPr>
        <w:t>Motifs:</w:t>
      </w:r>
      <w:r w:rsidRPr="008741C6">
        <w:tab/>
      </w:r>
      <w:r w:rsidR="00B8544A" w:rsidRPr="008741C6">
        <w:t xml:space="preserve">La portée de cette Question, comme indiqué dans le Rapport de la RPC, concerne </w:t>
      </w:r>
      <w:r w:rsidR="001F7468" w:rsidRPr="008741C6">
        <w:t>les incidence</w:t>
      </w:r>
      <w:r w:rsidR="00E252EC" w:rsidRPr="008741C6">
        <w:t>s</w:t>
      </w:r>
      <w:r w:rsidR="001F7468" w:rsidRPr="008741C6">
        <w:t xml:space="preserve"> </w:t>
      </w:r>
      <w:r w:rsidR="00B8544A" w:rsidRPr="008741C6">
        <w:t>d</w:t>
      </w:r>
      <w:r w:rsidR="00042256" w:rsidRPr="008741C6">
        <w:t>'</w:t>
      </w:r>
      <w:r w:rsidR="00B8544A" w:rsidRPr="008741C6">
        <w:t xml:space="preserve">un accord implicite sur la situation de référence des assignations figurant </w:t>
      </w:r>
      <w:r w:rsidR="001F7468" w:rsidRPr="008741C6">
        <w:t xml:space="preserve">dans </w:t>
      </w:r>
      <w:r w:rsidR="00B8544A" w:rsidRPr="008741C6">
        <w:t>l</w:t>
      </w:r>
      <w:r w:rsidR="00042256" w:rsidRPr="008741C6">
        <w:t>'</w:t>
      </w:r>
      <w:r w:rsidR="00B8544A" w:rsidRPr="008741C6">
        <w:t xml:space="preserve">Appendice </w:t>
      </w:r>
      <w:r w:rsidR="00B8544A" w:rsidRPr="008741C6">
        <w:rPr>
          <w:b/>
        </w:rPr>
        <w:t>30A</w:t>
      </w:r>
      <w:r w:rsidR="00B8544A" w:rsidRPr="008741C6">
        <w:t xml:space="preserve"> du RR</w:t>
      </w:r>
      <w:r w:rsidR="001F7468" w:rsidRPr="008741C6">
        <w:t>,</w:t>
      </w:r>
      <w:r w:rsidR="00B8544A" w:rsidRPr="008741C6">
        <w:t xml:space="preserve"> qui ne tiennent pas compte de</w:t>
      </w:r>
      <w:r w:rsidR="001F7468" w:rsidRPr="008741C6">
        <w:t xml:space="preserve">s </w:t>
      </w:r>
      <w:r w:rsidR="00B8544A" w:rsidRPr="008741C6">
        <w:t>incidence</w:t>
      </w:r>
      <w:r w:rsidR="001F7468" w:rsidRPr="008741C6">
        <w:t>s</w:t>
      </w:r>
      <w:r w:rsidR="00B8544A" w:rsidRPr="008741C6">
        <w:t xml:space="preserve"> des assignations non planifiées aux services spatiaux. En outre, les modifications </w:t>
      </w:r>
      <w:r w:rsidR="001F7468" w:rsidRPr="008741C6">
        <w:t xml:space="preserve">apportées à </w:t>
      </w:r>
      <w:r w:rsidR="00B8544A" w:rsidRPr="008741C6">
        <w:t>l</w:t>
      </w:r>
      <w:r w:rsidR="00042256" w:rsidRPr="008741C6">
        <w:t>'</w:t>
      </w:r>
      <w:r w:rsidR="00B8544A" w:rsidRPr="008741C6">
        <w:t>Article 7 de l</w:t>
      </w:r>
      <w:r w:rsidR="00042256" w:rsidRPr="008741C6">
        <w:t>'</w:t>
      </w:r>
      <w:r w:rsidR="00B8544A" w:rsidRPr="008741C6">
        <w:t xml:space="preserve">Appendice </w:t>
      </w:r>
      <w:r w:rsidR="00B8544A" w:rsidRPr="008741C6">
        <w:rPr>
          <w:b/>
        </w:rPr>
        <w:t>30A</w:t>
      </w:r>
      <w:r w:rsidR="00B8544A" w:rsidRPr="008741C6">
        <w:t xml:space="preserve"> du RR n</w:t>
      </w:r>
      <w:r w:rsidR="00042256" w:rsidRPr="008741C6">
        <w:t>'</w:t>
      </w:r>
      <w:r w:rsidR="00B8544A" w:rsidRPr="008741C6">
        <w:t>ont pas été étudiées et pourraient conduire à un déséquilibre dans le traitement des assignations planifiées par rapport aux assignations non planifiées entre les régions</w:t>
      </w:r>
      <w:r w:rsidRPr="008741C6">
        <w:t>.</w:t>
      </w:r>
    </w:p>
    <w:p w14:paraId="11FEF43A" w14:textId="77777777" w:rsidR="00A2756A" w:rsidRPr="008741C6" w:rsidRDefault="00A2756A" w:rsidP="00E252EC">
      <w:pPr>
        <w:spacing w:before="0"/>
        <w:jc w:val="center"/>
      </w:pPr>
      <w:r w:rsidRPr="008741C6">
        <w:t>______________</w:t>
      </w:r>
    </w:p>
    <w:sectPr w:rsidR="00A2756A" w:rsidRPr="008741C6">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36BA1" w14:textId="77777777" w:rsidR="00CB685A" w:rsidRDefault="00CB685A">
      <w:r>
        <w:separator/>
      </w:r>
    </w:p>
  </w:endnote>
  <w:endnote w:type="continuationSeparator" w:id="0">
    <w:p w14:paraId="4034B762"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BBF2" w14:textId="12DC3EE7"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042256">
      <w:rPr>
        <w:noProof/>
      </w:rPr>
      <w:t>13.11.23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E613A" w14:textId="014B7648"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E252EC">
      <w:rPr>
        <w:lang w:val="en-US"/>
      </w:rPr>
      <w:t>P:\FRA\ITU-R\CONF-R\CMR23\000\094F.docx</w:t>
    </w:r>
    <w:r>
      <w:fldChar w:fldCharType="end"/>
    </w:r>
    <w:r w:rsidR="00A2756A">
      <w:t xml:space="preserve"> (530129)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B9578" w14:textId="6357680A"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E252EC">
      <w:rPr>
        <w:lang w:val="en-US"/>
      </w:rPr>
      <w:t>P:\FRA\ITU-R\CONF-R\CMR23\000\094F.docx</w:t>
    </w:r>
    <w:r>
      <w:fldChar w:fldCharType="end"/>
    </w:r>
    <w:r w:rsidR="006B5843">
      <w:t xml:space="preserve"> (530129)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F1E5F" w14:textId="77777777" w:rsidR="00CB685A" w:rsidRDefault="00CB685A">
      <w:r>
        <w:rPr>
          <w:b/>
        </w:rPr>
        <w:t>_______________</w:t>
      </w:r>
    </w:p>
  </w:footnote>
  <w:footnote w:type="continuationSeparator" w:id="0">
    <w:p w14:paraId="08EFA484" w14:textId="77777777" w:rsidR="00CB685A" w:rsidRDefault="00CB685A">
      <w:r>
        <w:continuationSeparator/>
      </w:r>
    </w:p>
  </w:footnote>
  <w:footnote w:id="1">
    <w:p w14:paraId="500B4F8E" w14:textId="77777777" w:rsidR="001F7468" w:rsidRDefault="00A2756A" w:rsidP="009F1174">
      <w:pPr>
        <w:pStyle w:val="FootnoteText"/>
      </w:pPr>
      <w:r>
        <w:rPr>
          <w:rStyle w:val="FootnoteReference"/>
        </w:rPr>
        <w:t>*</w:t>
      </w:r>
      <w:r>
        <w:tab/>
      </w:r>
      <w:r>
        <w:rPr>
          <w:lang w:val="fr-CH"/>
        </w:rPr>
        <w:t>L'expression «</w:t>
      </w:r>
      <w:r w:rsidRPr="00686985">
        <w:t>assignation</w:t>
      </w:r>
      <w:r>
        <w:rPr>
          <w:lang w:val="fr-CH"/>
        </w:rPr>
        <w:t xml:space="preserve"> de fréquence à une station spatiale», partout où elle figure dans le présent Appendice, doit être entendue comme se référant à une assignation de fréquence associée à une position orbitale donnée. Voir également l'Annexe 7 pour les restrictions applicables aux positions orbitales.</w:t>
      </w:r>
      <w:r w:rsidRPr="00C01159">
        <w:rPr>
          <w:sz w:val="16"/>
          <w:szCs w:val="16"/>
        </w:rPr>
        <w:t>     (CMR-2000)</w:t>
      </w:r>
    </w:p>
  </w:footnote>
  <w:footnote w:id="2">
    <w:p w14:paraId="5CF7DCF7" w14:textId="77777777" w:rsidR="001F7468" w:rsidRDefault="00A2756A" w:rsidP="009F1174">
      <w:pPr>
        <w:pStyle w:val="FootnoteText"/>
        <w:rPr>
          <w:sz w:val="16"/>
          <w:lang w:val="fr-CH"/>
        </w:rPr>
      </w:pPr>
      <w:r>
        <w:rPr>
          <w:rStyle w:val="FootnoteReference"/>
        </w:rPr>
        <w:t>1</w:t>
      </w:r>
      <w:r>
        <w:t xml:space="preserve"> </w:t>
      </w:r>
      <w:r w:rsidRPr="004A0D59">
        <w:rPr>
          <w:lang w:val="fr-CH"/>
        </w:rPr>
        <w:tab/>
      </w:r>
      <w:r>
        <w:rPr>
          <w:lang w:val="fr-CH"/>
        </w:rPr>
        <w:t xml:space="preserve">La Liste des utilisations </w:t>
      </w:r>
      <w:r w:rsidRPr="00686985">
        <w:t>additionnelles</w:t>
      </w:r>
      <w:r>
        <w:rPr>
          <w:lang w:val="fr-CH"/>
        </w:rPr>
        <w:t xml:space="preserve"> pour les Régions 1 et 3 est annexée au Fichier de référence international des fréquences (voir la Résolution </w:t>
      </w:r>
      <w:r>
        <w:rPr>
          <w:b/>
          <w:bCs/>
        </w:rPr>
        <w:t>542</w:t>
      </w:r>
      <w:r>
        <w:rPr>
          <w:b/>
          <w:bCs/>
          <w:lang w:val="fr-CH"/>
        </w:rPr>
        <w:t xml:space="preserve"> (CMR</w:t>
      </w:r>
      <w:r>
        <w:rPr>
          <w:b/>
          <w:bCs/>
          <w:lang w:val="fr-CH"/>
        </w:rPr>
        <w:noBreakHyphen/>
        <w:t>2000)</w:t>
      </w:r>
      <w:r>
        <w:rPr>
          <w:rStyle w:val="FootnoteReference"/>
          <w:color w:val="000000"/>
        </w:rPr>
        <w:t>**</w:t>
      </w:r>
      <w:r>
        <w:rPr>
          <w:lang w:val="fr-CH"/>
        </w:rPr>
        <w:t>).</w:t>
      </w:r>
      <w:r>
        <w:rPr>
          <w:b/>
          <w:bCs/>
          <w:sz w:val="16"/>
          <w:lang w:val="fr-CH"/>
        </w:rPr>
        <w:t>     </w:t>
      </w:r>
      <w:r>
        <w:rPr>
          <w:sz w:val="16"/>
          <w:lang w:val="fr-CH"/>
        </w:rPr>
        <w:t>(CMR-03)</w:t>
      </w:r>
    </w:p>
    <w:p w14:paraId="2BE4DC87" w14:textId="77777777" w:rsidR="001F7468" w:rsidRDefault="00A2756A" w:rsidP="009F1174">
      <w:pPr>
        <w:pStyle w:val="FootnoteText"/>
        <w:tabs>
          <w:tab w:val="left" w:pos="567"/>
        </w:tabs>
      </w:pPr>
      <w:r>
        <w:rPr>
          <w:lang w:val="fr-CH"/>
        </w:rPr>
        <w:tab/>
      </w:r>
      <w:r>
        <w:rPr>
          <w:rStyle w:val="FootnoteReference"/>
          <w:color w:val="000000"/>
        </w:rPr>
        <w:t>**</w:t>
      </w:r>
      <w:r>
        <w:tab/>
      </w:r>
      <w:r>
        <w:rPr>
          <w:i/>
          <w:iCs/>
        </w:rPr>
        <w:t>Note du Secrétariat</w:t>
      </w:r>
      <w:r w:rsidRPr="00B96D6D">
        <w:t xml:space="preserve">: </w:t>
      </w:r>
      <w:r>
        <w:t xml:space="preserve">Cette </w:t>
      </w:r>
      <w:r w:rsidRPr="00686985">
        <w:t>Résolution</w:t>
      </w:r>
      <w:r>
        <w:t xml:space="preserve"> a été abrogée par la CMR</w:t>
      </w:r>
      <w:r>
        <w:noBreakHyphen/>
        <w:t>03.</w:t>
      </w:r>
    </w:p>
    <w:p w14:paraId="05ECF6FF" w14:textId="77777777" w:rsidR="001F7468" w:rsidRDefault="00A2756A" w:rsidP="009F1174">
      <w:pPr>
        <w:pStyle w:val="FootnoteText"/>
      </w:pPr>
      <w:r w:rsidRPr="00686985">
        <w:rPr>
          <w:i/>
          <w:iCs/>
        </w:rPr>
        <w:t>Note du Secrétariat</w:t>
      </w:r>
      <w:r w:rsidRPr="004F685F">
        <w:t>:</w:t>
      </w:r>
      <w:r w:rsidRPr="00686985">
        <w:rPr>
          <w:i/>
          <w:iCs/>
        </w:rPr>
        <w:t xml:space="preserve"> </w:t>
      </w:r>
      <w:r w:rsidRPr="00B040CA">
        <w:rPr>
          <w:iCs/>
        </w:rPr>
        <w:t>Les références à un Article avec son numéro en romain se réfèrent à un Article du présent Appendice.</w:t>
      </w:r>
    </w:p>
  </w:footnote>
  <w:footnote w:id="3">
    <w:p w14:paraId="6ECC40D8" w14:textId="77777777" w:rsidR="001F7468" w:rsidRDefault="00A2756A" w:rsidP="009F1174">
      <w:pPr>
        <w:pStyle w:val="FootnoteText"/>
      </w:pPr>
      <w:r>
        <w:rPr>
          <w:rStyle w:val="FootnoteReference"/>
          <w:color w:val="000000"/>
        </w:rPr>
        <w:t>22</w:t>
      </w:r>
      <w:r>
        <w:t xml:space="preserve"> </w:t>
      </w:r>
      <w:r>
        <w:tab/>
      </w:r>
      <w:r>
        <w:rPr>
          <w:lang w:val="fr-CH"/>
        </w:rPr>
        <w:t xml:space="preserve">Ces dispositions ne remplacent pas les procédures prescrites par les Articles </w:t>
      </w:r>
      <w:r w:rsidRPr="00220D3E">
        <w:rPr>
          <w:rStyle w:val="Artref"/>
          <w:b/>
          <w:color w:val="000000"/>
        </w:rPr>
        <w:t>9</w:t>
      </w:r>
      <w:r>
        <w:rPr>
          <w:lang w:val="fr-CH"/>
        </w:rPr>
        <w:t xml:space="preserve"> et </w:t>
      </w:r>
      <w:r w:rsidRPr="00220D3E">
        <w:rPr>
          <w:rStyle w:val="Artref"/>
          <w:b/>
          <w:color w:val="000000"/>
        </w:rPr>
        <w:t>11</w:t>
      </w:r>
      <w:r>
        <w:rPr>
          <w:lang w:val="fr-CH"/>
        </w:rPr>
        <w:t xml:space="preserve"> lorsque des stations autres que celles du service de radiodiffusion par satellite assujetties à un Plan sont concernées.</w:t>
      </w:r>
      <w:r>
        <w:rPr>
          <w:sz w:val="16"/>
        </w:rPr>
        <w:t>     (CMR-03)</w:t>
      </w:r>
    </w:p>
  </w:footnote>
  <w:footnote w:id="4">
    <w:p w14:paraId="2CE07EC1" w14:textId="77777777" w:rsidR="001F7468" w:rsidRDefault="00A2756A" w:rsidP="009F1174">
      <w:pPr>
        <w:pStyle w:val="FootnoteText"/>
      </w:pPr>
      <w:r>
        <w:rPr>
          <w:rStyle w:val="FootnoteReference"/>
          <w:color w:val="000000"/>
        </w:rPr>
        <w:t>*</w:t>
      </w:r>
      <w:r>
        <w:tab/>
      </w:r>
      <w:r>
        <w:rPr>
          <w:lang w:val="fr-CH"/>
        </w:rPr>
        <w:t xml:space="preserve">L'expression «assignation de fréquence à une station spatiale», partout où elle figure dans le présent Appendice, doit être entendue comme se référant à une assignation de fréquence associée à une </w:t>
      </w:r>
      <w:r w:rsidRPr="000D4FFC">
        <w:t>position</w:t>
      </w:r>
      <w:r>
        <w:rPr>
          <w:lang w:val="fr-CH"/>
        </w:rPr>
        <w:t xml:space="preserve"> orbitale donnée.</w:t>
      </w:r>
      <w:r>
        <w:rPr>
          <w:sz w:val="16"/>
          <w:lang w:val="fr-CH"/>
        </w:rPr>
        <w:t>     (CMR</w:t>
      </w:r>
      <w:r>
        <w:rPr>
          <w:sz w:val="16"/>
          <w:lang w:val="fr-CH"/>
        </w:rPr>
        <w:noBreakHyphen/>
        <w:t>03)</w:t>
      </w:r>
    </w:p>
  </w:footnote>
  <w:footnote w:id="5">
    <w:p w14:paraId="3B6B7553" w14:textId="77777777" w:rsidR="001F7468" w:rsidRDefault="00A2756A" w:rsidP="009F1174">
      <w:pPr>
        <w:pStyle w:val="FootnoteText"/>
        <w:rPr>
          <w:sz w:val="16"/>
          <w:lang w:val="fr-CH"/>
        </w:rPr>
      </w:pPr>
      <w:r>
        <w:rPr>
          <w:rStyle w:val="FootnoteReference"/>
          <w:color w:val="000000"/>
          <w:lang w:val="fr-CH"/>
        </w:rPr>
        <w:t>1</w:t>
      </w:r>
      <w:r>
        <w:rPr>
          <w:lang w:val="fr-CH"/>
        </w:rPr>
        <w:tab/>
        <w:t xml:space="preserve">La Liste des utilisations additionnelles des liaisons de connexion pour les Régions 1 et 3 est annexée au Fichier de référence international des fréquences (voir la Résolution </w:t>
      </w:r>
      <w:r>
        <w:rPr>
          <w:b/>
          <w:lang w:val="fr-CH"/>
        </w:rPr>
        <w:t>542</w:t>
      </w:r>
      <w:r>
        <w:rPr>
          <w:lang w:val="fr-CH"/>
        </w:rPr>
        <w:t xml:space="preserve"> </w:t>
      </w:r>
      <w:r>
        <w:rPr>
          <w:b/>
          <w:lang w:val="fr-CH"/>
        </w:rPr>
        <w:t>(CMR</w:t>
      </w:r>
      <w:r>
        <w:rPr>
          <w:b/>
          <w:lang w:val="fr-CH"/>
        </w:rPr>
        <w:noBreakHyphen/>
        <w:t>2000)</w:t>
      </w:r>
      <w:r>
        <w:rPr>
          <w:rStyle w:val="FootnoteReference"/>
          <w:color w:val="000000"/>
        </w:rPr>
        <w:t>**</w:t>
      </w:r>
      <w:r>
        <w:rPr>
          <w:bCs/>
          <w:lang w:val="fr-CH"/>
        </w:rPr>
        <w:t>).</w:t>
      </w:r>
      <w:r>
        <w:rPr>
          <w:sz w:val="16"/>
          <w:lang w:val="fr-CH"/>
        </w:rPr>
        <w:t>     (CMR</w:t>
      </w:r>
      <w:r>
        <w:rPr>
          <w:sz w:val="16"/>
          <w:lang w:val="fr-CH"/>
        </w:rPr>
        <w:noBreakHyphen/>
        <w:t>03)</w:t>
      </w:r>
    </w:p>
    <w:p w14:paraId="2480C85F" w14:textId="77777777" w:rsidR="001F7468" w:rsidRDefault="00A2756A" w:rsidP="009F1174">
      <w:pPr>
        <w:pStyle w:val="FootnoteText"/>
        <w:tabs>
          <w:tab w:val="left" w:pos="567"/>
        </w:tabs>
        <w:spacing w:before="80"/>
      </w:pPr>
      <w:r>
        <w:rPr>
          <w:lang w:val="fr-CH"/>
        </w:rPr>
        <w:tab/>
      </w:r>
      <w:r>
        <w:rPr>
          <w:rStyle w:val="FootnoteReference"/>
          <w:color w:val="000000"/>
        </w:rPr>
        <w:t>**</w:t>
      </w:r>
      <w:r>
        <w:rPr>
          <w:color w:val="000000"/>
        </w:rPr>
        <w:tab/>
      </w:r>
      <w:r>
        <w:rPr>
          <w:i/>
          <w:iCs/>
          <w:color w:val="000000"/>
          <w:lang w:val="fr-CH"/>
        </w:rPr>
        <w:t>Note du Secrétariat</w:t>
      </w:r>
      <w:r>
        <w:rPr>
          <w:color w:val="000000"/>
          <w:lang w:val="fr-CH"/>
        </w:rPr>
        <w:t>: Cette Résolution a été abrogée par la CMR-03.</w:t>
      </w:r>
    </w:p>
  </w:footnote>
  <w:footnote w:id="6">
    <w:p w14:paraId="7B93A878" w14:textId="77777777" w:rsidR="001F7468" w:rsidRDefault="00A2756A" w:rsidP="009F1174">
      <w:pPr>
        <w:pStyle w:val="FootnoteText"/>
      </w:pPr>
      <w:r>
        <w:rPr>
          <w:rStyle w:val="FootnoteReference"/>
          <w:color w:val="000000"/>
        </w:rPr>
        <w:t>2</w:t>
      </w:r>
      <w:r>
        <w:tab/>
        <w:t>Cette utilisation de la bande 14,5-14,8 GHz est réservée aux pays extérieurs à l'Europe.</w:t>
      </w:r>
    </w:p>
    <w:p w14:paraId="6AB2FA21" w14:textId="77777777" w:rsidR="001F7468" w:rsidRDefault="00A2756A" w:rsidP="009F1174">
      <w:pPr>
        <w:pStyle w:val="FootnoteText"/>
      </w:pPr>
      <w:r w:rsidRPr="000D4FFC">
        <w:rPr>
          <w:i/>
          <w:iCs/>
        </w:rPr>
        <w:t>Note du Secrétariat</w:t>
      </w:r>
      <w:r>
        <w:t xml:space="preserve">: </w:t>
      </w:r>
      <w:r w:rsidRPr="00B040CA">
        <w:rPr>
          <w:iCs/>
        </w:rPr>
        <w:t>Les références à un Article avec son numéro en romain se réfèrent à un Article du présent Appendice.</w:t>
      </w:r>
    </w:p>
  </w:footnote>
  <w:footnote w:id="7">
    <w:p w14:paraId="6F32AB9D" w14:textId="77777777" w:rsidR="001F7468" w:rsidRDefault="00A2756A" w:rsidP="006D4DD5">
      <w:pPr>
        <w:pStyle w:val="FootnoteText"/>
      </w:pPr>
      <w:r>
        <w:rPr>
          <w:rStyle w:val="FootnoteReference"/>
        </w:rPr>
        <w:t>28</w:t>
      </w:r>
      <w:r>
        <w:tab/>
      </w:r>
      <w:r>
        <w:rPr>
          <w:lang w:val="fr-CH"/>
        </w:rPr>
        <w:t xml:space="preserve">Les présentes dispositions ne remplacent pas les procédures prescrites dans les Articles </w:t>
      </w:r>
      <w:r w:rsidRPr="00217153">
        <w:rPr>
          <w:rStyle w:val="Artref"/>
          <w:b/>
          <w:bCs/>
          <w:color w:val="000000"/>
        </w:rPr>
        <w:t>9</w:t>
      </w:r>
      <w:r>
        <w:rPr>
          <w:lang w:val="fr-CH"/>
        </w:rPr>
        <w:t xml:space="preserve"> et </w:t>
      </w:r>
      <w:r w:rsidRPr="00217153">
        <w:rPr>
          <w:rStyle w:val="Artref"/>
          <w:b/>
          <w:bCs/>
          <w:color w:val="000000"/>
        </w:rPr>
        <w:t>11</w:t>
      </w:r>
      <w:r>
        <w:rPr>
          <w:lang w:val="fr-CH"/>
        </w:rPr>
        <w:t xml:space="preserve"> lorsque des stations autres que les stations des liaisons de connexion du service de radiodiffusion par satellite relevant d'un Plan sont concernées.</w:t>
      </w:r>
      <w:r>
        <w:rPr>
          <w:sz w:val="16"/>
          <w:lang w:val="fr-CH"/>
        </w:rPr>
        <w:t>     (CMR</w:t>
      </w:r>
      <w:r>
        <w:rPr>
          <w:sz w:val="16"/>
          <w:lang w:val="fr-CH"/>
        </w:rPr>
        <w:noBreakHyphen/>
        <w:t>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61EFE" w14:textId="1E60D806" w:rsidR="004F1F8E" w:rsidRDefault="004F1F8E" w:rsidP="004F1F8E">
    <w:pPr>
      <w:pStyle w:val="Header"/>
    </w:pPr>
    <w:r>
      <w:fldChar w:fldCharType="begin"/>
    </w:r>
    <w:r>
      <w:instrText xml:space="preserve"> PAGE </w:instrText>
    </w:r>
    <w:r>
      <w:fldChar w:fldCharType="separate"/>
    </w:r>
    <w:r w:rsidR="00B8544A">
      <w:rPr>
        <w:noProof/>
      </w:rPr>
      <w:t>4</w:t>
    </w:r>
    <w:r>
      <w:fldChar w:fldCharType="end"/>
    </w:r>
  </w:p>
  <w:p w14:paraId="566FF43A" w14:textId="77777777" w:rsidR="004F1F8E" w:rsidRDefault="00225CF2" w:rsidP="00FD7AA3">
    <w:pPr>
      <w:pStyle w:val="Header"/>
    </w:pPr>
    <w:r>
      <w:t>WRC</w:t>
    </w:r>
    <w:r w:rsidR="00D3426F">
      <w:t>23</w:t>
    </w:r>
    <w:r w:rsidR="004F1F8E">
      <w:t>/</w:t>
    </w:r>
    <w:r w:rsidR="006A4B45">
      <w:t>94-</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914166439">
    <w:abstractNumId w:val="0"/>
  </w:num>
  <w:num w:numId="2" w16cid:durableId="180056457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42256"/>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F17E8"/>
    <w:rsid w:val="001F7468"/>
    <w:rsid w:val="00204306"/>
    <w:rsid w:val="002178BA"/>
    <w:rsid w:val="00223348"/>
    <w:rsid w:val="00225CF2"/>
    <w:rsid w:val="00232FD2"/>
    <w:rsid w:val="0026554E"/>
    <w:rsid w:val="002A4622"/>
    <w:rsid w:val="002A6F8F"/>
    <w:rsid w:val="002B17E5"/>
    <w:rsid w:val="002C0EBF"/>
    <w:rsid w:val="002C28A4"/>
    <w:rsid w:val="002D7E0A"/>
    <w:rsid w:val="00315AFE"/>
    <w:rsid w:val="003411F6"/>
    <w:rsid w:val="003606A6"/>
    <w:rsid w:val="0036650C"/>
    <w:rsid w:val="00393ACD"/>
    <w:rsid w:val="003A583E"/>
    <w:rsid w:val="003E112B"/>
    <w:rsid w:val="003E1D1C"/>
    <w:rsid w:val="003E7B05"/>
    <w:rsid w:val="003F3719"/>
    <w:rsid w:val="003F6F2D"/>
    <w:rsid w:val="00466211"/>
    <w:rsid w:val="00483196"/>
    <w:rsid w:val="004834A9"/>
    <w:rsid w:val="004D01FC"/>
    <w:rsid w:val="004E28C3"/>
    <w:rsid w:val="004F1F8E"/>
    <w:rsid w:val="00512A32"/>
    <w:rsid w:val="005343DA"/>
    <w:rsid w:val="00560874"/>
    <w:rsid w:val="00586CF2"/>
    <w:rsid w:val="005A7C75"/>
    <w:rsid w:val="005C3768"/>
    <w:rsid w:val="005C6C3F"/>
    <w:rsid w:val="00613635"/>
    <w:rsid w:val="0062093D"/>
    <w:rsid w:val="00637ECF"/>
    <w:rsid w:val="00646192"/>
    <w:rsid w:val="00647B59"/>
    <w:rsid w:val="00690C7B"/>
    <w:rsid w:val="006A4B45"/>
    <w:rsid w:val="006B5843"/>
    <w:rsid w:val="006D4724"/>
    <w:rsid w:val="006F5FA2"/>
    <w:rsid w:val="0070076C"/>
    <w:rsid w:val="00701BAE"/>
    <w:rsid w:val="00721F04"/>
    <w:rsid w:val="00730E95"/>
    <w:rsid w:val="007426B9"/>
    <w:rsid w:val="00764342"/>
    <w:rsid w:val="00774362"/>
    <w:rsid w:val="00786598"/>
    <w:rsid w:val="00790C74"/>
    <w:rsid w:val="007A04E8"/>
    <w:rsid w:val="007B2C34"/>
    <w:rsid w:val="007F282B"/>
    <w:rsid w:val="00830086"/>
    <w:rsid w:val="00851625"/>
    <w:rsid w:val="00863C0A"/>
    <w:rsid w:val="008741C6"/>
    <w:rsid w:val="008A3120"/>
    <w:rsid w:val="008A4B97"/>
    <w:rsid w:val="008C5B8E"/>
    <w:rsid w:val="008C5DD5"/>
    <w:rsid w:val="008C7123"/>
    <w:rsid w:val="008D41BE"/>
    <w:rsid w:val="008D58D3"/>
    <w:rsid w:val="008E3BC9"/>
    <w:rsid w:val="00923064"/>
    <w:rsid w:val="00930FFD"/>
    <w:rsid w:val="00936229"/>
    <w:rsid w:val="00936D25"/>
    <w:rsid w:val="00941EA5"/>
    <w:rsid w:val="00964700"/>
    <w:rsid w:val="00966C16"/>
    <w:rsid w:val="0098732F"/>
    <w:rsid w:val="009A045F"/>
    <w:rsid w:val="009A6A2B"/>
    <w:rsid w:val="009C7E7C"/>
    <w:rsid w:val="00A00473"/>
    <w:rsid w:val="00A03C9B"/>
    <w:rsid w:val="00A2756A"/>
    <w:rsid w:val="00A37105"/>
    <w:rsid w:val="00A606C3"/>
    <w:rsid w:val="00A83B09"/>
    <w:rsid w:val="00A84541"/>
    <w:rsid w:val="00AE36A0"/>
    <w:rsid w:val="00B00294"/>
    <w:rsid w:val="00B3749C"/>
    <w:rsid w:val="00B64FD0"/>
    <w:rsid w:val="00B8544A"/>
    <w:rsid w:val="00BA5BD0"/>
    <w:rsid w:val="00BB1D82"/>
    <w:rsid w:val="00BC217E"/>
    <w:rsid w:val="00BD51C5"/>
    <w:rsid w:val="00BF26E7"/>
    <w:rsid w:val="00C1305F"/>
    <w:rsid w:val="00C53FCA"/>
    <w:rsid w:val="00C71DEB"/>
    <w:rsid w:val="00C76BAF"/>
    <w:rsid w:val="00C814B9"/>
    <w:rsid w:val="00CB685A"/>
    <w:rsid w:val="00CD516F"/>
    <w:rsid w:val="00D119A7"/>
    <w:rsid w:val="00D25FBA"/>
    <w:rsid w:val="00D32B28"/>
    <w:rsid w:val="00D3426F"/>
    <w:rsid w:val="00D42954"/>
    <w:rsid w:val="00D66EAC"/>
    <w:rsid w:val="00D730DF"/>
    <w:rsid w:val="00D772F0"/>
    <w:rsid w:val="00D77BDC"/>
    <w:rsid w:val="00DC402B"/>
    <w:rsid w:val="00DE0932"/>
    <w:rsid w:val="00DF15E8"/>
    <w:rsid w:val="00E03A27"/>
    <w:rsid w:val="00E049F1"/>
    <w:rsid w:val="00E252EC"/>
    <w:rsid w:val="00E37A25"/>
    <w:rsid w:val="00E537FF"/>
    <w:rsid w:val="00E545B3"/>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C41F8"/>
    <w:rsid w:val="00FD7AA3"/>
    <w:rsid w:val="00FE1622"/>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21355CA"/>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03177F"/>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1F7468"/>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R23-WRC23-C-0094!!MSW-F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75681C5B-D44E-4A6C-830F-8217B8E53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C2C0C816-3FF6-4387-AEB9-A3FA9CA80AA4}">
  <ds:schemaRefs>
    <ds:schemaRef ds:uri="http://schemas.microsoft.com/sharepoint/events"/>
  </ds:schemaRefs>
</ds:datastoreItem>
</file>

<file path=customXml/itemProps4.xml><?xml version="1.0" encoding="utf-8"?>
<ds:datastoreItem xmlns:ds="http://schemas.openxmlformats.org/officeDocument/2006/customXml" ds:itemID="{085DE7BB-5EB3-41D0-A957-BD738A1964EA}">
  <ds:schemaRefs>
    <ds:schemaRef ds:uri="http://purl.org/dc/dcmitype/"/>
    <ds:schemaRef ds:uri="http://schemas.microsoft.com/office/2006/documentManagement/types"/>
    <ds:schemaRef ds:uri="996b2e75-67fd-4955-a3b0-5ab9934cb50b"/>
    <ds:schemaRef ds:uri="http://schemas.openxmlformats.org/package/2006/metadata/core-properties"/>
    <ds:schemaRef ds:uri="http://schemas.microsoft.com/office/infopath/2007/PartnerControls"/>
    <ds:schemaRef ds:uri="http://purl.org/dc/terms/"/>
    <ds:schemaRef ds:uri="http://purl.org/dc/elements/1.1/"/>
    <ds:schemaRef ds:uri="32a1a8c5-2265-4ebc-b7a0-2071e2c5c9bb"/>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702</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R23-WRC23-C-0094!!MSW-F</vt:lpstr>
    </vt:vector>
  </TitlesOfParts>
  <Manager>Secrétariat général - Pool</Manager>
  <Company>Union internationale des télécommunications (UIT)</Company>
  <LinksUpToDate>false</LinksUpToDate>
  <CharactersWithSpaces>4635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R23-WRC23-C-0094!!MSW-F</dc:title>
  <dc:subject>Conférence mondiale des radiocommunications - 2019</dc:subject>
  <dc:creator>Documents Proposals Manager (DPM)</dc:creator>
  <cp:keywords>DPM_v2023.8.1.1_prod</cp:keywords>
  <dc:description/>
  <cp:lastModifiedBy>French</cp:lastModifiedBy>
  <cp:revision>4</cp:revision>
  <cp:lastPrinted>2003-06-05T19:34:00Z</cp:lastPrinted>
  <dcterms:created xsi:type="dcterms:W3CDTF">2023-11-14T06:43:00Z</dcterms:created>
  <dcterms:modified xsi:type="dcterms:W3CDTF">2023-11-14T06:48:00Z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