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62AEB" w14:paraId="5ADCCDB8" w14:textId="77777777" w:rsidTr="00F320AA">
        <w:trPr>
          <w:cantSplit/>
        </w:trPr>
        <w:tc>
          <w:tcPr>
            <w:tcW w:w="1418" w:type="dxa"/>
            <w:vAlign w:val="center"/>
          </w:tcPr>
          <w:p w14:paraId="5D7DD2DB" w14:textId="77777777" w:rsidR="00F320AA" w:rsidRPr="00B62AEB" w:rsidRDefault="00F320AA" w:rsidP="00F320AA">
            <w:pPr>
              <w:spacing w:before="0"/>
              <w:rPr>
                <w:rFonts w:ascii="Verdana" w:hAnsi="Verdana"/>
                <w:position w:val="6"/>
              </w:rPr>
            </w:pPr>
            <w:r w:rsidRPr="00B62AEB">
              <w:drawing>
                <wp:inline distT="0" distB="0" distL="0" distR="0" wp14:anchorId="1D169CD3" wp14:editId="078B048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F0F0761" w14:textId="77777777" w:rsidR="00F320AA" w:rsidRPr="00B62AEB" w:rsidRDefault="00F320AA" w:rsidP="00F320AA">
            <w:pPr>
              <w:spacing w:before="400" w:after="48" w:line="240" w:lineRule="atLeast"/>
              <w:rPr>
                <w:rFonts w:ascii="Verdana" w:hAnsi="Verdana"/>
                <w:position w:val="6"/>
              </w:rPr>
            </w:pPr>
            <w:r w:rsidRPr="00B62AEB">
              <w:rPr>
                <w:rFonts w:ascii="Verdana" w:hAnsi="Verdana" w:cs="Times"/>
                <w:b/>
                <w:position w:val="6"/>
                <w:sz w:val="22"/>
                <w:szCs w:val="22"/>
              </w:rPr>
              <w:t>World Radiocommunication Conference (WRC-23)</w:t>
            </w:r>
            <w:r w:rsidRPr="00B62AEB">
              <w:rPr>
                <w:rFonts w:ascii="Verdana" w:hAnsi="Verdana" w:cs="Times"/>
                <w:b/>
                <w:position w:val="6"/>
                <w:sz w:val="26"/>
                <w:szCs w:val="26"/>
              </w:rPr>
              <w:br/>
            </w:r>
            <w:r w:rsidRPr="00B62AEB">
              <w:rPr>
                <w:rFonts w:ascii="Verdana" w:hAnsi="Verdana"/>
                <w:b/>
                <w:bCs/>
                <w:position w:val="6"/>
                <w:sz w:val="18"/>
                <w:szCs w:val="18"/>
              </w:rPr>
              <w:t>Dubai, 20 November - 15 December 2023</w:t>
            </w:r>
          </w:p>
        </w:tc>
        <w:tc>
          <w:tcPr>
            <w:tcW w:w="1951" w:type="dxa"/>
            <w:vAlign w:val="center"/>
          </w:tcPr>
          <w:p w14:paraId="3E9AFCB0" w14:textId="77777777" w:rsidR="00F320AA" w:rsidRPr="00B62AEB" w:rsidRDefault="00EB0812" w:rsidP="00F320AA">
            <w:pPr>
              <w:spacing w:before="0" w:line="240" w:lineRule="atLeast"/>
            </w:pPr>
            <w:r w:rsidRPr="00B62AEB">
              <w:drawing>
                <wp:inline distT="0" distB="0" distL="0" distR="0" wp14:anchorId="7B385EAA" wp14:editId="3C949A7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62AEB" w14:paraId="4B9EC5FB" w14:textId="77777777">
        <w:trPr>
          <w:cantSplit/>
        </w:trPr>
        <w:tc>
          <w:tcPr>
            <w:tcW w:w="6911" w:type="dxa"/>
            <w:gridSpan w:val="2"/>
            <w:tcBorders>
              <w:bottom w:val="single" w:sz="12" w:space="0" w:color="auto"/>
            </w:tcBorders>
          </w:tcPr>
          <w:p w14:paraId="63CCE741" w14:textId="77777777" w:rsidR="00A066F1" w:rsidRPr="00B62AE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6D09988" w14:textId="77777777" w:rsidR="00A066F1" w:rsidRPr="00B62AEB" w:rsidRDefault="00A066F1" w:rsidP="00A066F1">
            <w:pPr>
              <w:spacing w:before="0" w:line="240" w:lineRule="atLeast"/>
              <w:rPr>
                <w:rFonts w:ascii="Verdana" w:hAnsi="Verdana"/>
                <w:szCs w:val="24"/>
              </w:rPr>
            </w:pPr>
          </w:p>
        </w:tc>
      </w:tr>
      <w:tr w:rsidR="00A066F1" w:rsidRPr="00B62AEB" w14:paraId="370E990D" w14:textId="77777777">
        <w:trPr>
          <w:cantSplit/>
        </w:trPr>
        <w:tc>
          <w:tcPr>
            <w:tcW w:w="6911" w:type="dxa"/>
            <w:gridSpan w:val="2"/>
            <w:tcBorders>
              <w:top w:val="single" w:sz="12" w:space="0" w:color="auto"/>
            </w:tcBorders>
          </w:tcPr>
          <w:p w14:paraId="251E0447" w14:textId="77777777" w:rsidR="00A066F1" w:rsidRPr="00B62AE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B96E652" w14:textId="77777777" w:rsidR="00A066F1" w:rsidRPr="00B62AEB" w:rsidRDefault="00A066F1" w:rsidP="00A066F1">
            <w:pPr>
              <w:spacing w:before="0" w:line="240" w:lineRule="atLeast"/>
              <w:rPr>
                <w:rFonts w:ascii="Verdana" w:hAnsi="Verdana"/>
                <w:sz w:val="20"/>
              </w:rPr>
            </w:pPr>
          </w:p>
        </w:tc>
      </w:tr>
      <w:tr w:rsidR="00A066F1" w:rsidRPr="00B62AEB" w14:paraId="1E28B93D" w14:textId="77777777">
        <w:trPr>
          <w:cantSplit/>
          <w:trHeight w:val="23"/>
        </w:trPr>
        <w:tc>
          <w:tcPr>
            <w:tcW w:w="6911" w:type="dxa"/>
            <w:gridSpan w:val="2"/>
            <w:shd w:val="clear" w:color="auto" w:fill="auto"/>
          </w:tcPr>
          <w:p w14:paraId="46126994" w14:textId="77777777" w:rsidR="00A066F1" w:rsidRPr="00B62AE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B62AEB">
              <w:rPr>
                <w:rFonts w:ascii="Verdana" w:hAnsi="Verdana"/>
                <w:sz w:val="20"/>
                <w:szCs w:val="20"/>
              </w:rPr>
              <w:t>PLENARY MEETING</w:t>
            </w:r>
          </w:p>
        </w:tc>
        <w:tc>
          <w:tcPr>
            <w:tcW w:w="3120" w:type="dxa"/>
            <w:gridSpan w:val="2"/>
          </w:tcPr>
          <w:p w14:paraId="4B693525" w14:textId="77777777" w:rsidR="00A066F1" w:rsidRPr="00B62AEB" w:rsidRDefault="00E55816" w:rsidP="00AA666F">
            <w:pPr>
              <w:tabs>
                <w:tab w:val="left" w:pos="851"/>
              </w:tabs>
              <w:spacing w:before="0" w:line="240" w:lineRule="atLeast"/>
              <w:rPr>
                <w:rFonts w:ascii="Verdana" w:hAnsi="Verdana"/>
                <w:sz w:val="20"/>
              </w:rPr>
            </w:pPr>
            <w:r w:rsidRPr="00B62AEB">
              <w:rPr>
                <w:rFonts w:ascii="Verdana" w:hAnsi="Verdana"/>
                <w:b/>
                <w:sz w:val="20"/>
              </w:rPr>
              <w:t>Document 94</w:t>
            </w:r>
            <w:r w:rsidR="00A066F1" w:rsidRPr="00B62AEB">
              <w:rPr>
                <w:rFonts w:ascii="Verdana" w:hAnsi="Verdana"/>
                <w:b/>
                <w:sz w:val="20"/>
              </w:rPr>
              <w:t>-</w:t>
            </w:r>
            <w:r w:rsidR="005E10C9" w:rsidRPr="00B62AEB">
              <w:rPr>
                <w:rFonts w:ascii="Verdana" w:hAnsi="Verdana"/>
                <w:b/>
                <w:sz w:val="20"/>
              </w:rPr>
              <w:t>E</w:t>
            </w:r>
          </w:p>
        </w:tc>
      </w:tr>
      <w:tr w:rsidR="00A066F1" w:rsidRPr="00B62AEB" w14:paraId="5EA3FE4E" w14:textId="77777777">
        <w:trPr>
          <w:cantSplit/>
          <w:trHeight w:val="23"/>
        </w:trPr>
        <w:tc>
          <w:tcPr>
            <w:tcW w:w="6911" w:type="dxa"/>
            <w:gridSpan w:val="2"/>
            <w:shd w:val="clear" w:color="auto" w:fill="auto"/>
          </w:tcPr>
          <w:p w14:paraId="1B57291C" w14:textId="77777777" w:rsidR="00A066F1" w:rsidRPr="00B62AE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9D0E9BD" w14:textId="77777777" w:rsidR="00A066F1" w:rsidRPr="00B62AEB" w:rsidRDefault="00420873" w:rsidP="00A066F1">
            <w:pPr>
              <w:tabs>
                <w:tab w:val="left" w:pos="993"/>
              </w:tabs>
              <w:spacing w:before="0"/>
              <w:rPr>
                <w:rFonts w:ascii="Verdana" w:hAnsi="Verdana"/>
                <w:sz w:val="20"/>
              </w:rPr>
            </w:pPr>
            <w:r w:rsidRPr="00B62AEB">
              <w:rPr>
                <w:rFonts w:ascii="Verdana" w:hAnsi="Verdana"/>
                <w:b/>
                <w:sz w:val="20"/>
              </w:rPr>
              <w:t>27 October 2023</w:t>
            </w:r>
          </w:p>
        </w:tc>
      </w:tr>
      <w:tr w:rsidR="00A066F1" w:rsidRPr="00B62AEB" w14:paraId="7A16163E" w14:textId="77777777">
        <w:trPr>
          <w:cantSplit/>
          <w:trHeight w:val="23"/>
        </w:trPr>
        <w:tc>
          <w:tcPr>
            <w:tcW w:w="6911" w:type="dxa"/>
            <w:gridSpan w:val="2"/>
            <w:shd w:val="clear" w:color="auto" w:fill="auto"/>
          </w:tcPr>
          <w:p w14:paraId="545FDFE9" w14:textId="77777777" w:rsidR="00A066F1" w:rsidRPr="00B62AE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D1DC4DC" w14:textId="77777777" w:rsidR="00A066F1" w:rsidRPr="00B62AEB" w:rsidRDefault="00E55816" w:rsidP="00A066F1">
            <w:pPr>
              <w:tabs>
                <w:tab w:val="left" w:pos="993"/>
              </w:tabs>
              <w:spacing w:before="0"/>
              <w:rPr>
                <w:rFonts w:ascii="Verdana" w:hAnsi="Verdana"/>
                <w:b/>
                <w:sz w:val="20"/>
              </w:rPr>
            </w:pPr>
            <w:r w:rsidRPr="00B62AEB">
              <w:rPr>
                <w:rFonts w:ascii="Verdana" w:hAnsi="Verdana"/>
                <w:b/>
                <w:sz w:val="20"/>
              </w:rPr>
              <w:t>Original: English</w:t>
            </w:r>
          </w:p>
        </w:tc>
      </w:tr>
      <w:tr w:rsidR="00A066F1" w:rsidRPr="00B62AEB" w14:paraId="5362E9DF" w14:textId="77777777" w:rsidTr="00025864">
        <w:trPr>
          <w:cantSplit/>
          <w:trHeight w:val="23"/>
        </w:trPr>
        <w:tc>
          <w:tcPr>
            <w:tcW w:w="10031" w:type="dxa"/>
            <w:gridSpan w:val="4"/>
            <w:shd w:val="clear" w:color="auto" w:fill="auto"/>
          </w:tcPr>
          <w:p w14:paraId="3C603F23" w14:textId="77777777" w:rsidR="00A066F1" w:rsidRPr="00B62AEB" w:rsidRDefault="00A066F1" w:rsidP="00A066F1">
            <w:pPr>
              <w:tabs>
                <w:tab w:val="left" w:pos="993"/>
              </w:tabs>
              <w:spacing w:before="0"/>
              <w:rPr>
                <w:rFonts w:ascii="Verdana" w:hAnsi="Verdana"/>
                <w:b/>
                <w:sz w:val="20"/>
              </w:rPr>
            </w:pPr>
          </w:p>
        </w:tc>
      </w:tr>
      <w:tr w:rsidR="00E55816" w:rsidRPr="00B62AEB" w14:paraId="2E4C472C" w14:textId="77777777" w:rsidTr="00025864">
        <w:trPr>
          <w:cantSplit/>
          <w:trHeight w:val="23"/>
        </w:trPr>
        <w:tc>
          <w:tcPr>
            <w:tcW w:w="10031" w:type="dxa"/>
            <w:gridSpan w:val="4"/>
            <w:shd w:val="clear" w:color="auto" w:fill="auto"/>
          </w:tcPr>
          <w:p w14:paraId="14B2E6C8" w14:textId="77777777" w:rsidR="00E55816" w:rsidRPr="00B62AEB" w:rsidRDefault="00884D60" w:rsidP="00E55816">
            <w:pPr>
              <w:pStyle w:val="Source"/>
            </w:pPr>
            <w:r w:rsidRPr="00B62AEB">
              <w:t>Canada/United States of America/Mexico</w:t>
            </w:r>
          </w:p>
        </w:tc>
      </w:tr>
      <w:tr w:rsidR="00E55816" w:rsidRPr="00B62AEB" w14:paraId="73D3448B" w14:textId="77777777" w:rsidTr="00025864">
        <w:trPr>
          <w:cantSplit/>
          <w:trHeight w:val="23"/>
        </w:trPr>
        <w:tc>
          <w:tcPr>
            <w:tcW w:w="10031" w:type="dxa"/>
            <w:gridSpan w:val="4"/>
            <w:shd w:val="clear" w:color="auto" w:fill="auto"/>
          </w:tcPr>
          <w:p w14:paraId="3F532585" w14:textId="77777777" w:rsidR="00E55816" w:rsidRPr="00B62AEB" w:rsidRDefault="007D5320" w:rsidP="00E55816">
            <w:pPr>
              <w:pStyle w:val="Title1"/>
            </w:pPr>
            <w:r w:rsidRPr="00B62AEB">
              <w:t>PROPOSALS FOR THE WORK OF THE CONFERENCE</w:t>
            </w:r>
          </w:p>
        </w:tc>
      </w:tr>
      <w:tr w:rsidR="00E55816" w:rsidRPr="00B62AEB" w14:paraId="1E85D4D0" w14:textId="77777777" w:rsidTr="00025864">
        <w:trPr>
          <w:cantSplit/>
          <w:trHeight w:val="23"/>
        </w:trPr>
        <w:tc>
          <w:tcPr>
            <w:tcW w:w="10031" w:type="dxa"/>
            <w:gridSpan w:val="4"/>
            <w:shd w:val="clear" w:color="auto" w:fill="auto"/>
          </w:tcPr>
          <w:p w14:paraId="0AF9718D" w14:textId="77777777" w:rsidR="00E55816" w:rsidRPr="00B62AEB" w:rsidRDefault="00E55816" w:rsidP="00E55816">
            <w:pPr>
              <w:pStyle w:val="Title2"/>
            </w:pPr>
          </w:p>
        </w:tc>
      </w:tr>
      <w:tr w:rsidR="00A538A6" w:rsidRPr="00B62AEB" w14:paraId="70D1C438" w14:textId="77777777" w:rsidTr="00025864">
        <w:trPr>
          <w:cantSplit/>
          <w:trHeight w:val="23"/>
        </w:trPr>
        <w:tc>
          <w:tcPr>
            <w:tcW w:w="10031" w:type="dxa"/>
            <w:gridSpan w:val="4"/>
            <w:shd w:val="clear" w:color="auto" w:fill="auto"/>
          </w:tcPr>
          <w:p w14:paraId="0F41F7F2" w14:textId="77777777" w:rsidR="00A538A6" w:rsidRPr="00B62AEB" w:rsidRDefault="004B13CB" w:rsidP="004B13CB">
            <w:pPr>
              <w:pStyle w:val="Agendaitem"/>
              <w:rPr>
                <w:lang w:val="en-GB"/>
              </w:rPr>
            </w:pPr>
            <w:r w:rsidRPr="00B62AEB">
              <w:rPr>
                <w:lang w:val="en-GB"/>
              </w:rPr>
              <w:t>Agenda item 7(H)</w:t>
            </w:r>
          </w:p>
        </w:tc>
      </w:tr>
    </w:tbl>
    <w:bookmarkEnd w:id="4"/>
    <w:bookmarkEnd w:id="5"/>
    <w:p w14:paraId="3A619939" w14:textId="77777777" w:rsidR="00187BD9" w:rsidRPr="00B62AEB" w:rsidRDefault="008A2247" w:rsidP="007341B9">
      <w:r w:rsidRPr="00B62AEB">
        <w:t>7</w:t>
      </w:r>
      <w:r w:rsidRPr="00B62AEB">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62AEB">
        <w:rPr>
          <w:b/>
        </w:rPr>
        <w:t>86</w:t>
      </w:r>
      <w:r w:rsidRPr="00B62AEB">
        <w:t xml:space="preserve"> </w:t>
      </w:r>
      <w:r w:rsidRPr="00B62AEB">
        <w:rPr>
          <w:b/>
        </w:rPr>
        <w:t>(Rev.WRC</w:t>
      </w:r>
      <w:r w:rsidRPr="00B62AEB">
        <w:rPr>
          <w:b/>
        </w:rPr>
        <w:noBreakHyphen/>
        <w:t>07)</w:t>
      </w:r>
      <w:r w:rsidRPr="00B62AEB">
        <w:rPr>
          <w:bCs/>
        </w:rPr>
        <w:t>, in order to facilitate the rational, efficient and economical use of radio frequencies and any associated orbits, including the geostationary-satellite orbit;</w:t>
      </w:r>
    </w:p>
    <w:p w14:paraId="4D3FE35E" w14:textId="0087ADA0" w:rsidR="00187BD9" w:rsidRPr="00B62AEB" w:rsidRDefault="008A2247" w:rsidP="009A5BC8">
      <w:r w:rsidRPr="00B62AEB">
        <w:t xml:space="preserve">7(H) </w:t>
      </w:r>
      <w:r w:rsidRPr="00B62AEB">
        <w:tab/>
        <w:t>Topic H - Enhanced protection of RR Appendices</w:t>
      </w:r>
      <w:r w:rsidR="00A43EA9" w:rsidRPr="00B62AEB">
        <w:t> </w:t>
      </w:r>
      <w:r w:rsidRPr="00B62AEB">
        <w:rPr>
          <w:b/>
          <w:bCs/>
        </w:rPr>
        <w:t>30/30A</w:t>
      </w:r>
      <w:r w:rsidRPr="00B62AEB">
        <w:t xml:space="preserve"> in Regions</w:t>
      </w:r>
      <w:r w:rsidR="00A43EA9" w:rsidRPr="00B62AEB">
        <w:t> </w:t>
      </w:r>
      <w:r w:rsidRPr="00B62AEB">
        <w:t>1 and</w:t>
      </w:r>
      <w:r w:rsidR="00A43EA9" w:rsidRPr="00B62AEB">
        <w:t> </w:t>
      </w:r>
      <w:r w:rsidRPr="00B62AEB">
        <w:t>3 and RR Appendix</w:t>
      </w:r>
      <w:r w:rsidR="00A43EA9" w:rsidRPr="00B62AEB">
        <w:t> </w:t>
      </w:r>
      <w:r w:rsidRPr="00B62AEB">
        <w:rPr>
          <w:b/>
          <w:bCs/>
        </w:rPr>
        <w:t>30B</w:t>
      </w:r>
    </w:p>
    <w:p w14:paraId="270267D0" w14:textId="77777777" w:rsidR="00241FA2" w:rsidRPr="00B62AEB" w:rsidRDefault="00241FA2" w:rsidP="00EB54B2"/>
    <w:p w14:paraId="22556829" w14:textId="77777777" w:rsidR="00187BD9" w:rsidRPr="00B62AEB" w:rsidRDefault="00187BD9" w:rsidP="00187BD9">
      <w:pPr>
        <w:tabs>
          <w:tab w:val="clear" w:pos="1134"/>
          <w:tab w:val="clear" w:pos="1871"/>
          <w:tab w:val="clear" w:pos="2268"/>
        </w:tabs>
        <w:overflowPunct/>
        <w:autoSpaceDE/>
        <w:autoSpaceDN/>
        <w:adjustRightInd/>
        <w:spacing w:before="0"/>
        <w:textAlignment w:val="auto"/>
      </w:pPr>
      <w:r w:rsidRPr="00B62AEB">
        <w:br w:type="page"/>
      </w:r>
    </w:p>
    <w:p w14:paraId="4189BF51" w14:textId="77777777" w:rsidR="00EB0564" w:rsidRPr="00B62AEB" w:rsidRDefault="008A2247" w:rsidP="00496979">
      <w:pPr>
        <w:pStyle w:val="AppendixNo"/>
        <w:spacing w:before="0"/>
        <w:rPr>
          <w:vertAlign w:val="superscript"/>
        </w:rPr>
      </w:pPr>
      <w:bookmarkStart w:id="6" w:name="_Toc42084194"/>
      <w:r w:rsidRPr="00B62AEB">
        <w:lastRenderedPageBreak/>
        <w:t xml:space="preserve">APPENDIX </w:t>
      </w:r>
      <w:r w:rsidRPr="00B62AEB">
        <w:rPr>
          <w:rStyle w:val="href"/>
        </w:rPr>
        <w:t>30</w:t>
      </w:r>
      <w:r w:rsidRPr="00B62AEB">
        <w:t xml:space="preserve"> (REV.WRC</w:t>
      </w:r>
      <w:r w:rsidRPr="00B62AEB">
        <w:noBreakHyphen/>
        <w:t>19)</w:t>
      </w:r>
      <w:r w:rsidRPr="00B62AEB">
        <w:rPr>
          <w:rStyle w:val="FootnoteReference"/>
        </w:rPr>
        <w:footnoteReference w:customMarkFollows="1" w:id="1"/>
        <w:t>*</w:t>
      </w:r>
      <w:bookmarkEnd w:id="6"/>
    </w:p>
    <w:p w14:paraId="5C7D58C5" w14:textId="77777777" w:rsidR="00EB0564" w:rsidRPr="00B62AEB" w:rsidRDefault="008A2247" w:rsidP="00496979">
      <w:pPr>
        <w:pStyle w:val="Appendixtitle"/>
        <w:rPr>
          <w:rFonts w:ascii="Times New Roman"/>
          <w:b w:val="0"/>
          <w:bCs/>
          <w:color w:val="000000"/>
          <w:sz w:val="16"/>
        </w:rPr>
      </w:pPr>
      <w:bookmarkStart w:id="7" w:name="_Toc330560547"/>
      <w:bookmarkStart w:id="8" w:name="_Toc42084195"/>
      <w:r w:rsidRPr="00B62AEB">
        <w:t>Provisions for all services and associated Plans and List</w:t>
      </w:r>
      <w:r w:rsidRPr="00B62AEB">
        <w:rPr>
          <w:rStyle w:val="FootnoteReference"/>
        </w:rPr>
        <w:footnoteReference w:customMarkFollows="1" w:id="2"/>
        <w:t>1</w:t>
      </w:r>
      <w:r w:rsidRPr="00B62AEB">
        <w:t xml:space="preserve"> for</w:t>
      </w:r>
      <w:r w:rsidRPr="00B62AEB">
        <w:br/>
        <w:t>the broadcasting-satellite service in the frequency bands</w:t>
      </w:r>
      <w:r w:rsidRPr="00B62AEB">
        <w:br/>
        <w:t>11.7-12.2 GHz (in Region 3), 11.7-12.5 GHz (in Region 1)</w:t>
      </w:r>
      <w:r w:rsidRPr="00B62AEB">
        <w:br/>
        <w:t>         and 12.2-12.7 GHz (in Region 2)</w:t>
      </w:r>
      <w:r w:rsidRPr="00B62AEB">
        <w:rPr>
          <w:b w:val="0"/>
          <w:bCs/>
          <w:color w:val="000000"/>
          <w:sz w:val="16"/>
        </w:rPr>
        <w:t>    </w:t>
      </w:r>
      <w:r w:rsidRPr="00B62AEB">
        <w:rPr>
          <w:rFonts w:ascii="Times New Roman"/>
          <w:b w:val="0"/>
          <w:bCs/>
          <w:color w:val="000000"/>
          <w:sz w:val="16"/>
        </w:rPr>
        <w:t>(WRC</w:t>
      </w:r>
      <w:r w:rsidRPr="00B62AEB">
        <w:rPr>
          <w:rFonts w:ascii="Times New Roman"/>
          <w:b w:val="0"/>
          <w:bCs/>
          <w:color w:val="000000"/>
          <w:sz w:val="16"/>
        </w:rPr>
        <w:noBreakHyphen/>
        <w:t>03)</w:t>
      </w:r>
      <w:bookmarkEnd w:id="7"/>
      <w:bookmarkEnd w:id="8"/>
    </w:p>
    <w:p w14:paraId="4FC36F4F" w14:textId="77777777" w:rsidR="00691D65" w:rsidRPr="00B62AEB" w:rsidRDefault="008A2247">
      <w:pPr>
        <w:pStyle w:val="Proposal"/>
      </w:pPr>
      <w:r w:rsidRPr="00B62AEB">
        <w:rPr>
          <w:u w:val="single"/>
        </w:rPr>
        <w:t>NOC</w:t>
      </w:r>
      <w:r w:rsidRPr="00B62AEB">
        <w:tab/>
        <w:t>CAN/USA/MEX/94/1</w:t>
      </w:r>
    </w:p>
    <w:p w14:paraId="1791F933" w14:textId="77777777" w:rsidR="00EB0564" w:rsidRPr="00B62AEB" w:rsidRDefault="008A2247" w:rsidP="00496979">
      <w:pPr>
        <w:pStyle w:val="AppArtNo"/>
        <w:keepLines w:val="0"/>
      </w:pPr>
      <w:r w:rsidRPr="00B62AEB">
        <w:t>ARTICLE  7</w:t>
      </w:r>
      <w:r w:rsidRPr="00B62AEB">
        <w:rPr>
          <w:sz w:val="16"/>
          <w:szCs w:val="16"/>
        </w:rPr>
        <w:t>     (Rev.WRC</w:t>
      </w:r>
      <w:r w:rsidRPr="00B62AEB">
        <w:rPr>
          <w:sz w:val="16"/>
          <w:szCs w:val="16"/>
        </w:rPr>
        <w:noBreakHyphen/>
        <w:t>19)</w:t>
      </w:r>
    </w:p>
    <w:p w14:paraId="5611E8A7" w14:textId="3278767A" w:rsidR="00EB0564" w:rsidRPr="00B62AEB" w:rsidRDefault="008A2247" w:rsidP="00496979">
      <w:pPr>
        <w:pStyle w:val="AppArttitle"/>
      </w:pPr>
      <w:r w:rsidRPr="00B62AEB">
        <w:t xml:space="preserve">Coordination, notification and recording in the Master International </w:t>
      </w:r>
      <w:r w:rsidRPr="00B62AEB">
        <w:br/>
        <w:t>Frequency Register of frequency assignments to stations in the fixed-satellite service (space-to-Earth) in the bands 11.7-12.2 GHz (in Region</w:t>
      </w:r>
      <w:r w:rsidR="00A43EA9" w:rsidRPr="00B62AEB">
        <w:t> </w:t>
      </w:r>
      <w:r w:rsidRPr="00B62AEB">
        <w:t>2),</w:t>
      </w:r>
      <w:r w:rsidRPr="00B62AEB">
        <w:br/>
        <w:t xml:space="preserve">12.2-12.7 GHz (in Region 3) and 12.5-12.7 GHz (in Region 1), and to stations </w:t>
      </w:r>
      <w:r w:rsidRPr="00B62AEB">
        <w:br/>
        <w:t>in the broadcasting-satellite service in the band 12.5-12.7 GHz (in Region</w:t>
      </w:r>
      <w:r w:rsidR="00A43EA9" w:rsidRPr="00B62AEB">
        <w:t> </w:t>
      </w:r>
      <w:r w:rsidRPr="00B62AEB">
        <w:t xml:space="preserve">3) </w:t>
      </w:r>
      <w:r w:rsidRPr="00B62AEB">
        <w:br/>
        <w:t>when frequency assignments to broadcasting-satellite stations in</w:t>
      </w:r>
      <w:r w:rsidRPr="00B62AEB">
        <w:br/>
        <w:t>the bands 11.7-12.5 GHz in Region 1, 12.2-12.7 GHz in Region 2</w:t>
      </w:r>
      <w:r w:rsidRPr="00B62AEB">
        <w:br/>
        <w:t>and 11.7-12.2 GHz in Region</w:t>
      </w:r>
      <w:r w:rsidR="00A43EA9" w:rsidRPr="00B62AEB">
        <w:t> </w:t>
      </w:r>
      <w:r w:rsidRPr="00B62AEB">
        <w:t>3 are involved</w:t>
      </w:r>
      <w:r w:rsidRPr="00B62AEB">
        <w:rPr>
          <w:rStyle w:val="FootnoteReference"/>
          <w:b w:val="0"/>
          <w:bCs/>
        </w:rPr>
        <w:footnoteReference w:customMarkFollows="1" w:id="3"/>
        <w:t>22</w:t>
      </w:r>
    </w:p>
    <w:p w14:paraId="5DCCDA36" w14:textId="1E0F3AAA" w:rsidR="009F0CD5" w:rsidRPr="00B62AEB" w:rsidRDefault="008A2247" w:rsidP="00062AEC">
      <w:pPr>
        <w:pStyle w:val="Reasons"/>
      </w:pPr>
      <w:r w:rsidRPr="00B62AEB">
        <w:rPr>
          <w:b/>
        </w:rPr>
        <w:t>Reasons:</w:t>
      </w:r>
      <w:r w:rsidRPr="00B62AEB">
        <w:tab/>
      </w:r>
      <w:bookmarkStart w:id="9" w:name="_Hlk133233568"/>
      <w:r w:rsidR="009F0CD5" w:rsidRPr="00B62AEB">
        <w:t xml:space="preserve">The scope of this topic as identified in the CPM </w:t>
      </w:r>
      <w:r w:rsidR="00FD18EC" w:rsidRPr="00B62AEB">
        <w:t>R</w:t>
      </w:r>
      <w:r w:rsidR="009F0CD5" w:rsidRPr="00B62AEB">
        <w:t xml:space="preserve">eport is about the impact of implicit agreement on the reference situation of </w:t>
      </w:r>
      <w:r w:rsidR="00E63616" w:rsidRPr="00B62AEB">
        <w:t xml:space="preserve">RR </w:t>
      </w:r>
      <w:r w:rsidR="009F0CD5" w:rsidRPr="00B62AEB">
        <w:t>Appendix</w:t>
      </w:r>
      <w:r w:rsidR="00A43EA9" w:rsidRPr="00B62AEB">
        <w:t> </w:t>
      </w:r>
      <w:r w:rsidR="009F0CD5" w:rsidRPr="00B62AEB">
        <w:rPr>
          <w:b/>
          <w:bCs/>
        </w:rPr>
        <w:t>30</w:t>
      </w:r>
      <w:r w:rsidR="009F0CD5" w:rsidRPr="00B62AEB">
        <w:t xml:space="preserve"> assignments that do not account for the impact of non-planned assignments to space services. Furthermore, the modifications to Article</w:t>
      </w:r>
      <w:r w:rsidR="00A43EA9" w:rsidRPr="00B62AEB">
        <w:t> </w:t>
      </w:r>
      <w:r w:rsidR="009F0CD5" w:rsidRPr="00B62AEB">
        <w:t xml:space="preserve">7 of </w:t>
      </w:r>
      <w:r w:rsidR="00DF103E" w:rsidRPr="00B62AEB">
        <w:t xml:space="preserve">RR </w:t>
      </w:r>
      <w:r w:rsidR="009F0CD5" w:rsidRPr="00B62AEB">
        <w:t>Appendix</w:t>
      </w:r>
      <w:r w:rsidR="00A43EA9" w:rsidRPr="00B62AEB">
        <w:t> </w:t>
      </w:r>
      <w:r w:rsidR="009F0CD5" w:rsidRPr="00B62AEB">
        <w:rPr>
          <w:b/>
          <w:bCs/>
        </w:rPr>
        <w:t>30</w:t>
      </w:r>
      <w:r w:rsidR="009F0CD5" w:rsidRPr="00B62AEB">
        <w:t xml:space="preserve"> were not studied and could lead to an unbalance</w:t>
      </w:r>
      <w:r w:rsidR="00FD18EC" w:rsidRPr="00B62AEB">
        <w:t>d</w:t>
      </w:r>
      <w:r w:rsidR="009F0CD5" w:rsidRPr="00B62AEB">
        <w:t xml:space="preserve"> situation in the treatment of planned versus non-planned assignments among regions.</w:t>
      </w:r>
      <w:bookmarkEnd w:id="9"/>
    </w:p>
    <w:p w14:paraId="7A65E14F" w14:textId="77777777" w:rsidR="00EB0564" w:rsidRPr="00B62AEB" w:rsidRDefault="008A2247" w:rsidP="00496979">
      <w:pPr>
        <w:pStyle w:val="AppendixNo"/>
        <w:spacing w:before="0"/>
      </w:pPr>
      <w:bookmarkStart w:id="10" w:name="_Toc42084210"/>
      <w:r w:rsidRPr="00B62AEB">
        <w:lastRenderedPageBreak/>
        <w:t xml:space="preserve">APPENDIX </w:t>
      </w:r>
      <w:r w:rsidRPr="00B62AEB">
        <w:rPr>
          <w:rStyle w:val="href"/>
        </w:rPr>
        <w:t>30A</w:t>
      </w:r>
      <w:r w:rsidRPr="00B62AEB">
        <w:t> (REV.WRC</w:t>
      </w:r>
      <w:r w:rsidRPr="00B62AEB">
        <w:noBreakHyphen/>
        <w:t>19)</w:t>
      </w:r>
      <w:r w:rsidRPr="00B62AEB">
        <w:rPr>
          <w:rStyle w:val="FootnoteReference"/>
          <w:color w:val="000000"/>
        </w:rPr>
        <w:footnoteReference w:customMarkFollows="1" w:id="4"/>
        <w:t>*</w:t>
      </w:r>
      <w:bookmarkEnd w:id="10"/>
    </w:p>
    <w:p w14:paraId="31819F71" w14:textId="77777777" w:rsidR="00EB0564" w:rsidRPr="00B62AEB" w:rsidRDefault="008A2247" w:rsidP="00496979">
      <w:pPr>
        <w:pStyle w:val="Appendixtitle"/>
        <w:rPr>
          <w:b w:val="0"/>
          <w:bCs/>
          <w:sz w:val="16"/>
        </w:rPr>
      </w:pPr>
      <w:bookmarkStart w:id="11" w:name="_Toc330560563"/>
      <w:bookmarkStart w:id="12" w:name="_Toc42084211"/>
      <w:r w:rsidRPr="00B62AEB">
        <w:t>Provisions and associated Plans and List</w:t>
      </w:r>
      <w:r w:rsidRPr="00B62AEB">
        <w:rPr>
          <w:rStyle w:val="FootnoteReference"/>
          <w:rFonts w:asciiTheme="majorBidi" w:hAnsiTheme="majorBidi" w:cstheme="majorBidi"/>
          <w:b w:val="0"/>
          <w:bCs/>
          <w:color w:val="000000"/>
        </w:rPr>
        <w:footnoteReference w:customMarkFollows="1" w:id="5"/>
        <w:t>1</w:t>
      </w:r>
      <w:r w:rsidRPr="00B62AEB">
        <w:t xml:space="preserve"> for feeder links for the broadcasting-satellite service (11.7-12.5 GHz in Region 1, 12.2-12.7 GHz</w:t>
      </w:r>
      <w:r w:rsidRPr="00B62AEB">
        <w:br/>
        <w:t>in Region 2 and 11.7-12.2 GHz in Region 3) in the frequency bands</w:t>
      </w:r>
      <w:r w:rsidRPr="00B62AEB">
        <w:br/>
        <w:t>14.5-14.8 GHz</w:t>
      </w:r>
      <w:r w:rsidRPr="00B62AEB">
        <w:rPr>
          <w:rStyle w:val="FootnoteReference"/>
          <w:rFonts w:asciiTheme="majorBidi" w:hAnsiTheme="majorBidi" w:cstheme="majorBidi"/>
          <w:b w:val="0"/>
          <w:bCs/>
          <w:color w:val="000000"/>
        </w:rPr>
        <w:footnoteReference w:customMarkFollows="1" w:id="6"/>
        <w:t>2</w:t>
      </w:r>
      <w:r w:rsidRPr="00B62AEB">
        <w:t xml:space="preserve"> and 17.3-18.1 GHz in Regions 1 and 3,</w:t>
      </w:r>
      <w:r w:rsidRPr="00B62AEB">
        <w:br/>
        <w:t>and 17.3-17.8 GHz in Region 2</w:t>
      </w:r>
      <w:r w:rsidRPr="00B62AEB">
        <w:rPr>
          <w:b w:val="0"/>
          <w:bCs/>
          <w:sz w:val="16"/>
        </w:rPr>
        <w:t>     (</w:t>
      </w:r>
      <w:r w:rsidRPr="00B62AEB">
        <w:rPr>
          <w:rFonts w:asciiTheme="majorBidi" w:hAnsiTheme="majorBidi" w:cstheme="majorBidi"/>
          <w:b w:val="0"/>
          <w:bCs/>
          <w:sz w:val="16"/>
        </w:rPr>
        <w:t>WRC</w:t>
      </w:r>
      <w:r w:rsidRPr="00B62AEB">
        <w:rPr>
          <w:rFonts w:asciiTheme="majorBidi" w:hAnsiTheme="majorBidi" w:cstheme="majorBidi"/>
          <w:b w:val="0"/>
          <w:bCs/>
          <w:sz w:val="16"/>
        </w:rPr>
        <w:noBreakHyphen/>
        <w:t>03)</w:t>
      </w:r>
      <w:bookmarkEnd w:id="11"/>
      <w:bookmarkEnd w:id="12"/>
    </w:p>
    <w:p w14:paraId="54CE82BF" w14:textId="77777777" w:rsidR="00691D65" w:rsidRPr="00B62AEB" w:rsidRDefault="008A2247">
      <w:pPr>
        <w:pStyle w:val="Proposal"/>
      </w:pPr>
      <w:r w:rsidRPr="00B62AEB">
        <w:rPr>
          <w:u w:val="single"/>
        </w:rPr>
        <w:t>NOC</w:t>
      </w:r>
      <w:r w:rsidRPr="00B62AEB">
        <w:tab/>
        <w:t>CAN/USA/MEX/94/2</w:t>
      </w:r>
    </w:p>
    <w:p w14:paraId="117ACB48" w14:textId="77777777" w:rsidR="00EB0564" w:rsidRPr="00B62AEB" w:rsidRDefault="008A2247" w:rsidP="00496979">
      <w:pPr>
        <w:pStyle w:val="AppArtNo"/>
        <w:tabs>
          <w:tab w:val="clear" w:pos="1134"/>
          <w:tab w:val="left" w:pos="1418"/>
        </w:tabs>
      </w:pPr>
      <w:r w:rsidRPr="00B62AEB">
        <w:t>ARTICLE 7</w:t>
      </w:r>
      <w:r w:rsidRPr="00B62AEB">
        <w:rPr>
          <w:sz w:val="16"/>
          <w:szCs w:val="16"/>
        </w:rPr>
        <w:t>     (Rev.WRC</w:t>
      </w:r>
      <w:r w:rsidRPr="00B62AEB">
        <w:rPr>
          <w:sz w:val="16"/>
          <w:szCs w:val="16"/>
        </w:rPr>
        <w:noBreakHyphen/>
        <w:t>19)</w:t>
      </w:r>
    </w:p>
    <w:p w14:paraId="2ED5403B" w14:textId="6B27750D" w:rsidR="00EB0564" w:rsidRPr="00B62AEB" w:rsidRDefault="008A2247" w:rsidP="00496979">
      <w:pPr>
        <w:pStyle w:val="AppArttitle"/>
        <w:spacing w:before="120"/>
        <w:rPr>
          <w:vertAlign w:val="superscript"/>
        </w:rPr>
      </w:pPr>
      <w:r w:rsidRPr="00B62AEB">
        <w:t xml:space="preserve">Coordination, notification and recording in the Master International </w:t>
      </w:r>
      <w:r w:rsidRPr="00B62AEB">
        <w:br/>
        <w:t xml:space="preserve">Frequency Register of frequency assignments to stations in the fixed-satellite service (space-to-Earth) in Region 1 in the frequency band 17.3-18.1 GHz and </w:t>
      </w:r>
      <w:r w:rsidRPr="00B62AEB">
        <w:br/>
        <w:t>in Regions 2 and 3 in the frequency band 17.7-18.1 GHz, to stations in the fixed</w:t>
      </w:r>
      <w:r w:rsidRPr="00B62AEB">
        <w:noBreakHyphen/>
        <w:t>satellite service (Earth-to-space) in Region 2 in the frequency bands 14.5</w:t>
      </w:r>
      <w:r w:rsidRPr="00B62AEB">
        <w:noBreakHyphen/>
        <w:t>14.8 GHz and 17.8</w:t>
      </w:r>
      <w:r w:rsidRPr="00B62AEB">
        <w:noBreakHyphen/>
        <w:t>18.1 GHz, to stations in the fixed-satellite service (Earth-to-space) in countries listed in Resolution</w:t>
      </w:r>
      <w:r w:rsidR="00A43EA9" w:rsidRPr="00B62AEB">
        <w:t> </w:t>
      </w:r>
      <w:r w:rsidRPr="00B62AEB">
        <w:t>163 (WRC</w:t>
      </w:r>
      <w:r w:rsidRPr="00B62AEB">
        <w:rPr>
          <w:b w:val="0"/>
          <w:bCs/>
        </w:rPr>
        <w:noBreakHyphen/>
      </w:r>
      <w:r w:rsidRPr="00B62AEB">
        <w:t>15) in the frequency band 14.5</w:t>
      </w:r>
      <w:r w:rsidRPr="00B62AEB">
        <w:noBreakHyphen/>
        <w:t>14.75 GHz and in countries listed in Resolution</w:t>
      </w:r>
      <w:r w:rsidR="00A43EA9" w:rsidRPr="00B62AEB">
        <w:t> </w:t>
      </w:r>
      <w:r w:rsidRPr="00B62AEB">
        <w:t>164 (WRC</w:t>
      </w:r>
      <w:r w:rsidRPr="00B62AEB">
        <w:rPr>
          <w:b w:val="0"/>
          <w:bCs/>
        </w:rPr>
        <w:noBreakHyphen/>
      </w:r>
      <w:r w:rsidRPr="00B62AEB">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B62AEB">
        <w:br/>
        <w:t>frequency band 17.3-17.8 GHz in Region 2 are involved</w:t>
      </w:r>
      <w:r w:rsidRPr="00B62AEB">
        <w:rPr>
          <w:rStyle w:val="FootnoteReference"/>
          <w:b w:val="0"/>
          <w:bCs/>
        </w:rPr>
        <w:footnoteReference w:customMarkFollows="1" w:id="7"/>
        <w:t>28</w:t>
      </w:r>
      <w:r w:rsidRPr="00B62AEB">
        <w:rPr>
          <w:b w:val="0"/>
          <w:bCs/>
          <w:sz w:val="16"/>
        </w:rPr>
        <w:t>     (Rev.WRC</w:t>
      </w:r>
      <w:r w:rsidRPr="00B62AEB">
        <w:rPr>
          <w:b w:val="0"/>
          <w:bCs/>
          <w:sz w:val="16"/>
        </w:rPr>
        <w:noBreakHyphen/>
        <w:t>19)</w:t>
      </w:r>
    </w:p>
    <w:p w14:paraId="460DDE51" w14:textId="4EE0AE32" w:rsidR="00691D65" w:rsidRPr="00B62AEB" w:rsidRDefault="008A2247">
      <w:pPr>
        <w:pStyle w:val="Reasons"/>
        <w:rPr>
          <w:sz w:val="22"/>
          <w:szCs w:val="22"/>
        </w:rPr>
      </w:pPr>
      <w:r w:rsidRPr="00B62AEB">
        <w:rPr>
          <w:b/>
        </w:rPr>
        <w:t>Reasons:</w:t>
      </w:r>
      <w:r w:rsidRPr="00B62AEB">
        <w:tab/>
      </w:r>
      <w:r w:rsidR="009E3FA4" w:rsidRPr="00B62AEB">
        <w:rPr>
          <w:szCs w:val="24"/>
        </w:rPr>
        <w:t xml:space="preserve">The scope of this topic as identified in the CPM </w:t>
      </w:r>
      <w:r w:rsidR="00353156" w:rsidRPr="00B62AEB">
        <w:rPr>
          <w:szCs w:val="24"/>
        </w:rPr>
        <w:t>R</w:t>
      </w:r>
      <w:r w:rsidR="009E3FA4" w:rsidRPr="00B62AEB">
        <w:rPr>
          <w:szCs w:val="24"/>
        </w:rPr>
        <w:t xml:space="preserve">eport is about the impact of implicit agreement on the reference situation of </w:t>
      </w:r>
      <w:r w:rsidR="00850AC3" w:rsidRPr="00B62AEB">
        <w:rPr>
          <w:szCs w:val="24"/>
        </w:rPr>
        <w:t xml:space="preserve">RR </w:t>
      </w:r>
      <w:r w:rsidR="009E3FA4" w:rsidRPr="00B62AEB">
        <w:rPr>
          <w:szCs w:val="24"/>
        </w:rPr>
        <w:t>Appendix</w:t>
      </w:r>
      <w:r w:rsidR="00A43EA9" w:rsidRPr="00B62AEB">
        <w:rPr>
          <w:szCs w:val="24"/>
        </w:rPr>
        <w:t> </w:t>
      </w:r>
      <w:r w:rsidR="009E3FA4" w:rsidRPr="00B62AEB">
        <w:rPr>
          <w:b/>
          <w:bCs/>
          <w:szCs w:val="24"/>
        </w:rPr>
        <w:t xml:space="preserve">30A </w:t>
      </w:r>
      <w:r w:rsidR="009E3FA4" w:rsidRPr="00B62AEB">
        <w:rPr>
          <w:szCs w:val="24"/>
        </w:rPr>
        <w:t>assignments that do not account for the impact of non-planned assignments to space services. Furthermore, the modifications to Article</w:t>
      </w:r>
      <w:r w:rsidR="00A43EA9" w:rsidRPr="00B62AEB">
        <w:rPr>
          <w:szCs w:val="24"/>
        </w:rPr>
        <w:t> </w:t>
      </w:r>
      <w:r w:rsidR="009E3FA4" w:rsidRPr="00B62AEB">
        <w:rPr>
          <w:szCs w:val="24"/>
        </w:rPr>
        <w:t xml:space="preserve">7 of </w:t>
      </w:r>
      <w:r w:rsidR="00FC755C" w:rsidRPr="00B62AEB">
        <w:rPr>
          <w:szCs w:val="24"/>
        </w:rPr>
        <w:t xml:space="preserve">RR </w:t>
      </w:r>
      <w:r w:rsidR="009E3FA4" w:rsidRPr="00B62AEB">
        <w:rPr>
          <w:szCs w:val="24"/>
        </w:rPr>
        <w:t>Appendix</w:t>
      </w:r>
      <w:r w:rsidR="00A43EA9" w:rsidRPr="00B62AEB">
        <w:rPr>
          <w:szCs w:val="24"/>
        </w:rPr>
        <w:t> </w:t>
      </w:r>
      <w:r w:rsidR="009E3FA4" w:rsidRPr="00B62AEB">
        <w:rPr>
          <w:b/>
          <w:bCs/>
          <w:szCs w:val="24"/>
        </w:rPr>
        <w:t>30A</w:t>
      </w:r>
      <w:r w:rsidR="009E3FA4" w:rsidRPr="00B62AEB">
        <w:rPr>
          <w:szCs w:val="24"/>
        </w:rPr>
        <w:t xml:space="preserve"> were not studied and could lead to an unbalance</w:t>
      </w:r>
      <w:r w:rsidR="00353156" w:rsidRPr="00B62AEB">
        <w:rPr>
          <w:szCs w:val="24"/>
        </w:rPr>
        <w:t>d</w:t>
      </w:r>
      <w:r w:rsidR="009E3FA4" w:rsidRPr="00B62AEB">
        <w:rPr>
          <w:szCs w:val="24"/>
        </w:rPr>
        <w:t xml:space="preserve"> situation in the treatment of planned versus non-planned assignments among regions.</w:t>
      </w:r>
    </w:p>
    <w:p w14:paraId="1C878B29" w14:textId="058671AE" w:rsidR="00A43EA9" w:rsidRDefault="00A43EA9" w:rsidP="00A43EA9">
      <w:pPr>
        <w:jc w:val="center"/>
      </w:pPr>
      <w:r w:rsidRPr="00B62AEB">
        <w:lastRenderedPageBreak/>
        <w:t>_________________</w:t>
      </w:r>
    </w:p>
    <w:sectPr w:rsidR="00A43EA9">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0D49" w14:textId="77777777" w:rsidR="0076103C" w:rsidRDefault="0076103C">
      <w:r>
        <w:separator/>
      </w:r>
    </w:p>
  </w:endnote>
  <w:endnote w:type="continuationSeparator" w:id="0">
    <w:p w14:paraId="47A9CB63" w14:textId="77777777" w:rsidR="0076103C" w:rsidRDefault="007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DDCF" w14:textId="77777777" w:rsidR="00E45D05" w:rsidRDefault="00E45D05">
    <w:pPr>
      <w:framePr w:wrap="around" w:vAnchor="text" w:hAnchor="margin" w:xAlign="right" w:y="1"/>
    </w:pPr>
    <w:r>
      <w:fldChar w:fldCharType="begin"/>
    </w:r>
    <w:r>
      <w:instrText xml:space="preserve">PAGE  </w:instrText>
    </w:r>
    <w:r>
      <w:fldChar w:fldCharType="end"/>
    </w:r>
  </w:p>
  <w:p w14:paraId="536A1B73" w14:textId="07AFE8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10639">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E118" w14:textId="342BAFAA" w:rsidR="00E45D05" w:rsidRDefault="00E45D05" w:rsidP="009B1EA1">
    <w:pPr>
      <w:pStyle w:val="Footer"/>
    </w:pPr>
    <w:r>
      <w:fldChar w:fldCharType="begin"/>
    </w:r>
    <w:r w:rsidRPr="0041348E">
      <w:rPr>
        <w:lang w:val="en-US"/>
      </w:rPr>
      <w:instrText xml:space="preserve"> FILENAME \p  \* MERGEFORMAT </w:instrText>
    </w:r>
    <w:r>
      <w:fldChar w:fldCharType="separate"/>
    </w:r>
    <w:r w:rsidR="00A43EA9">
      <w:rPr>
        <w:lang w:val="en-US"/>
      </w:rPr>
      <w:t>P:\ENG\ITU-R\CONF-R\CMR23\000\094E.docx</w:t>
    </w:r>
    <w:r>
      <w:fldChar w:fldCharType="end"/>
    </w:r>
    <w:r w:rsidR="00A43EA9">
      <w:t xml:space="preserve"> (530129)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8D74" w14:textId="77777777" w:rsidR="00A43EA9" w:rsidRDefault="00A43EA9" w:rsidP="00A43EA9">
    <w:pPr>
      <w:pStyle w:val="Footer"/>
    </w:pPr>
    <w:r>
      <w:fldChar w:fldCharType="begin"/>
    </w:r>
    <w:r w:rsidRPr="0041348E">
      <w:rPr>
        <w:lang w:val="en-US"/>
      </w:rPr>
      <w:instrText xml:space="preserve"> FILENAME \p  \* MERGEFORMAT </w:instrText>
    </w:r>
    <w:r>
      <w:fldChar w:fldCharType="separate"/>
    </w:r>
    <w:r>
      <w:rPr>
        <w:lang w:val="en-US"/>
      </w:rPr>
      <w:t>P:\ENG\ITU-R\CONF-R\CMR23\000\094E.docx</w:t>
    </w:r>
    <w:r>
      <w:fldChar w:fldCharType="end"/>
    </w:r>
    <w:r>
      <w:t xml:space="preserve"> (530129)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62ED" w14:textId="77777777" w:rsidR="0076103C" w:rsidRDefault="0076103C">
      <w:r>
        <w:rPr>
          <w:b/>
        </w:rPr>
        <w:t>_______________</w:t>
      </w:r>
    </w:p>
  </w:footnote>
  <w:footnote w:type="continuationSeparator" w:id="0">
    <w:p w14:paraId="29D0589D" w14:textId="77777777" w:rsidR="0076103C" w:rsidRDefault="0076103C">
      <w:r>
        <w:continuationSeparator/>
      </w:r>
    </w:p>
  </w:footnote>
  <w:footnote w:id="1">
    <w:p w14:paraId="49BA75FB" w14:textId="41F5609F" w:rsidR="00EB0564" w:rsidRPr="001B614A" w:rsidRDefault="008A2247" w:rsidP="00496979">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w:t>
      </w:r>
      <w:r w:rsidR="00A43EA9">
        <w:rPr>
          <w:rStyle w:val="FootnoteTextChar"/>
          <w:rFonts w:eastAsiaTheme="minorHAnsi"/>
        </w:rPr>
        <w:t> </w:t>
      </w:r>
      <w:r w:rsidRPr="001B614A">
        <w:rPr>
          <w:rStyle w:val="FootnoteTextChar"/>
          <w:rFonts w:eastAsiaTheme="minorHAnsi"/>
        </w:rPr>
        <w:t>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114CF747" w14:textId="7B766074" w:rsidR="00EB0564" w:rsidRPr="001B614A" w:rsidRDefault="008A2247" w:rsidP="00496979">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w:t>
      </w:r>
      <w:r w:rsidR="00A43EA9">
        <w:rPr>
          <w:rStyle w:val="FootnoteTextChar"/>
          <w:rFonts w:eastAsiaTheme="minorHAnsi"/>
        </w:rPr>
        <w:t> </w:t>
      </w:r>
      <w:r w:rsidRPr="001B614A">
        <w:rPr>
          <w:rStyle w:val="FootnoteTextChar"/>
          <w:rFonts w:eastAsiaTheme="minorHAnsi"/>
        </w:rPr>
        <w:t>1 and</w:t>
      </w:r>
      <w:r w:rsidR="00A43EA9">
        <w:rPr>
          <w:rStyle w:val="FootnoteTextChar"/>
          <w:rFonts w:eastAsiaTheme="minorHAnsi"/>
        </w:rPr>
        <w:t> </w:t>
      </w:r>
      <w:r w:rsidRPr="001B614A">
        <w:rPr>
          <w:rStyle w:val="FootnoteTextChar"/>
          <w:rFonts w:eastAsiaTheme="minorHAnsi"/>
        </w:rPr>
        <w:t>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50B71125" w14:textId="77777777" w:rsidR="00EB0564" w:rsidRPr="005B42BE" w:rsidRDefault="008A2247" w:rsidP="00496979">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A1994AE" w14:textId="77777777" w:rsidR="00EB0564" w:rsidRPr="00023556" w:rsidRDefault="008A2247" w:rsidP="00496979">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6269A1B0" w14:textId="55F53FB1" w:rsidR="00EB0564" w:rsidRDefault="008A2247" w:rsidP="00496979">
      <w:pPr>
        <w:pStyle w:val="FootnoteText"/>
        <w:keepLines w:val="0"/>
        <w:rPr>
          <w:lang w:val="en-US"/>
        </w:rPr>
      </w:pPr>
      <w:r w:rsidRPr="00312C47">
        <w:rPr>
          <w:rStyle w:val="FootnoteReference"/>
        </w:rPr>
        <w:t>22</w:t>
      </w:r>
      <w:r>
        <w:rPr>
          <w:lang w:val="en-US"/>
        </w:rPr>
        <w:t xml:space="preserve"> </w:t>
      </w:r>
      <w:r>
        <w:rPr>
          <w:lang w:val="en-US"/>
        </w:rPr>
        <w:tab/>
        <w:t>These provisions do not replace the procedures prescribed in Articles</w:t>
      </w:r>
      <w:r w:rsidR="00A43EA9">
        <w:rPr>
          <w:lang w:val="en-US"/>
        </w:rPr>
        <w:t> </w:t>
      </w:r>
      <w:r>
        <w:rPr>
          <w:rStyle w:val="Artref"/>
          <w:b/>
          <w:color w:val="000000"/>
          <w:lang w:val="en-US"/>
        </w:rPr>
        <w:t>9</w:t>
      </w:r>
      <w:r>
        <w:rPr>
          <w:lang w:val="en-US"/>
        </w:rPr>
        <w:t xml:space="preserve"> and</w:t>
      </w:r>
      <w:r w:rsidR="00A43EA9">
        <w:rPr>
          <w:lang w:val="en-US"/>
        </w:rPr>
        <w:t> </w:t>
      </w:r>
      <w:r>
        <w:rPr>
          <w:rStyle w:val="Artref"/>
          <w:b/>
          <w:color w:val="000000"/>
          <w:lang w:val="en-US"/>
        </w:rPr>
        <w:t>11</w:t>
      </w:r>
      <w:r>
        <w:rPr>
          <w:lang w:val="en-US"/>
        </w:rPr>
        <w:t xml:space="preserve"> when stations other than those in the broadcasting-satellite service subject to a Plan are involved.</w:t>
      </w:r>
      <w:r w:rsidRPr="00672737">
        <w:rPr>
          <w:sz w:val="16"/>
          <w:lang w:val="en-US"/>
        </w:rPr>
        <w:t>     (</w:t>
      </w:r>
      <w:r>
        <w:rPr>
          <w:sz w:val="16"/>
          <w:lang w:val="en-US"/>
        </w:rPr>
        <w:t>WRC</w:t>
      </w:r>
      <w:r>
        <w:rPr>
          <w:sz w:val="16"/>
          <w:lang w:val="en-US"/>
        </w:rPr>
        <w:noBreakHyphen/>
        <w:t>03)</w:t>
      </w:r>
    </w:p>
  </w:footnote>
  <w:footnote w:id="4">
    <w:p w14:paraId="096CCBE9" w14:textId="77777777" w:rsidR="00EB0564" w:rsidRPr="003705ED" w:rsidRDefault="008A2247"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5">
    <w:p w14:paraId="2DD75D7F" w14:textId="77777777" w:rsidR="00EB0564" w:rsidRDefault="008A2247"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3A2A9F4A" w14:textId="77777777" w:rsidR="00EB0564" w:rsidRPr="00D731B5" w:rsidRDefault="008A2247"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6">
    <w:p w14:paraId="102D9EAC" w14:textId="77777777" w:rsidR="00EB0564" w:rsidRDefault="008A2247"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412CD638" w14:textId="77777777" w:rsidR="00EB0564" w:rsidRPr="00D122DC" w:rsidRDefault="008A2247"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7">
    <w:p w14:paraId="702302D9" w14:textId="77777777" w:rsidR="00EB0564" w:rsidRPr="003705ED" w:rsidRDefault="008A2247" w:rsidP="009C5B57">
      <w:pPr>
        <w:pStyle w:val="FootnoteText"/>
        <w:rPr>
          <w:rStyle w:val="FootnoteTextChar"/>
          <w:lang w:val="en-US"/>
        </w:rPr>
      </w:pPr>
      <w:r w:rsidRPr="009C5B57">
        <w:rPr>
          <w:rStyle w:val="FootnoteReference"/>
        </w:rPr>
        <w:t>28</w:t>
      </w:r>
      <w:r w:rsidRPr="009C5B57">
        <w:rPr>
          <w:rStyle w:val="FootnoteTextChar"/>
          <w:lang w:val="en-US"/>
        </w:rPr>
        <w:tab/>
        <w:t>These provisions do not replace the procedures prescribed in Articles </w:t>
      </w:r>
      <w:r w:rsidRPr="009C5B57">
        <w:rPr>
          <w:rStyle w:val="FootnoteTextChar"/>
          <w:b/>
          <w:bCs/>
          <w:lang w:val="en-US"/>
        </w:rPr>
        <w:t>9</w:t>
      </w:r>
      <w:r w:rsidRPr="009C5B57">
        <w:rPr>
          <w:rStyle w:val="FootnoteTextChar"/>
          <w:lang w:val="en-US"/>
        </w:rPr>
        <w:t xml:space="preserve"> and </w:t>
      </w:r>
      <w:r w:rsidRPr="009C5B57">
        <w:rPr>
          <w:rStyle w:val="FootnoteTextChar"/>
          <w:b/>
          <w:bCs/>
          <w:lang w:val="en-US"/>
        </w:rPr>
        <w:t>11</w:t>
      </w:r>
      <w:r w:rsidRPr="009C5B57">
        <w:rPr>
          <w:rStyle w:val="FootnoteTextChar"/>
          <w:lang w:val="en-US"/>
        </w:rPr>
        <w:t xml:space="preserve"> when stations other than those for feeder links in the broadcasting-satellite service subject to a Plan are involved.</w:t>
      </w:r>
      <w:r w:rsidRPr="009C5B57">
        <w:rPr>
          <w:rStyle w:val="FootnoteTextChar"/>
          <w:sz w:val="16"/>
          <w:lang w:val="en-US"/>
        </w:rPr>
        <w:t>     (</w:t>
      </w:r>
      <w:r w:rsidRPr="009C5B57">
        <w:rPr>
          <w:rStyle w:val="FootnoteTextChar"/>
          <w:sz w:val="16"/>
          <w:szCs w:val="16"/>
          <w:lang w:val="en-US"/>
        </w:rPr>
        <w:t>WRC</w:t>
      </w:r>
      <w:r w:rsidRPr="009C5B57">
        <w:rPr>
          <w:rStyle w:val="FootnoteTextChar"/>
          <w:sz w:val="16"/>
          <w:szCs w:val="16"/>
          <w:lang w:val="en-US"/>
        </w:rPr>
        <w:noBreakHyphen/>
        <w:t>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E9AA" w14:textId="77777777" w:rsidR="00A43EA9" w:rsidRDefault="00A43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0A2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26665F7"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94</w:t>
    </w:r>
    <w:bookmarkEnd w:id="13"/>
    <w:bookmarkEnd w:id="14"/>
    <w:bookmarkEnd w:id="15"/>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82C" w14:textId="77777777" w:rsidR="00A43EA9" w:rsidRDefault="00A43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22919464">
    <w:abstractNumId w:val="0"/>
  </w:num>
  <w:num w:numId="2" w16cid:durableId="8191523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2AEC"/>
    <w:rsid w:val="000705F2"/>
    <w:rsid w:val="00077239"/>
    <w:rsid w:val="0007795D"/>
    <w:rsid w:val="00086491"/>
    <w:rsid w:val="00091346"/>
    <w:rsid w:val="0009706C"/>
    <w:rsid w:val="000C6F84"/>
    <w:rsid w:val="000D154B"/>
    <w:rsid w:val="000D2DAF"/>
    <w:rsid w:val="000D3F30"/>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E2489"/>
    <w:rsid w:val="002F4747"/>
    <w:rsid w:val="002F4945"/>
    <w:rsid w:val="00302605"/>
    <w:rsid w:val="00353156"/>
    <w:rsid w:val="00361B37"/>
    <w:rsid w:val="00377BD3"/>
    <w:rsid w:val="00384088"/>
    <w:rsid w:val="003852CE"/>
    <w:rsid w:val="0039169B"/>
    <w:rsid w:val="003A7F8C"/>
    <w:rsid w:val="003B2284"/>
    <w:rsid w:val="003B532E"/>
    <w:rsid w:val="003D0F8B"/>
    <w:rsid w:val="003E0DB6"/>
    <w:rsid w:val="0041348E"/>
    <w:rsid w:val="00420873"/>
    <w:rsid w:val="004254BB"/>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05F13"/>
    <w:rsid w:val="00610639"/>
    <w:rsid w:val="00615426"/>
    <w:rsid w:val="00616219"/>
    <w:rsid w:val="00645B7D"/>
    <w:rsid w:val="00657DE0"/>
    <w:rsid w:val="00685313"/>
    <w:rsid w:val="00691D65"/>
    <w:rsid w:val="00692833"/>
    <w:rsid w:val="006A6E9B"/>
    <w:rsid w:val="006B7C2A"/>
    <w:rsid w:val="006C23DA"/>
    <w:rsid w:val="006D70B0"/>
    <w:rsid w:val="006E3D45"/>
    <w:rsid w:val="0070607A"/>
    <w:rsid w:val="007149F9"/>
    <w:rsid w:val="00733A30"/>
    <w:rsid w:val="00737A79"/>
    <w:rsid w:val="00745AEE"/>
    <w:rsid w:val="00750F10"/>
    <w:rsid w:val="0076103C"/>
    <w:rsid w:val="007742CA"/>
    <w:rsid w:val="00790D70"/>
    <w:rsid w:val="007A6F1F"/>
    <w:rsid w:val="007D5320"/>
    <w:rsid w:val="00800972"/>
    <w:rsid w:val="00804475"/>
    <w:rsid w:val="00811633"/>
    <w:rsid w:val="00814037"/>
    <w:rsid w:val="00841216"/>
    <w:rsid w:val="00842AF0"/>
    <w:rsid w:val="00850AC3"/>
    <w:rsid w:val="0086171E"/>
    <w:rsid w:val="00872FC8"/>
    <w:rsid w:val="008845D0"/>
    <w:rsid w:val="00884D60"/>
    <w:rsid w:val="00896E56"/>
    <w:rsid w:val="008A2247"/>
    <w:rsid w:val="008B43F2"/>
    <w:rsid w:val="008B6CFF"/>
    <w:rsid w:val="00906119"/>
    <w:rsid w:val="009274B4"/>
    <w:rsid w:val="00934EA2"/>
    <w:rsid w:val="00944A5C"/>
    <w:rsid w:val="00952A66"/>
    <w:rsid w:val="009B1EA1"/>
    <w:rsid w:val="009B7C9A"/>
    <w:rsid w:val="009C56E5"/>
    <w:rsid w:val="009C7716"/>
    <w:rsid w:val="009E2342"/>
    <w:rsid w:val="009E3FA4"/>
    <w:rsid w:val="009E5FC8"/>
    <w:rsid w:val="009E687A"/>
    <w:rsid w:val="009F0CD5"/>
    <w:rsid w:val="009F236F"/>
    <w:rsid w:val="00A066F1"/>
    <w:rsid w:val="00A141AF"/>
    <w:rsid w:val="00A16D29"/>
    <w:rsid w:val="00A30305"/>
    <w:rsid w:val="00A31D2D"/>
    <w:rsid w:val="00A43EA9"/>
    <w:rsid w:val="00A4600A"/>
    <w:rsid w:val="00A538A6"/>
    <w:rsid w:val="00A54C25"/>
    <w:rsid w:val="00A710E7"/>
    <w:rsid w:val="00A7372E"/>
    <w:rsid w:val="00A8284C"/>
    <w:rsid w:val="00A93B85"/>
    <w:rsid w:val="00AA0B18"/>
    <w:rsid w:val="00AA3C65"/>
    <w:rsid w:val="00AA666F"/>
    <w:rsid w:val="00AD7914"/>
    <w:rsid w:val="00AE514B"/>
    <w:rsid w:val="00B40888"/>
    <w:rsid w:val="00B62AEB"/>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103E"/>
    <w:rsid w:val="00DF4BC6"/>
    <w:rsid w:val="00DF78E0"/>
    <w:rsid w:val="00E012B0"/>
    <w:rsid w:val="00E03C94"/>
    <w:rsid w:val="00E205BC"/>
    <w:rsid w:val="00E26226"/>
    <w:rsid w:val="00E45D05"/>
    <w:rsid w:val="00E55816"/>
    <w:rsid w:val="00E55AEF"/>
    <w:rsid w:val="00E63616"/>
    <w:rsid w:val="00E976C1"/>
    <w:rsid w:val="00EA12E5"/>
    <w:rsid w:val="00EB0564"/>
    <w:rsid w:val="00EB0812"/>
    <w:rsid w:val="00EB54B2"/>
    <w:rsid w:val="00EB55C6"/>
    <w:rsid w:val="00EE4C18"/>
    <w:rsid w:val="00EF1932"/>
    <w:rsid w:val="00EF71B6"/>
    <w:rsid w:val="00F02766"/>
    <w:rsid w:val="00F05BD4"/>
    <w:rsid w:val="00F06473"/>
    <w:rsid w:val="00F320AA"/>
    <w:rsid w:val="00F6155B"/>
    <w:rsid w:val="00F65C19"/>
    <w:rsid w:val="00F822B0"/>
    <w:rsid w:val="00FC755C"/>
    <w:rsid w:val="00FD08E2"/>
    <w:rsid w:val="00FD18DA"/>
    <w:rsid w:val="00FD18EC"/>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8A27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D18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E137-7D60-40A9-83F6-7FD3F2C20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FDF45-B726-4864-8B0C-A9AA100BC028}">
  <ds:schemaRefs>
    <ds:schemaRef ds:uri="http://schemas.microsoft.com/sharepoint/v3/contenttype/forms"/>
  </ds:schemaRefs>
</ds:datastoreItem>
</file>

<file path=customXml/itemProps3.xml><?xml version="1.0" encoding="utf-8"?>
<ds:datastoreItem xmlns:ds="http://schemas.openxmlformats.org/officeDocument/2006/customXml" ds:itemID="{F0A58380-1F79-4F45-903E-0F72980E3FAF}">
  <ds:schemaRefs>
    <ds:schemaRef ds:uri="http://schemas.microsoft.com/sharepoint/events"/>
  </ds:schemaRefs>
</ds:datastoreItem>
</file>

<file path=customXml/itemProps4.xml><?xml version="1.0" encoding="utf-8"?>
<ds:datastoreItem xmlns:ds="http://schemas.openxmlformats.org/officeDocument/2006/customXml" ds:itemID="{3095A93D-D56D-4478-B185-4D79B353D875}">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301A1171-5800-4D47-AD5E-B175E78A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594</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4018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2023-11-06T15:58:00Z</dcterms:created>
  <dcterms:modified xsi:type="dcterms:W3CDTF">2023-11-08T16:28:00Z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