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78971BB3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1F51AF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03CB748D" wp14:editId="2F4305E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318C0C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7A8C24D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032D16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945A5F0" wp14:editId="3FFBC52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6D14E2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80E9B56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36A0F14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306459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6AF15F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5EB681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B9714F2" w14:textId="77777777" w:rsidTr="00752552">
        <w:trPr>
          <w:cantSplit/>
        </w:trPr>
        <w:tc>
          <w:tcPr>
            <w:tcW w:w="6696" w:type="dxa"/>
            <w:gridSpan w:val="2"/>
          </w:tcPr>
          <w:p w14:paraId="02A904C8" w14:textId="77777777" w:rsidR="000D1EE4" w:rsidRPr="00505B26" w:rsidRDefault="00E50850" w:rsidP="00945F06">
            <w:pPr>
              <w:pStyle w:val="Committee"/>
              <w:bidi/>
              <w:rPr>
                <w:rFonts w:hint="cs"/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9292C59" w14:textId="77777777" w:rsidR="000D1EE4" w:rsidRPr="00945F06" w:rsidRDefault="00E50850" w:rsidP="00945F06">
            <w:pPr>
              <w:jc w:val="left"/>
              <w:rPr>
                <w:b/>
                <w:bCs/>
                <w:rtl/>
                <w:lang w:bidi="ar-EG"/>
              </w:rPr>
            </w:pPr>
            <w:r w:rsidRPr="00945F06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945F06">
              <w:rPr>
                <w:rFonts w:eastAsia="SimSun"/>
                <w:b/>
                <w:bCs/>
              </w:rPr>
              <w:t>94-A</w:t>
            </w:r>
          </w:p>
        </w:tc>
      </w:tr>
      <w:tr w:rsidR="000D1EE4" w:rsidRPr="000D1EE4" w14:paraId="02EF560A" w14:textId="77777777" w:rsidTr="00752552">
        <w:trPr>
          <w:cantSplit/>
        </w:trPr>
        <w:tc>
          <w:tcPr>
            <w:tcW w:w="6696" w:type="dxa"/>
            <w:gridSpan w:val="2"/>
          </w:tcPr>
          <w:p w14:paraId="5E0B64C0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624F59C" w14:textId="77777777" w:rsidR="000D1EE4" w:rsidRPr="00945F06" w:rsidRDefault="00E50850" w:rsidP="00945F06">
            <w:pPr>
              <w:jc w:val="left"/>
              <w:rPr>
                <w:b/>
                <w:bCs/>
                <w:rtl/>
                <w:lang w:bidi="ar-EG"/>
              </w:rPr>
            </w:pPr>
            <w:r w:rsidRPr="00945F06">
              <w:rPr>
                <w:rFonts w:eastAsia="SimSun"/>
                <w:b/>
                <w:bCs/>
              </w:rPr>
              <w:t>27</w:t>
            </w:r>
            <w:r w:rsidRPr="00945F0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945F0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A1E25D4" w14:textId="77777777" w:rsidTr="00752552">
        <w:trPr>
          <w:cantSplit/>
        </w:trPr>
        <w:tc>
          <w:tcPr>
            <w:tcW w:w="6696" w:type="dxa"/>
            <w:gridSpan w:val="2"/>
          </w:tcPr>
          <w:p w14:paraId="32C4748E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5B84AE6" w14:textId="77777777" w:rsidR="000D1EE4" w:rsidRPr="00945F06" w:rsidRDefault="00E50850" w:rsidP="00945F06">
            <w:pPr>
              <w:jc w:val="left"/>
              <w:rPr>
                <w:b/>
                <w:bCs/>
                <w:lang w:bidi="ar-EG"/>
              </w:rPr>
            </w:pPr>
            <w:r w:rsidRPr="00945F06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D0E9A0A" w14:textId="77777777" w:rsidTr="00752552">
        <w:trPr>
          <w:cantSplit/>
        </w:trPr>
        <w:tc>
          <w:tcPr>
            <w:tcW w:w="9666" w:type="dxa"/>
            <w:gridSpan w:val="4"/>
          </w:tcPr>
          <w:p w14:paraId="719E32C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F5AEB21" w14:textId="77777777" w:rsidTr="00752552">
        <w:trPr>
          <w:cantSplit/>
        </w:trPr>
        <w:tc>
          <w:tcPr>
            <w:tcW w:w="9666" w:type="dxa"/>
            <w:gridSpan w:val="4"/>
          </w:tcPr>
          <w:p w14:paraId="14384FD2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كندا/الولايات المتحدة الأمريكية/المكسيك</w:t>
            </w:r>
          </w:p>
        </w:tc>
      </w:tr>
      <w:tr w:rsidR="000D1EE4" w:rsidRPr="000D1EE4" w14:paraId="564268B9" w14:textId="77777777" w:rsidTr="00752552">
        <w:trPr>
          <w:cantSplit/>
        </w:trPr>
        <w:tc>
          <w:tcPr>
            <w:tcW w:w="9666" w:type="dxa"/>
            <w:gridSpan w:val="4"/>
          </w:tcPr>
          <w:p w14:paraId="6DFB2189" w14:textId="7F48DEF4" w:rsidR="000D1EE4" w:rsidRPr="000D1EE4" w:rsidRDefault="00945F0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9559856" w14:textId="77777777" w:rsidTr="00752552">
        <w:trPr>
          <w:cantSplit/>
        </w:trPr>
        <w:tc>
          <w:tcPr>
            <w:tcW w:w="9666" w:type="dxa"/>
            <w:gridSpan w:val="4"/>
          </w:tcPr>
          <w:p w14:paraId="4CB86709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77E8348" w14:textId="77777777" w:rsidTr="00752552">
        <w:trPr>
          <w:cantSplit/>
        </w:trPr>
        <w:tc>
          <w:tcPr>
            <w:tcW w:w="9666" w:type="dxa"/>
            <w:gridSpan w:val="4"/>
          </w:tcPr>
          <w:p w14:paraId="43C213CD" w14:textId="211A9DE4" w:rsidR="00E50850" w:rsidRPr="00945F06" w:rsidRDefault="00E50850" w:rsidP="00E50850">
            <w:pPr>
              <w:pStyle w:val="Agendaitem"/>
              <w:rPr>
                <w:lang w:val="en-US" w:bidi="ar-SA"/>
              </w:rPr>
            </w:pPr>
            <w:r>
              <w:rPr>
                <w:rtl/>
                <w:cs/>
              </w:rPr>
              <w:t>‎‎‎‎‎‎ بند جدول الأعمال</w:t>
            </w:r>
            <w:r w:rsidR="00945F06">
              <w:rPr>
                <w:rFonts w:hint="cs"/>
                <w:rtl/>
                <w:lang w:bidi="ar-SA"/>
              </w:rPr>
              <w:t xml:space="preserve"> </w:t>
            </w:r>
            <w:r w:rsidR="00945F06">
              <w:t>7(H)</w:t>
            </w:r>
          </w:p>
        </w:tc>
      </w:tr>
    </w:tbl>
    <w:p w14:paraId="1B7F1289" w14:textId="77777777" w:rsidR="00147EC8" w:rsidRPr="00EF1E29" w:rsidRDefault="00350DD1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</w:r>
      <w:proofErr w:type="gramStart"/>
      <w:r w:rsidRPr="00A01660">
        <w:rPr>
          <w:b/>
          <w:bCs/>
          <w:lang w:val="en-GB"/>
        </w:rPr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proofErr w:type="gramEnd"/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74F6E024" w14:textId="77777777" w:rsidR="00D35151" w:rsidRPr="00C540FD" w:rsidRDefault="00350DD1" w:rsidP="00D35151">
      <w:pPr>
        <w:rPr>
          <w:lang w:bidi="ar-EG"/>
        </w:rPr>
      </w:pPr>
      <w:r w:rsidRPr="00663E06">
        <w:rPr>
          <w:rFonts w:eastAsia="SimSun"/>
          <w:spacing w:val="-2"/>
          <w:lang w:eastAsia="zh-CN" w:bidi="ar-EG"/>
        </w:rPr>
        <w:t>7(</w:t>
      </w:r>
      <w:r w:rsidRPr="00C828EE">
        <w:rPr>
          <w:rFonts w:eastAsia="SimSun"/>
          <w:spacing w:val="-2"/>
          <w:lang w:eastAsia="zh-CN" w:bidi="ar-EG"/>
        </w:rPr>
        <w:t>H</w:t>
      </w:r>
      <w:r w:rsidRPr="00663E06">
        <w:rPr>
          <w:rFonts w:eastAsia="SimSun"/>
          <w:spacing w:val="-2"/>
          <w:lang w:eastAsia="zh-CN" w:bidi="ar-EG"/>
        </w:rPr>
        <w:t>)</w:t>
      </w:r>
      <w:r w:rsidRPr="00C828EE">
        <w:rPr>
          <w:spacing w:val="-2"/>
          <w:rtl/>
        </w:rPr>
        <w:tab/>
      </w:r>
      <w:r w:rsidRPr="00663E06">
        <w:rPr>
          <w:rFonts w:eastAsia="SimSun" w:hint="cs"/>
          <w:spacing w:val="-2"/>
          <w:rtl/>
          <w:lang w:eastAsia="zh-CN" w:bidi="ar-EG"/>
        </w:rPr>
        <w:t xml:space="preserve">الموضوع </w:t>
      </w:r>
      <w:r w:rsidRPr="00C828EE">
        <w:rPr>
          <w:rFonts w:eastAsia="SimSun"/>
          <w:spacing w:val="-2"/>
          <w:lang w:eastAsia="zh-CN" w:bidi="ar-EG"/>
        </w:rPr>
        <w:t>H</w:t>
      </w:r>
      <w:r w:rsidRPr="00663E06">
        <w:rPr>
          <w:rFonts w:eastAsia="SimSun" w:hint="cs"/>
          <w:spacing w:val="-2"/>
          <w:rtl/>
          <w:lang w:eastAsia="zh-CN" w:bidi="ar-EG"/>
        </w:rPr>
        <w:t xml:space="preserve"> </w:t>
      </w:r>
      <w:r w:rsidRPr="00C828EE">
        <w:rPr>
          <w:spacing w:val="-2"/>
          <w:rtl/>
        </w:rPr>
        <w:t xml:space="preserve">– </w:t>
      </w:r>
      <w:r w:rsidRPr="00C828EE">
        <w:rPr>
          <w:rFonts w:hint="cs"/>
          <w:spacing w:val="-2"/>
          <w:rtl/>
          <w:lang w:bidi="ar-EG"/>
        </w:rPr>
        <w:t xml:space="preserve">حماية معززة </w:t>
      </w:r>
      <w:r w:rsidRPr="00927524">
        <w:rPr>
          <w:rFonts w:hint="cs"/>
          <w:spacing w:val="-2"/>
          <w:rtl/>
          <w:lang w:bidi="ar-EG"/>
        </w:rPr>
        <w:t>للتذييلين</w:t>
      </w:r>
      <w:r w:rsidRPr="00C828EE">
        <w:rPr>
          <w:rFonts w:hint="cs"/>
          <w:b/>
          <w:bCs/>
          <w:spacing w:val="-2"/>
          <w:rtl/>
          <w:lang w:bidi="ar-EG"/>
        </w:rPr>
        <w:t xml:space="preserve"> </w:t>
      </w:r>
      <w:r w:rsidRPr="00C828EE">
        <w:rPr>
          <w:b/>
          <w:bCs/>
          <w:spacing w:val="-2"/>
          <w:lang w:bidi="ar-EG"/>
        </w:rPr>
        <w:t>30/30A</w:t>
      </w:r>
      <w:r w:rsidRPr="00C828EE">
        <w:rPr>
          <w:rFonts w:hint="cs"/>
          <w:spacing w:val="-2"/>
          <w:rtl/>
          <w:lang w:bidi="ar-EG"/>
        </w:rPr>
        <w:t xml:space="preserve"> من لوائح الراديو في </w:t>
      </w:r>
      <w:r>
        <w:rPr>
          <w:rFonts w:hint="cs"/>
          <w:spacing w:val="-2"/>
          <w:rtl/>
          <w:lang w:bidi="ar-EG"/>
        </w:rPr>
        <w:t>الإقليمين</w:t>
      </w:r>
      <w:r w:rsidRPr="00C828EE">
        <w:rPr>
          <w:rFonts w:hint="cs"/>
          <w:spacing w:val="-2"/>
          <w:rtl/>
          <w:lang w:bidi="ar-EG"/>
        </w:rPr>
        <w:t xml:space="preserve"> </w:t>
      </w:r>
      <w:r w:rsidRPr="00C828EE">
        <w:rPr>
          <w:spacing w:val="-2"/>
          <w:lang w:bidi="ar-EG"/>
        </w:rPr>
        <w:t>1</w:t>
      </w:r>
      <w:r w:rsidRPr="00C828EE">
        <w:rPr>
          <w:rFonts w:hint="cs"/>
          <w:spacing w:val="-2"/>
          <w:rtl/>
          <w:lang w:bidi="ar-EG"/>
        </w:rPr>
        <w:t xml:space="preserve"> و</w:t>
      </w:r>
      <w:r w:rsidRPr="00C828EE">
        <w:rPr>
          <w:spacing w:val="-2"/>
          <w:lang w:bidi="ar-EG"/>
        </w:rPr>
        <w:t>3</w:t>
      </w:r>
      <w:r w:rsidRPr="00C828EE">
        <w:rPr>
          <w:rFonts w:hint="cs"/>
          <w:spacing w:val="-2"/>
          <w:rtl/>
          <w:lang w:bidi="ar-EG"/>
        </w:rPr>
        <w:t xml:space="preserve"> </w:t>
      </w:r>
      <w:r w:rsidRPr="00927524">
        <w:rPr>
          <w:rFonts w:hint="cs"/>
          <w:spacing w:val="-2"/>
          <w:rtl/>
          <w:lang w:bidi="ar-EG"/>
        </w:rPr>
        <w:t>والتذييل</w:t>
      </w:r>
      <w:r w:rsidRPr="00C828EE">
        <w:rPr>
          <w:rFonts w:hint="cs"/>
          <w:b/>
          <w:bCs/>
          <w:spacing w:val="-2"/>
          <w:rtl/>
          <w:lang w:bidi="ar-EG"/>
        </w:rPr>
        <w:t xml:space="preserve"> </w:t>
      </w:r>
      <w:r w:rsidRPr="00C828EE">
        <w:rPr>
          <w:b/>
          <w:bCs/>
          <w:spacing w:val="-2"/>
          <w:lang w:bidi="ar-EG"/>
        </w:rPr>
        <w:t>30B</w:t>
      </w:r>
      <w:r w:rsidRPr="00C828EE">
        <w:rPr>
          <w:rFonts w:hint="cs"/>
          <w:b/>
          <w:bCs/>
          <w:spacing w:val="-2"/>
          <w:rtl/>
          <w:lang w:bidi="ar-EG"/>
        </w:rPr>
        <w:t xml:space="preserve"> </w:t>
      </w:r>
      <w:r w:rsidRPr="00C828EE">
        <w:rPr>
          <w:rFonts w:hint="cs"/>
          <w:spacing w:val="-2"/>
          <w:rtl/>
          <w:lang w:bidi="ar-EG"/>
        </w:rPr>
        <w:t>من لوائح الراديو</w:t>
      </w:r>
    </w:p>
    <w:p w14:paraId="327D9A0C" w14:textId="77777777" w:rsidR="00945F06" w:rsidRDefault="00945F06" w:rsidP="00945F0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</w:p>
    <w:p w14:paraId="505C1F7E" w14:textId="5E4259D8" w:rsidR="004C67F1" w:rsidRDefault="004C67F1" w:rsidP="00945F0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Fonts w:hint="cs"/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CEEDA7F" w14:textId="77777777" w:rsidR="000103FE" w:rsidRPr="005F2D8A" w:rsidRDefault="00350DD1" w:rsidP="000103FE">
      <w:pPr>
        <w:pStyle w:val="AppendixNo"/>
        <w:rPr>
          <w:rtl/>
        </w:rPr>
      </w:pPr>
      <w:r w:rsidRPr="00582714">
        <w:rPr>
          <w:rtl/>
        </w:rPr>
        <w:lastRenderedPageBreak/>
        <w:t xml:space="preserve">التذييـل </w:t>
      </w:r>
      <w:r w:rsidRPr="00582714">
        <w:rPr>
          <w:rStyle w:val="href"/>
        </w:rPr>
        <w:t>30</w:t>
      </w:r>
      <w:r w:rsidRPr="00582714">
        <w:t xml:space="preserve"> (REV.WRC-19)</w:t>
      </w:r>
      <w:r w:rsidRPr="00582714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4240E1ED" w14:textId="77777777" w:rsidR="000103FE" w:rsidRPr="00FF5394" w:rsidRDefault="00350DD1" w:rsidP="000103FE">
      <w:pPr>
        <w:pStyle w:val="Appendixtitle"/>
        <w:rPr>
          <w:sz w:val="16"/>
          <w:rtl/>
          <w:lang w:bidi="ar-EG"/>
        </w:rPr>
      </w:pPr>
      <w:bookmarkStart w:id="1" w:name="_Toc335225810"/>
      <w:r w:rsidRPr="00FF5394">
        <w:rPr>
          <w:rtl/>
          <w:lang w:bidi="ar-EG"/>
        </w:rPr>
        <w:t>الأحكام بشأن جميع الخدمات والخطتان والقائمة المصاحبة لها</w:t>
      </w:r>
      <w:r w:rsidRPr="00FF5394">
        <w:rPr>
          <w:rStyle w:val="FootnoteReference"/>
          <w:rtl/>
          <w:lang w:bidi="ar-EG"/>
        </w:rPr>
        <w:footnoteReference w:customMarkFollows="1" w:id="2"/>
        <w:t>1</w:t>
      </w:r>
      <w:r w:rsidRPr="00FF5394">
        <w:rPr>
          <w:rtl/>
          <w:lang w:bidi="ar-EG"/>
        </w:rPr>
        <w:t xml:space="preserve"> بشأن الخدمة الإذاعية الساتلية في نطاقات التردد</w:t>
      </w:r>
      <w:r w:rsidRPr="00FF5394">
        <w:rPr>
          <w:rFonts w:hint="cs"/>
          <w:rtl/>
          <w:lang w:bidi="ar-EG"/>
        </w:rPr>
        <w:t>ات</w:t>
      </w:r>
      <w:r w:rsidRPr="00FF5394">
        <w:rPr>
          <w:rtl/>
          <w:lang w:bidi="ar-EG"/>
        </w:rPr>
        <w:t xml:space="preserve"> </w:t>
      </w:r>
      <w:r w:rsidRPr="00FF5394">
        <w:rPr>
          <w:lang w:bidi="ar-EG"/>
        </w:rPr>
        <w:t>GHz 12,2-11,7</w:t>
      </w:r>
      <w:r w:rsidRPr="00FF5394">
        <w:rPr>
          <w:rtl/>
          <w:lang w:bidi="ar-EG"/>
        </w:rPr>
        <w:t xml:space="preserve"> (في الإقليم </w:t>
      </w:r>
      <w:r w:rsidRPr="00FF5394">
        <w:rPr>
          <w:lang w:bidi="ar-EG"/>
        </w:rPr>
        <w:t>3</w:t>
      </w:r>
      <w:r w:rsidRPr="00FF5394">
        <w:rPr>
          <w:rtl/>
          <w:lang w:bidi="ar-EG"/>
        </w:rPr>
        <w:t>) و</w:t>
      </w:r>
      <w:r w:rsidRPr="00FF5394">
        <w:rPr>
          <w:lang w:bidi="ar-EG"/>
        </w:rPr>
        <w:t>GHz 12,5-11,7</w:t>
      </w:r>
      <w:r w:rsidRPr="00FF5394">
        <w:rPr>
          <w:rtl/>
          <w:lang w:bidi="ar-EG"/>
        </w:rPr>
        <w:br/>
        <w:t xml:space="preserve">(في الإقليم </w:t>
      </w:r>
      <w:r w:rsidRPr="00FF5394">
        <w:rPr>
          <w:lang w:bidi="ar-EG"/>
        </w:rPr>
        <w:t>1</w:t>
      </w:r>
      <w:r w:rsidRPr="00FF5394">
        <w:rPr>
          <w:rtl/>
          <w:lang w:bidi="ar-EG"/>
        </w:rPr>
        <w:t>) و</w:t>
      </w:r>
      <w:r w:rsidRPr="00FF5394">
        <w:rPr>
          <w:lang w:bidi="ar-EG"/>
        </w:rPr>
        <w:t>GHz 12,7-12,2</w:t>
      </w:r>
      <w:r w:rsidRPr="00FF5394">
        <w:rPr>
          <w:rtl/>
          <w:lang w:bidi="ar-EG"/>
        </w:rPr>
        <w:t xml:space="preserve"> (في الإقليم </w:t>
      </w:r>
      <w:r w:rsidRPr="00FF5394">
        <w:rPr>
          <w:lang w:bidi="ar-EG"/>
        </w:rPr>
        <w:t>2</w:t>
      </w:r>
      <w:r w:rsidRPr="00FF5394">
        <w:rPr>
          <w:rtl/>
          <w:lang w:bidi="ar-EG"/>
        </w:rPr>
        <w:t>)</w:t>
      </w:r>
      <w:r w:rsidRPr="00FF5394">
        <w:rPr>
          <w:b w:val="0"/>
          <w:bCs w:val="0"/>
          <w:sz w:val="16"/>
          <w:szCs w:val="16"/>
          <w:lang w:bidi="ar-EG"/>
        </w:rPr>
        <w:t>(WRC-03)</w:t>
      </w:r>
      <w:bookmarkEnd w:id="1"/>
      <w:r w:rsidRPr="00FF5394">
        <w:rPr>
          <w:sz w:val="16"/>
          <w:szCs w:val="16"/>
          <w:lang w:bidi="ar-EG"/>
        </w:rPr>
        <w:t>   </w:t>
      </w:r>
      <w:r w:rsidRPr="00FF5394">
        <w:rPr>
          <w:sz w:val="16"/>
          <w:lang w:bidi="ar-EG"/>
        </w:rPr>
        <w:t>  </w:t>
      </w:r>
    </w:p>
    <w:p w14:paraId="4E2805E2" w14:textId="77777777" w:rsidR="008F3C11" w:rsidRDefault="00350DD1">
      <w:pPr>
        <w:pStyle w:val="Proposal"/>
      </w:pPr>
      <w:r>
        <w:rPr>
          <w:u w:val="single"/>
        </w:rPr>
        <w:t>NOC</w:t>
      </w:r>
      <w:r>
        <w:tab/>
        <w:t>CAN/USA/MEX/94/1</w:t>
      </w:r>
    </w:p>
    <w:p w14:paraId="70767F33" w14:textId="77777777" w:rsidR="000103FE" w:rsidRDefault="00350DD1" w:rsidP="000103FE">
      <w:pPr>
        <w:pStyle w:val="AppArtNo"/>
        <w:rPr>
          <w:rtl/>
        </w:rPr>
      </w:pPr>
      <w:r w:rsidRPr="00AF3097">
        <w:rPr>
          <w:rtl/>
        </w:rPr>
        <w:t>المـادة</w:t>
      </w:r>
      <w:r>
        <w:rPr>
          <w:rtl/>
        </w:rPr>
        <w:t xml:space="preserve"> </w:t>
      </w:r>
      <w:r>
        <w:t>7</w:t>
      </w:r>
      <w:r>
        <w:rPr>
          <w:rtl/>
        </w:rPr>
        <w:t> </w:t>
      </w:r>
      <w:r w:rsidRPr="00D544E9">
        <w:rPr>
          <w:sz w:val="16"/>
        </w:rPr>
        <w:t>(R</w:t>
      </w:r>
      <w:r>
        <w:rPr>
          <w:sz w:val="16"/>
        </w:rPr>
        <w:t>EV</w:t>
      </w:r>
      <w:r w:rsidRPr="00D544E9">
        <w:rPr>
          <w:sz w:val="16"/>
        </w:rPr>
        <w:t>.WRC-</w:t>
      </w:r>
      <w:r>
        <w:rPr>
          <w:sz w:val="16"/>
        </w:rPr>
        <w:t>19</w:t>
      </w:r>
      <w:r w:rsidRPr="00D544E9">
        <w:rPr>
          <w:sz w:val="16"/>
        </w:rPr>
        <w:t>)</w:t>
      </w:r>
      <w:r>
        <w:rPr>
          <w:sz w:val="16"/>
        </w:rPr>
        <w:t>    </w:t>
      </w:r>
    </w:p>
    <w:p w14:paraId="0CFAA80A" w14:textId="77777777" w:rsidR="000103FE" w:rsidRPr="00D544E9" w:rsidRDefault="00350DD1" w:rsidP="000103FE">
      <w:pPr>
        <w:pStyle w:val="AppArttitle"/>
        <w:keepLines/>
        <w:rPr>
          <w:rtl/>
        </w:rPr>
      </w:pPr>
      <w:r w:rsidRPr="00D544E9">
        <w:rPr>
          <w:rtl/>
        </w:rPr>
        <w:t xml:space="preserve">تنسيق الترددات المخصصة لمحطات الخدمة الثابتة الساتلية (فضاء-أرض) </w:t>
      </w:r>
      <w:r>
        <w:br/>
      </w:r>
      <w:r w:rsidRPr="00D544E9">
        <w:rPr>
          <w:rtl/>
        </w:rPr>
        <w:t xml:space="preserve">ضمن النطاقات </w:t>
      </w:r>
      <w:r w:rsidRPr="00D544E9">
        <w:t>12,2-11,7</w:t>
      </w:r>
      <w:r w:rsidRPr="00D544E9">
        <w:rPr>
          <w:rtl/>
        </w:rPr>
        <w:t xml:space="preserve"> </w:t>
      </w:r>
      <w:r w:rsidRPr="00D544E9">
        <w:t>GHz</w:t>
      </w:r>
      <w:r w:rsidRPr="00D544E9">
        <w:rPr>
          <w:rtl/>
        </w:rPr>
        <w:t xml:space="preserve"> (في الإقليم </w:t>
      </w:r>
      <w:r w:rsidRPr="00D544E9">
        <w:t>2</w:t>
      </w:r>
      <w:r w:rsidRPr="00D544E9">
        <w:rPr>
          <w:rtl/>
        </w:rPr>
        <w:t>) و</w:t>
      </w:r>
      <w:r w:rsidRPr="00D544E9">
        <w:t>12,7-12,2</w:t>
      </w:r>
      <w:r w:rsidRPr="00D544E9">
        <w:rPr>
          <w:rtl/>
        </w:rPr>
        <w:t xml:space="preserve"> </w:t>
      </w:r>
      <w:r w:rsidRPr="00D544E9">
        <w:t>GHz</w:t>
      </w:r>
      <w:r w:rsidRPr="00D544E9">
        <w:rPr>
          <w:rtl/>
        </w:rPr>
        <w:t xml:space="preserve"> (في الإقليم </w:t>
      </w:r>
      <w:r w:rsidRPr="00D544E9">
        <w:t>3</w:t>
      </w:r>
      <w:r w:rsidRPr="00D544E9">
        <w:rPr>
          <w:rtl/>
        </w:rPr>
        <w:t xml:space="preserve">) </w:t>
      </w:r>
      <w:r>
        <w:br/>
      </w:r>
      <w:r w:rsidRPr="00D544E9">
        <w:rPr>
          <w:rtl/>
        </w:rPr>
        <w:t>و</w:t>
      </w:r>
      <w:r w:rsidRPr="00D544E9">
        <w:t>12,7-12,5</w:t>
      </w:r>
      <w:r w:rsidRPr="00D544E9">
        <w:rPr>
          <w:rtl/>
        </w:rPr>
        <w:t xml:space="preserve"> </w:t>
      </w:r>
      <w:r w:rsidRPr="00D544E9">
        <w:t>GHz</w:t>
      </w:r>
      <w:r w:rsidRPr="00D544E9">
        <w:rPr>
          <w:rtl/>
        </w:rPr>
        <w:t xml:space="preserve"> (في الإقليم </w:t>
      </w:r>
      <w:r w:rsidRPr="00D544E9">
        <w:t>1</w:t>
      </w:r>
      <w:r w:rsidRPr="00D544E9">
        <w:rPr>
          <w:rtl/>
        </w:rPr>
        <w:t xml:space="preserve">)، ولمحطات الخدمة الإذاعية الساتلية </w:t>
      </w:r>
      <w:r>
        <w:br/>
      </w:r>
      <w:r w:rsidRPr="00D544E9">
        <w:rPr>
          <w:rtl/>
        </w:rPr>
        <w:t>ضمن</w:t>
      </w:r>
      <w:r>
        <w:rPr>
          <w:rtl/>
        </w:rPr>
        <w:t xml:space="preserve"> </w:t>
      </w:r>
      <w:r w:rsidRPr="00D544E9">
        <w:rPr>
          <w:rtl/>
        </w:rPr>
        <w:t xml:space="preserve">النطاق </w:t>
      </w:r>
      <w:r w:rsidRPr="00D544E9">
        <w:t>12,7-12,5</w:t>
      </w:r>
      <w:r w:rsidRPr="00D544E9">
        <w:rPr>
          <w:rtl/>
        </w:rPr>
        <w:t xml:space="preserve"> </w:t>
      </w:r>
      <w:r w:rsidRPr="00D544E9">
        <w:t>GHz</w:t>
      </w:r>
      <w:r w:rsidRPr="00D544E9">
        <w:rPr>
          <w:rtl/>
        </w:rPr>
        <w:t xml:space="preserve"> (في الإقليم </w:t>
      </w:r>
      <w:r w:rsidRPr="00D544E9">
        <w:t>3</w:t>
      </w:r>
      <w:r w:rsidRPr="00D544E9">
        <w:rPr>
          <w:rtl/>
        </w:rPr>
        <w:t xml:space="preserve">)، والتبليغ عن هذه التخصيصات، </w:t>
      </w:r>
      <w:r>
        <w:br/>
      </w:r>
      <w:r w:rsidRPr="00D544E9">
        <w:rPr>
          <w:rtl/>
        </w:rPr>
        <w:t>وتدوينها</w:t>
      </w:r>
      <w:r>
        <w:rPr>
          <w:rtl/>
        </w:rPr>
        <w:t xml:space="preserve"> في </w:t>
      </w:r>
      <w:r w:rsidRPr="00D544E9">
        <w:rPr>
          <w:rtl/>
        </w:rPr>
        <w:t xml:space="preserve">السجل الأساسي الدولي للترددات، عندما تشمل ترددات مخصصة </w:t>
      </w:r>
      <w:r>
        <w:br/>
      </w:r>
      <w:r w:rsidRPr="00D544E9">
        <w:rPr>
          <w:rtl/>
        </w:rPr>
        <w:t>لمحطات</w:t>
      </w:r>
      <w:r>
        <w:rPr>
          <w:rtl/>
        </w:rPr>
        <w:t xml:space="preserve"> </w:t>
      </w:r>
      <w:r w:rsidRPr="00D544E9">
        <w:rPr>
          <w:rtl/>
        </w:rPr>
        <w:t xml:space="preserve">الخدمة الإذاعية الساتلية ضمن النطاقات </w:t>
      </w:r>
      <w:r w:rsidRPr="00D544E9">
        <w:t>GHz 12,5-11,7</w:t>
      </w:r>
      <w:r>
        <w:rPr>
          <w:rtl/>
        </w:rPr>
        <w:t xml:space="preserve"> في </w:t>
      </w:r>
      <w:r w:rsidRPr="00D544E9">
        <w:rPr>
          <w:rtl/>
        </w:rPr>
        <w:t xml:space="preserve">الإقليم </w:t>
      </w:r>
      <w:r w:rsidRPr="00D544E9">
        <w:t>1</w:t>
      </w:r>
      <w:r w:rsidRPr="00D544E9">
        <w:rPr>
          <w:rtl/>
        </w:rPr>
        <w:t xml:space="preserve">، </w:t>
      </w:r>
      <w:r w:rsidRPr="00D544E9">
        <w:rPr>
          <w:rtl/>
        </w:rPr>
        <w:br/>
        <w:t>و</w:t>
      </w:r>
      <w:r w:rsidRPr="00D544E9">
        <w:t>12,7-12,2</w:t>
      </w:r>
      <w:r w:rsidRPr="00D544E9">
        <w:rPr>
          <w:rtl/>
        </w:rPr>
        <w:t xml:space="preserve"> </w:t>
      </w:r>
      <w:r w:rsidRPr="00D544E9">
        <w:t>GHz</w:t>
      </w:r>
      <w:r>
        <w:rPr>
          <w:rtl/>
        </w:rPr>
        <w:t xml:space="preserve"> في </w:t>
      </w:r>
      <w:r w:rsidRPr="00D544E9">
        <w:rPr>
          <w:rtl/>
        </w:rPr>
        <w:t xml:space="preserve">الإقليم </w:t>
      </w:r>
      <w:r w:rsidRPr="00D544E9">
        <w:t>2</w:t>
      </w:r>
      <w:r w:rsidRPr="00D544E9">
        <w:rPr>
          <w:rtl/>
        </w:rPr>
        <w:t xml:space="preserve"> و</w:t>
      </w:r>
      <w:r w:rsidRPr="00D544E9">
        <w:t>12,2-11,7</w:t>
      </w:r>
      <w:r w:rsidRPr="00D544E9">
        <w:rPr>
          <w:rtl/>
        </w:rPr>
        <w:t xml:space="preserve"> </w:t>
      </w:r>
      <w:r w:rsidRPr="00D544E9">
        <w:t>GHz</w:t>
      </w:r>
      <w:r>
        <w:rPr>
          <w:rtl/>
        </w:rPr>
        <w:t xml:space="preserve"> في </w:t>
      </w:r>
      <w:r w:rsidRPr="00D544E9">
        <w:rPr>
          <w:rtl/>
        </w:rPr>
        <w:t xml:space="preserve">الإقليم </w:t>
      </w:r>
      <w:r w:rsidRPr="00D544E9">
        <w:t>3</w:t>
      </w:r>
      <w:r w:rsidRPr="0070436B">
        <w:rPr>
          <w:rStyle w:val="FootnoteReference"/>
          <w:b w:val="0"/>
          <w:bCs w:val="0"/>
          <w:rtl/>
        </w:rPr>
        <w:footnoteReference w:customMarkFollows="1" w:id="3"/>
        <w:t>22</w:t>
      </w:r>
    </w:p>
    <w:p w14:paraId="070D3950" w14:textId="3AB7B7B0" w:rsidR="008F3C11" w:rsidRDefault="00350DD1" w:rsidP="00F52BEE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F52BEE" w:rsidRPr="00F52BEE">
        <w:rPr>
          <w:b w:val="0"/>
          <w:bCs w:val="0"/>
          <w:rtl/>
        </w:rPr>
        <w:t xml:space="preserve">يتعلق نطاق هذا الموضوع، على النحو المحدد في تقرير الاجتماع التحضيري للمؤتمر، بتأثير الاتفاق الضمني على الحالة المرجعية لتخصيصات التذييل </w:t>
      </w:r>
      <w:r w:rsidR="00F52BEE" w:rsidRPr="00F52BEE">
        <w:rPr>
          <w:rtl/>
        </w:rPr>
        <w:t>30</w:t>
      </w:r>
      <w:r w:rsidR="00F52BEE">
        <w:rPr>
          <w:b w:val="0"/>
          <w:bCs w:val="0"/>
          <w:rtl/>
        </w:rPr>
        <w:t xml:space="preserve"> </w:t>
      </w:r>
      <w:r w:rsidR="00F52BEE">
        <w:rPr>
          <w:rFonts w:hint="cs"/>
          <w:b w:val="0"/>
          <w:bCs w:val="0"/>
          <w:rtl/>
        </w:rPr>
        <w:t xml:space="preserve">من </w:t>
      </w:r>
      <w:r w:rsidR="00F52BEE" w:rsidRPr="00F52BEE">
        <w:rPr>
          <w:b w:val="0"/>
          <w:bCs w:val="0"/>
          <w:rtl/>
        </w:rPr>
        <w:t xml:space="preserve">لوائح الراديو التي لا تأخذ في الاعتبار تأثير التخصيصات غير المخططة للخدمات الفضائية. وعلاوة على ذلك، لم تتم دراسة التعديلات على المادة 7 من التذييل </w:t>
      </w:r>
      <w:r w:rsidR="00F52BEE" w:rsidRPr="00F52BEE">
        <w:rPr>
          <w:rtl/>
        </w:rPr>
        <w:t>30</w:t>
      </w:r>
      <w:r w:rsidR="00F52BEE">
        <w:rPr>
          <w:b w:val="0"/>
          <w:bCs w:val="0"/>
          <w:rtl/>
        </w:rPr>
        <w:t xml:space="preserve"> </w:t>
      </w:r>
      <w:r w:rsidR="00F52BEE">
        <w:rPr>
          <w:rFonts w:hint="cs"/>
          <w:b w:val="0"/>
          <w:bCs w:val="0"/>
          <w:rtl/>
        </w:rPr>
        <w:t xml:space="preserve">من </w:t>
      </w:r>
      <w:r w:rsidR="00F52BEE" w:rsidRPr="00F52BEE">
        <w:rPr>
          <w:b w:val="0"/>
          <w:bCs w:val="0"/>
          <w:rtl/>
        </w:rPr>
        <w:t>لوائح الراديو وقد تؤدي إلى وضع غير متوازن في معالجة التخصيصات المخططة مقابل التخصيصات غير المخططة فيما بين الأقاليم.</w:t>
      </w:r>
    </w:p>
    <w:p w14:paraId="215C75F3" w14:textId="77777777" w:rsidR="000103FE" w:rsidRPr="00E55024" w:rsidRDefault="00350DD1" w:rsidP="000103FE">
      <w:pPr>
        <w:pStyle w:val="AppendixNo"/>
        <w:spacing w:before="0"/>
        <w:rPr>
          <w:rtl/>
        </w:rPr>
      </w:pPr>
      <w:bookmarkStart w:id="2" w:name="_Toc333932898"/>
      <w:bookmarkStart w:id="3" w:name="_Toc335225818"/>
      <w:r w:rsidRPr="00630F07">
        <w:rPr>
          <w:rtl/>
        </w:rPr>
        <w:t xml:space="preserve">التذييـل </w:t>
      </w:r>
      <w:r w:rsidRPr="00630F07">
        <w:rPr>
          <w:rStyle w:val="href"/>
        </w:rPr>
        <w:t>30A</w:t>
      </w:r>
      <w:r w:rsidRPr="00630F07">
        <w:t xml:space="preserve"> (REV.WRC-19)</w:t>
      </w:r>
      <w:r w:rsidRPr="00630F07">
        <w:rPr>
          <w:rStyle w:val="FootnoteReference"/>
          <w:position w:val="-2"/>
          <w:sz w:val="26"/>
          <w:szCs w:val="26"/>
          <w:rtl/>
        </w:rPr>
        <w:footnoteReference w:customMarkFollows="1" w:id="4"/>
        <w:t>*</w:t>
      </w:r>
      <w:bookmarkEnd w:id="2"/>
      <w:bookmarkEnd w:id="3"/>
    </w:p>
    <w:p w14:paraId="7325B47B" w14:textId="77777777" w:rsidR="000103FE" w:rsidRPr="005367EB" w:rsidRDefault="00350DD1" w:rsidP="000103FE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>
        <w:rPr>
          <w:rStyle w:val="FootnoteReference"/>
          <w:rtl/>
        </w:rPr>
        <w:footnoteReference w:customMarkFollows="1" w:id="5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>في الخدمة الإذاعية الساتلية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>
        <w:rPr>
          <w:rStyle w:val="FootnoteReference"/>
          <w:rtl/>
        </w:rPr>
        <w:lastRenderedPageBreak/>
        <w:footnoteReference w:customMarkFollows="1" w:id="6"/>
        <w:t>2</w:t>
      </w:r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A80FC9">
        <w:rPr>
          <w:b w:val="0"/>
          <w:bCs w:val="0"/>
          <w:sz w:val="16"/>
          <w:szCs w:val="24"/>
        </w:rPr>
        <w:t>(WRC-03)</w:t>
      </w:r>
      <w:r w:rsidRPr="00E55024">
        <w:rPr>
          <w:sz w:val="16"/>
          <w:szCs w:val="24"/>
        </w:rPr>
        <w:t>    </w:t>
      </w:r>
    </w:p>
    <w:p w14:paraId="0889BE49" w14:textId="77777777" w:rsidR="008F3C11" w:rsidRDefault="00350DD1">
      <w:pPr>
        <w:pStyle w:val="Proposal"/>
      </w:pPr>
      <w:r>
        <w:rPr>
          <w:u w:val="single"/>
        </w:rPr>
        <w:t>NOC</w:t>
      </w:r>
      <w:r>
        <w:tab/>
        <w:t>CAN/USA/MEX/94/2</w:t>
      </w:r>
    </w:p>
    <w:p w14:paraId="2755A3B4" w14:textId="77777777" w:rsidR="000103FE" w:rsidRPr="00D920C1" w:rsidRDefault="00350DD1" w:rsidP="000103FE">
      <w:pPr>
        <w:pStyle w:val="AppArtNo"/>
        <w:rPr>
          <w:rtl/>
        </w:rPr>
      </w:pPr>
      <w:r w:rsidRPr="00D920C1">
        <w:rPr>
          <w:rtl/>
        </w:rPr>
        <w:t xml:space="preserve">المـادة </w:t>
      </w:r>
      <w:r w:rsidRPr="00D920C1">
        <w:t>7</w:t>
      </w:r>
      <w:r w:rsidRPr="00D920C1">
        <w:rPr>
          <w:sz w:val="14"/>
          <w:szCs w:val="22"/>
          <w:rtl/>
        </w:rPr>
        <w:t> </w:t>
      </w:r>
      <w:r w:rsidRPr="00D920C1">
        <w:rPr>
          <w:sz w:val="16"/>
          <w:szCs w:val="16"/>
        </w:rPr>
        <w:t>(REV.WRC-19)</w:t>
      </w:r>
      <w:r w:rsidRPr="00D920C1">
        <w:t>    </w:t>
      </w:r>
    </w:p>
    <w:p w14:paraId="1B75F82D" w14:textId="77777777" w:rsidR="000103FE" w:rsidRPr="006D3E14" w:rsidRDefault="00350DD1" w:rsidP="000103FE">
      <w:pPr>
        <w:pStyle w:val="AppArttitle"/>
        <w:keepLines/>
        <w:spacing w:line="185" w:lineRule="auto"/>
        <w:rPr>
          <w:rtl/>
        </w:rPr>
      </w:pPr>
      <w:r w:rsidRPr="006D3E14">
        <w:rPr>
          <w:rtl/>
          <w:lang w:bidi="ar-SA"/>
        </w:rPr>
        <w:t>تنسيق تخصيصات التردد العائدة لمحطات الخدمة الثابتة الساتلية (فضاء-أرض)</w:t>
      </w:r>
      <w:r w:rsidRPr="006D3E14">
        <w:rPr>
          <w:rtl/>
          <w:lang w:bidi="ar-SA"/>
        </w:rPr>
        <w:br/>
        <w:t xml:space="preserve">في نطاق التردد </w:t>
      </w:r>
      <w:r w:rsidRPr="006D3E14">
        <w:t>18,1-17,3</w:t>
      </w:r>
      <w:r w:rsidRPr="006D3E14">
        <w:rPr>
          <w:rtl/>
          <w:lang w:bidi="ar-SA"/>
        </w:rPr>
        <w:t xml:space="preserve"> </w:t>
      </w:r>
      <w:r w:rsidRPr="006D3E14">
        <w:t>GHz</w:t>
      </w:r>
      <w:r w:rsidRPr="006D3E14">
        <w:rPr>
          <w:rtl/>
          <w:lang w:bidi="ar-SA"/>
        </w:rPr>
        <w:t xml:space="preserve"> في الإقليم </w:t>
      </w:r>
      <w:r w:rsidRPr="006D3E14">
        <w:t>1</w:t>
      </w:r>
      <w:r w:rsidRPr="006D3E14">
        <w:rPr>
          <w:rtl/>
          <w:lang w:bidi="ar-SA"/>
        </w:rPr>
        <w:t xml:space="preserve"> وفي نطاق التردد </w:t>
      </w:r>
      <w:r w:rsidRPr="006D3E14">
        <w:t>18,1-17,7</w:t>
      </w:r>
      <w:r w:rsidRPr="006D3E14">
        <w:rPr>
          <w:rtl/>
          <w:lang w:bidi="ar-SA"/>
        </w:rPr>
        <w:t xml:space="preserve"> </w:t>
      </w:r>
      <w:r w:rsidRPr="006D3E14">
        <w:t>GHz</w:t>
      </w:r>
      <w:r w:rsidRPr="006D3E14">
        <w:rPr>
          <w:rtl/>
          <w:lang w:bidi="ar-SA"/>
        </w:rPr>
        <w:t>،</w:t>
      </w:r>
      <w:r w:rsidRPr="006D3E14">
        <w:rPr>
          <w:rtl/>
          <w:lang w:bidi="ar-SA"/>
        </w:rPr>
        <w:br/>
        <w:t xml:space="preserve">وفي الإقليمين </w:t>
      </w:r>
      <w:r w:rsidRPr="006D3E14">
        <w:t>2</w:t>
      </w:r>
      <w:r w:rsidRPr="006D3E14">
        <w:rPr>
          <w:rtl/>
          <w:lang w:bidi="ar-SA"/>
        </w:rPr>
        <w:t xml:space="preserve"> و</w:t>
      </w:r>
      <w:r w:rsidRPr="006D3E14">
        <w:t>3</w:t>
      </w:r>
      <w:r w:rsidRPr="006D3E14">
        <w:rPr>
          <w:rtl/>
          <w:lang w:bidi="ar-SA"/>
        </w:rPr>
        <w:t>، والعائدة لمحطات الخدمة الثابتة الساتلية (أرض-فضاء)</w:t>
      </w:r>
      <w:r w:rsidRPr="006D3E14">
        <w:rPr>
          <w:rtl/>
          <w:lang w:bidi="ar-SA"/>
        </w:rPr>
        <w:br/>
        <w:t xml:space="preserve">في الإقليم </w:t>
      </w:r>
      <w:r w:rsidRPr="006D3E14">
        <w:t>2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ضمن نطاق</w:t>
      </w:r>
      <w:r w:rsidRPr="006D3E14">
        <w:rPr>
          <w:rFonts w:hint="cs"/>
          <w:rtl/>
          <w:lang w:bidi="ar-SA"/>
        </w:rPr>
        <w:t>ي</w:t>
      </w:r>
      <w:r w:rsidRPr="006D3E14">
        <w:rPr>
          <w:rtl/>
          <w:lang w:bidi="ar-SA"/>
        </w:rPr>
        <w:t xml:space="preserve"> التردد </w:t>
      </w:r>
      <w:r w:rsidRPr="006D3E14">
        <w:rPr>
          <w:lang w:bidi="ar-SA"/>
        </w:rPr>
        <w:t>GHz 14,8-14,5</w:t>
      </w:r>
      <w:r w:rsidRPr="006D3E14">
        <w:rPr>
          <w:rFonts w:hint="cs"/>
          <w:rtl/>
          <w:lang w:bidi="ar-SA"/>
        </w:rPr>
        <w:t xml:space="preserve"> و</w:t>
      </w:r>
      <w:r w:rsidRPr="006D3E14">
        <w:rPr>
          <w:lang w:bidi="ar-SA"/>
        </w:rPr>
        <w:t>GHz </w:t>
      </w:r>
      <w:r w:rsidRPr="006D3E14">
        <w:t>18,1</w:t>
      </w:r>
      <w:r w:rsidRPr="006D3E14">
        <w:noBreakHyphen/>
        <w:t>17,8</w:t>
      </w:r>
      <w:r w:rsidRPr="006D3E14">
        <w:rPr>
          <w:rFonts w:hint="cs"/>
          <w:rtl/>
        </w:rPr>
        <w:t xml:space="preserve">، </w:t>
      </w:r>
      <w:r w:rsidRPr="006D3E14">
        <w:rPr>
          <w:rFonts w:hint="cs"/>
          <w:rtl/>
          <w:lang w:bidi="ar-SA"/>
        </w:rPr>
        <w:t>ولمحطات</w:t>
      </w:r>
      <w:r w:rsidRPr="006D3E14">
        <w:rPr>
          <w:rtl/>
          <w:lang w:bidi="ar-SA"/>
        </w:rPr>
        <w:t xml:space="preserve"> الخدمة الثابتة الساتلية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(أرض-فضاء)</w:t>
      </w:r>
      <w:r w:rsidRPr="006D3E14">
        <w:rPr>
          <w:rFonts w:hint="cs"/>
          <w:rtl/>
          <w:lang w:bidi="ar-SA"/>
        </w:rPr>
        <w:t xml:space="preserve"> في البلدان المدرجة في القرار </w:t>
      </w:r>
      <w:r w:rsidRPr="006D3E14">
        <w:rPr>
          <w:lang w:val="en-GB"/>
        </w:rPr>
        <w:t>163 (WRC</w:t>
      </w:r>
      <w:r w:rsidRPr="006D3E14">
        <w:rPr>
          <w:lang w:val="en-GB"/>
        </w:rPr>
        <w:noBreakHyphen/>
      </w:r>
      <w:r w:rsidRPr="006D3E14">
        <w:t>15</w:t>
      </w:r>
      <w:r w:rsidRPr="006D3E14">
        <w:rPr>
          <w:lang w:val="en-GB"/>
        </w:rPr>
        <w:t>)</w:t>
      </w:r>
      <w:r w:rsidRPr="006D3E14">
        <w:rPr>
          <w:rFonts w:hint="cs"/>
          <w:rtl/>
          <w:lang w:bidi="ar-SA"/>
        </w:rPr>
        <w:t xml:space="preserve"> في نطاق التردد</w:t>
      </w:r>
      <w:r w:rsidRPr="006D3E14">
        <w:rPr>
          <w:rFonts w:hint="eastAsia"/>
          <w:rtl/>
          <w:lang w:bidi="ar-SA"/>
        </w:rPr>
        <w:t> </w:t>
      </w:r>
      <w:r w:rsidRPr="006D3E14">
        <w:t>GHz 14,75</w:t>
      </w:r>
      <w:r w:rsidRPr="006D3E14">
        <w:noBreakHyphen/>
        <w:t>14,5</w:t>
      </w:r>
      <w:r w:rsidRPr="006D3E14">
        <w:rPr>
          <w:rFonts w:hint="cs"/>
          <w:rtl/>
          <w:lang w:bidi="ar-SA"/>
        </w:rPr>
        <w:t xml:space="preserve"> وفي البلدان المدرجة في القرار </w:t>
      </w:r>
      <w:r w:rsidRPr="006D3E14">
        <w:rPr>
          <w:lang w:val="en-GB"/>
        </w:rPr>
        <w:t>164 (WRC</w:t>
      </w:r>
      <w:r w:rsidRPr="006D3E14">
        <w:rPr>
          <w:lang w:val="en-GB"/>
        </w:rPr>
        <w:noBreakHyphen/>
      </w:r>
      <w:r w:rsidRPr="006D3E14">
        <w:t>15</w:t>
      </w:r>
      <w:r w:rsidRPr="006D3E14">
        <w:rPr>
          <w:lang w:val="en-GB"/>
        </w:rPr>
        <w:t>)</w:t>
      </w:r>
      <w:r w:rsidRPr="006D3E14">
        <w:rPr>
          <w:rFonts w:hint="cs"/>
          <w:rtl/>
          <w:lang w:val="en-GB"/>
        </w:rPr>
        <w:t xml:space="preserve"> في </w:t>
      </w:r>
      <w:r w:rsidRPr="006D3E14">
        <w:rPr>
          <w:rFonts w:hint="cs"/>
          <w:rtl/>
          <w:lang w:bidi="ar-SA"/>
        </w:rPr>
        <w:t>نطاق التردد</w:t>
      </w:r>
      <w:r w:rsidRPr="006D3E14">
        <w:rPr>
          <w:rFonts w:hint="eastAsia"/>
          <w:rtl/>
          <w:lang w:bidi="ar-SA"/>
        </w:rPr>
        <w:t> </w:t>
      </w:r>
      <w:r w:rsidRPr="006D3E14">
        <w:t>GHz 14,8-14,5</w:t>
      </w:r>
      <w:r w:rsidRPr="006D3E14">
        <w:rPr>
          <w:rFonts w:hint="cs"/>
          <w:rtl/>
          <w:lang w:bidi="ar-SA"/>
        </w:rPr>
        <w:t xml:space="preserve"> حيث لا تكون تلك المحطات لوصلات التغذية في الخدمة الإذاعية الساتلية </w:t>
      </w:r>
      <w:r w:rsidRPr="006D3E14">
        <w:rPr>
          <w:rtl/>
          <w:lang w:bidi="ar-SA"/>
        </w:rPr>
        <w:t>ولمحطات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 xml:space="preserve">الخدمة الإذاعية الساتلية في الإقليم </w:t>
      </w:r>
      <w:r w:rsidRPr="006D3E14">
        <w:t>2</w:t>
      </w:r>
      <w:r w:rsidRPr="006D3E14">
        <w:rPr>
          <w:rFonts w:hint="cs"/>
          <w:rtl/>
          <w:lang w:bidi="ar-SA"/>
        </w:rPr>
        <w:t xml:space="preserve"> في </w:t>
      </w:r>
      <w:r w:rsidRPr="006D3E14">
        <w:rPr>
          <w:rFonts w:hint="eastAsia"/>
          <w:rtl/>
          <w:lang w:bidi="ar-SA"/>
        </w:rPr>
        <w:t>نطاق التردد</w:t>
      </w:r>
      <w:r w:rsidRPr="006D3E14">
        <w:rPr>
          <w:rtl/>
          <w:lang w:bidi="ar-SA"/>
        </w:rPr>
        <w:t xml:space="preserve"> </w:t>
      </w:r>
      <w:r w:rsidRPr="006D3E14">
        <w:t>GHz 17,8</w:t>
      </w:r>
      <w:r w:rsidRPr="006D3E14">
        <w:noBreakHyphen/>
        <w:t>17,3</w:t>
      </w:r>
      <w:r w:rsidRPr="006D3E14">
        <w:rPr>
          <w:rtl/>
          <w:lang w:bidi="ar-SA"/>
        </w:rPr>
        <w:t>،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عندما</w:t>
      </w:r>
      <w:r w:rsidRPr="006D3E14">
        <w:rPr>
          <w:rFonts w:hint="cs"/>
          <w:rtl/>
          <w:lang w:bidi="ar-SA"/>
        </w:rPr>
        <w:t> </w:t>
      </w:r>
      <w:r w:rsidRPr="006D3E14">
        <w:rPr>
          <w:rtl/>
          <w:lang w:bidi="ar-SA"/>
        </w:rPr>
        <w:t>تشمل ترددات مخصصة لوصلات تغذية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محطات الإذاعة الساتلية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ضمن</w:t>
      </w:r>
      <w:r w:rsidRPr="006D3E14">
        <w:rPr>
          <w:rFonts w:hint="cs"/>
          <w:rtl/>
          <w:lang w:bidi="ar-SA"/>
        </w:rPr>
        <w:t> نطاقَي التردد</w:t>
      </w:r>
      <w:r w:rsidRPr="006D3E14">
        <w:rPr>
          <w:rFonts w:hint="eastAsia"/>
          <w:rtl/>
          <w:lang w:bidi="ar-SA"/>
        </w:rPr>
        <w:t> </w:t>
      </w:r>
      <w:r w:rsidRPr="006D3E14">
        <w:t>GHz 14,8-14,5</w:t>
      </w:r>
      <w:r w:rsidRPr="006D3E14">
        <w:rPr>
          <w:rFonts w:hint="cs"/>
          <w:rtl/>
        </w:rPr>
        <w:t xml:space="preserve"> </w:t>
      </w:r>
      <w:r w:rsidRPr="006D3E14">
        <w:rPr>
          <w:rFonts w:hint="cs"/>
          <w:rtl/>
          <w:lang w:bidi="ar-SA"/>
        </w:rPr>
        <w:t>و</w:t>
      </w:r>
      <w:r w:rsidRPr="006D3E14">
        <w:t>18,1</w:t>
      </w:r>
      <w:r w:rsidRPr="006D3E14">
        <w:noBreakHyphen/>
        <w:t>17,3</w:t>
      </w:r>
      <w:r w:rsidRPr="006D3E14">
        <w:rPr>
          <w:rtl/>
          <w:lang w:bidi="ar-SA"/>
        </w:rPr>
        <w:t xml:space="preserve"> </w:t>
      </w:r>
      <w:r w:rsidRPr="006D3E14">
        <w:t>GHz</w:t>
      </w:r>
      <w:r w:rsidRPr="006D3E14">
        <w:rPr>
          <w:rtl/>
          <w:lang w:bidi="ar-SA"/>
        </w:rPr>
        <w:t xml:space="preserve"> في الإقليمين </w:t>
      </w:r>
      <w:r w:rsidRPr="006D3E14">
        <w:t>1</w:t>
      </w:r>
      <w:r w:rsidRPr="006D3E14">
        <w:rPr>
          <w:rtl/>
          <w:lang w:bidi="ar-SA"/>
        </w:rPr>
        <w:t xml:space="preserve"> و</w:t>
      </w:r>
      <w:r w:rsidRPr="006D3E14">
        <w:t>3</w:t>
      </w:r>
      <w:r w:rsidRPr="006D3E14">
        <w:rPr>
          <w:rFonts w:hint="cs"/>
          <w:rtl/>
        </w:rPr>
        <w:t xml:space="preserve"> </w:t>
      </w:r>
      <w:r w:rsidRPr="006D3E14">
        <w:rPr>
          <w:rtl/>
          <w:lang w:bidi="ar-SA"/>
        </w:rPr>
        <w:t>أو ضمن</w:t>
      </w:r>
      <w:r w:rsidRPr="006D3E14">
        <w:rPr>
          <w:rFonts w:hint="cs"/>
          <w:rtl/>
          <w:lang w:bidi="ar-SA"/>
        </w:rPr>
        <w:t> </w:t>
      </w:r>
      <w:r w:rsidRPr="006D3E14">
        <w:rPr>
          <w:rtl/>
          <w:lang w:bidi="ar-SA"/>
        </w:rPr>
        <w:t xml:space="preserve">نطاق التردد </w:t>
      </w:r>
      <w:r w:rsidRPr="006D3E14">
        <w:t>17,8</w:t>
      </w:r>
      <w:r w:rsidRPr="006D3E14">
        <w:noBreakHyphen/>
        <w:t>17,3</w:t>
      </w:r>
      <w:r w:rsidRPr="006D3E14">
        <w:rPr>
          <w:rFonts w:hint="cs"/>
          <w:rtl/>
          <w:lang w:bidi="ar-SA"/>
        </w:rPr>
        <w:t> </w:t>
      </w:r>
      <w:r w:rsidRPr="006D3E14">
        <w:t>GHz</w:t>
      </w:r>
      <w:r w:rsidRPr="006D3E14">
        <w:rPr>
          <w:rtl/>
          <w:lang w:bidi="ar-SA"/>
        </w:rPr>
        <w:t xml:space="preserve"> في الإقليم</w:t>
      </w:r>
      <w:r w:rsidRPr="006D3E14">
        <w:rPr>
          <w:rFonts w:hint="cs"/>
          <w:rtl/>
          <w:lang w:bidi="ar-SA"/>
        </w:rPr>
        <w:t> </w:t>
      </w:r>
      <w:r w:rsidRPr="006D3E14">
        <w:rPr>
          <w:lang w:bidi="ar-SA"/>
        </w:rPr>
        <w:t>2</w:t>
      </w:r>
      <w:r w:rsidRPr="006D3E14">
        <w:rPr>
          <w:rStyle w:val="FootnoteReference"/>
          <w:b w:val="0"/>
          <w:bCs w:val="0"/>
          <w:rtl/>
          <w:lang w:bidi="ar-SA"/>
        </w:rPr>
        <w:footnoteReference w:customMarkFollows="1" w:id="7"/>
        <w:t>28</w:t>
      </w:r>
      <w:r w:rsidRPr="006D3E14">
        <w:rPr>
          <w:b w:val="0"/>
          <w:bCs w:val="0"/>
          <w:sz w:val="16"/>
          <w:szCs w:val="16"/>
          <w:lang w:bidi="ar-SA"/>
        </w:rPr>
        <w:t>(REV.WRC-19)     </w:t>
      </w:r>
    </w:p>
    <w:p w14:paraId="022EEEAD" w14:textId="0ED3209D" w:rsidR="009628EF" w:rsidRDefault="00350DD1" w:rsidP="009628E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9628EF" w:rsidRPr="00F52BEE">
        <w:rPr>
          <w:b w:val="0"/>
          <w:bCs w:val="0"/>
          <w:rtl/>
        </w:rPr>
        <w:t xml:space="preserve">يتعلق نطاق هذا الموضوع، على النحو المحدد في تقرير الاجتماع التحضيري للمؤتمر، بتأثير الاتفاق الضمني على الحالة المرجعية لتخصيصات التذييل </w:t>
      </w:r>
      <w:r w:rsidR="009628EF">
        <w:t>30A</w:t>
      </w:r>
      <w:r w:rsidR="009628EF">
        <w:rPr>
          <w:b w:val="0"/>
          <w:bCs w:val="0"/>
          <w:rtl/>
        </w:rPr>
        <w:t xml:space="preserve"> </w:t>
      </w:r>
      <w:r w:rsidR="009628EF">
        <w:rPr>
          <w:rFonts w:hint="cs"/>
          <w:b w:val="0"/>
          <w:bCs w:val="0"/>
          <w:rtl/>
        </w:rPr>
        <w:t xml:space="preserve">من </w:t>
      </w:r>
      <w:r w:rsidR="009628EF" w:rsidRPr="00F52BEE">
        <w:rPr>
          <w:b w:val="0"/>
          <w:bCs w:val="0"/>
          <w:rtl/>
        </w:rPr>
        <w:t xml:space="preserve">لوائح الراديو التي لا تأخذ في الاعتبار تأثير التخصيصات غير المخططة للخدمات الفضائية. وعلاوة على ذلك، لم تتم دراسة التعديلات على المادة 7 من التذييل </w:t>
      </w:r>
      <w:r w:rsidR="009628EF">
        <w:t>30A</w:t>
      </w:r>
      <w:r w:rsidR="009628EF">
        <w:rPr>
          <w:b w:val="0"/>
          <w:bCs w:val="0"/>
          <w:rtl/>
        </w:rPr>
        <w:t xml:space="preserve"> </w:t>
      </w:r>
      <w:r w:rsidR="009628EF">
        <w:rPr>
          <w:rFonts w:hint="cs"/>
          <w:b w:val="0"/>
          <w:bCs w:val="0"/>
          <w:rtl/>
        </w:rPr>
        <w:t xml:space="preserve">من </w:t>
      </w:r>
      <w:r w:rsidR="009628EF" w:rsidRPr="00F52BEE">
        <w:rPr>
          <w:b w:val="0"/>
          <w:bCs w:val="0"/>
          <w:rtl/>
        </w:rPr>
        <w:t>لوائح الراديو وقد تؤدي إلى وضع غير متوازن في معالجة التخصيصات المخططة مقابل التخصيصات غير المخططة فيما بين الأقاليم.</w:t>
      </w:r>
    </w:p>
    <w:p w14:paraId="5496E35A" w14:textId="77777777" w:rsidR="00B24CB7" w:rsidRPr="00B24CB7" w:rsidRDefault="00B24CB7" w:rsidP="00B24CB7">
      <w:pPr>
        <w:rPr>
          <w:rtl/>
        </w:rPr>
      </w:pPr>
    </w:p>
    <w:p w14:paraId="44533938" w14:textId="77777777" w:rsidR="00B24CB7" w:rsidRPr="00B24CB7" w:rsidRDefault="00B24CB7" w:rsidP="000C7975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B24CB7">
        <w:rPr>
          <w:rFonts w:ascii="Times New Roman" w:hAnsi="Times New Roman" w:cs="Times New Roman"/>
          <w:sz w:val="24"/>
          <w:szCs w:val="20"/>
          <w:lang w:val="en-GB"/>
        </w:rPr>
        <w:t>_________________</w:t>
      </w:r>
    </w:p>
    <w:sectPr w:rsidR="00B24CB7" w:rsidRPr="00B24CB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A16B" w14:textId="77777777" w:rsidR="00B6345F" w:rsidRDefault="00B6345F" w:rsidP="002919E1">
      <w:r>
        <w:separator/>
      </w:r>
    </w:p>
    <w:p w14:paraId="42CB7AD6" w14:textId="77777777" w:rsidR="00B6345F" w:rsidRDefault="00B6345F" w:rsidP="002919E1"/>
    <w:p w14:paraId="13342C0D" w14:textId="77777777" w:rsidR="00B6345F" w:rsidRDefault="00B6345F" w:rsidP="002919E1"/>
    <w:p w14:paraId="538AAD10" w14:textId="77777777" w:rsidR="00B6345F" w:rsidRDefault="00B6345F"/>
    <w:p w14:paraId="0A1E1D73" w14:textId="77777777" w:rsidR="00B6345F" w:rsidRDefault="00B6345F"/>
  </w:endnote>
  <w:endnote w:type="continuationSeparator" w:id="0">
    <w:p w14:paraId="38DCAC00" w14:textId="77777777" w:rsidR="00B6345F" w:rsidRDefault="00B6345F" w:rsidP="002919E1">
      <w:r>
        <w:continuationSeparator/>
      </w:r>
    </w:p>
    <w:p w14:paraId="04BF3BD8" w14:textId="77777777" w:rsidR="00B6345F" w:rsidRDefault="00B6345F" w:rsidP="002919E1"/>
    <w:p w14:paraId="376777A7" w14:textId="77777777" w:rsidR="00B6345F" w:rsidRDefault="00B6345F" w:rsidP="002919E1"/>
    <w:p w14:paraId="176625A0" w14:textId="77777777" w:rsidR="00B6345F" w:rsidRDefault="00B6345F"/>
    <w:p w14:paraId="44BE2A70" w14:textId="77777777" w:rsidR="00B6345F" w:rsidRDefault="00B63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CDAF" w14:textId="015451C8" w:rsidR="00D63A6F" w:rsidRPr="00D63A6F" w:rsidRDefault="00722BB6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C7975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C7975" w:rsidRPr="000C7975">
      <w:rPr>
        <w:noProof/>
        <w:sz w:val="16"/>
        <w:szCs w:val="16"/>
        <w:lang w:val="en-GB"/>
      </w:rPr>
      <w:t>P:\ARA\ITU-R\CONF-R\CMR23\000\094A.docx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C7975">
      <w:rPr>
        <w:sz w:val="16"/>
        <w:szCs w:val="16"/>
        <w:lang w:val="en-GB"/>
      </w:rPr>
      <w:t xml:space="preserve"> (</w:t>
    </w:r>
    <w:proofErr w:type="gramEnd"/>
    <w:r w:rsidRPr="000C7975">
      <w:rPr>
        <w:sz w:val="16"/>
        <w:szCs w:val="16"/>
        <w:lang w:val="en-GB"/>
      </w:rPr>
      <w:t>530129)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FA90" w14:textId="5A110CC5" w:rsidR="00945F06" w:rsidRDefault="00945F06" w:rsidP="00945F06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0C7975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C7975" w:rsidRPr="000C7975">
      <w:rPr>
        <w:noProof/>
        <w:sz w:val="16"/>
        <w:szCs w:val="16"/>
        <w:lang w:val="en-GB"/>
      </w:rPr>
      <w:t>P:\ARA\ITU-R\CONF-R\CMR23\000\094A.docx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C7975">
      <w:rPr>
        <w:sz w:val="16"/>
        <w:szCs w:val="16"/>
        <w:lang w:val="en-GB"/>
      </w:rPr>
      <w:t xml:space="preserve"> (</w:t>
    </w:r>
    <w:proofErr w:type="gramEnd"/>
    <w:r w:rsidRPr="000C7975">
      <w:rPr>
        <w:sz w:val="16"/>
        <w:szCs w:val="16"/>
        <w:lang w:val="en-GB"/>
      </w:rPr>
      <w:t>530129)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4D79" w14:textId="23461C2E" w:rsidR="00945F06" w:rsidRPr="00945F06" w:rsidRDefault="00722BB6" w:rsidP="00722BB6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CD66A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C7975">
      <w:rPr>
        <w:noProof/>
        <w:sz w:val="16"/>
        <w:szCs w:val="16"/>
        <w:lang w:val="en-GB"/>
      </w:rPr>
      <w:t>P:\ARA\ITU-R\CONF-R\CMR23\000\094A.docx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D66A8">
      <w:rPr>
        <w:sz w:val="16"/>
        <w:szCs w:val="16"/>
        <w:lang w:val="en-GB"/>
      </w:rPr>
      <w:t xml:space="preserve"> (</w:t>
    </w:r>
    <w:proofErr w:type="gramEnd"/>
    <w:r w:rsidRPr="00CD66A8">
      <w:rPr>
        <w:sz w:val="16"/>
        <w:szCs w:val="16"/>
        <w:lang w:val="en-GB"/>
      </w:rPr>
      <w:t>530129)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ECB8" w14:textId="77777777" w:rsidR="00B6345F" w:rsidRDefault="00B6345F" w:rsidP="00C45930">
      <w:r>
        <w:separator/>
      </w:r>
    </w:p>
  </w:footnote>
  <w:footnote w:type="continuationSeparator" w:id="0">
    <w:p w14:paraId="36831D44" w14:textId="77777777" w:rsidR="00B6345F" w:rsidRDefault="00B6345F" w:rsidP="002919E1">
      <w:r>
        <w:continuationSeparator/>
      </w:r>
    </w:p>
    <w:p w14:paraId="5F067784" w14:textId="77777777" w:rsidR="00B6345F" w:rsidRDefault="00B6345F" w:rsidP="002919E1"/>
    <w:p w14:paraId="1623FD8A" w14:textId="77777777" w:rsidR="00B6345F" w:rsidRDefault="00B6345F" w:rsidP="002919E1"/>
    <w:p w14:paraId="7DC250E6" w14:textId="77777777" w:rsidR="00B6345F" w:rsidRDefault="00B6345F"/>
    <w:p w14:paraId="22A6897C" w14:textId="77777777" w:rsidR="00B6345F" w:rsidRDefault="00B6345F"/>
  </w:footnote>
  <w:footnote w:id="1">
    <w:p w14:paraId="62F58B22" w14:textId="77777777" w:rsidR="00D86D59" w:rsidRDefault="00350DD1" w:rsidP="009F6E5F">
      <w:pPr>
        <w:pStyle w:val="FootnoteText"/>
        <w:tabs>
          <w:tab w:val="clear" w:pos="1134"/>
          <w:tab w:val="left" w:pos="285"/>
        </w:tabs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المدارية.</w:t>
      </w:r>
      <w:r w:rsidRPr="00220444">
        <w:rPr>
          <w:sz w:val="16"/>
          <w:szCs w:val="16"/>
        </w:rPr>
        <w:t>(WRC-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00E781FB" w14:textId="77777777" w:rsidR="00D86D59" w:rsidRPr="00AB5C78" w:rsidRDefault="00350DD1" w:rsidP="009F6E5F">
      <w:pPr>
        <w:pStyle w:val="FootnoteText"/>
        <w:tabs>
          <w:tab w:val="clear" w:pos="1134"/>
          <w:tab w:val="left" w:pos="285"/>
        </w:tabs>
        <w:rPr>
          <w:rtl/>
        </w:rPr>
      </w:pPr>
      <w:r>
        <w:rPr>
          <w:rStyle w:val="FootnoteReference"/>
          <w:rtl/>
        </w:rPr>
        <w:t>1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vertAlign w:val="superscript"/>
        </w:rPr>
        <w:t>**</w:t>
      </w:r>
      <w:r w:rsidRPr="00D919F8">
        <w:rPr>
          <w:b/>
          <w:bCs/>
        </w:rPr>
        <w:t>542 (WRC-2000)</w:t>
      </w:r>
      <w:r w:rsidRPr="00BB3369">
        <w:rPr>
          <w:rFonts w:hint="cs"/>
          <w:rtl/>
        </w:rPr>
        <w:t>)</w:t>
      </w:r>
      <w:r w:rsidRPr="00D919F8">
        <w:rPr>
          <w:sz w:val="16"/>
          <w:szCs w:val="16"/>
        </w:rPr>
        <w:t>(WRC-03)</w:t>
      </w:r>
      <w:r>
        <w:rPr>
          <w:sz w:val="16"/>
          <w:szCs w:val="16"/>
        </w:rPr>
        <w:t>  </w:t>
      </w:r>
      <w:r w:rsidRPr="00D919F8">
        <w:t>  </w:t>
      </w:r>
    </w:p>
    <w:p w14:paraId="4C721981" w14:textId="77777777" w:rsidR="00D86D59" w:rsidRPr="00034A8D" w:rsidRDefault="00350DD1" w:rsidP="009F6E5F">
      <w:pPr>
        <w:pStyle w:val="FootnoteText"/>
        <w:tabs>
          <w:tab w:val="clear" w:pos="1134"/>
          <w:tab w:val="clear" w:pos="1871"/>
          <w:tab w:val="left" w:pos="569"/>
          <w:tab w:val="left" w:pos="710"/>
          <w:tab w:val="left" w:pos="994"/>
        </w:tabs>
        <w:rPr>
          <w:szCs w:val="24"/>
          <w:rtl/>
        </w:rPr>
      </w:pPr>
      <w:r>
        <w:rPr>
          <w:rFonts w:cs="Times New Roman"/>
          <w:position w:val="6"/>
          <w:rtl/>
        </w:rPr>
        <w:tab/>
      </w:r>
      <w:r w:rsidRPr="00B72574">
        <w:rPr>
          <w:rFonts w:cs="Times New Roman"/>
          <w:position w:val="6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504940DB" w14:textId="77777777" w:rsidR="00D86D59" w:rsidRDefault="00350DD1" w:rsidP="009F6E5F">
      <w:pPr>
        <w:pStyle w:val="FootnoteText"/>
        <w:tabs>
          <w:tab w:val="clear" w:pos="1134"/>
          <w:tab w:val="left" w:pos="569"/>
        </w:tabs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2549F271" w14:textId="77777777" w:rsidR="00D86D59" w:rsidRDefault="00350DD1" w:rsidP="009F6E5F">
      <w:pPr>
        <w:pStyle w:val="FootnoteText"/>
        <w:tabs>
          <w:tab w:val="clear" w:pos="1134"/>
          <w:tab w:val="left" w:pos="285"/>
        </w:tabs>
        <w:rPr>
          <w:sz w:val="16"/>
          <w:szCs w:val="22"/>
        </w:rPr>
      </w:pPr>
      <w:r>
        <w:rPr>
          <w:rStyle w:val="FootnoteReference"/>
          <w:rtl/>
        </w:rPr>
        <w:t>22</w:t>
      </w:r>
      <w:r>
        <w:rPr>
          <w:rFonts w:hint="cs"/>
          <w:rtl/>
        </w:rPr>
        <w:tab/>
      </w:r>
      <w:r w:rsidRPr="00E6662A">
        <w:rPr>
          <w:rFonts w:hint="cs"/>
          <w:rtl/>
        </w:rPr>
        <w:t>لا يستعاض بهذه الإجراءات عن الإجراءات</w:t>
      </w:r>
      <w:r w:rsidRPr="00E6662A">
        <w:rPr>
          <w:rtl/>
        </w:rPr>
        <w:t xml:space="preserve"> المفروضة</w:t>
      </w:r>
      <w:r>
        <w:rPr>
          <w:rtl/>
        </w:rPr>
        <w:t xml:space="preserve"> في </w:t>
      </w:r>
      <w:r w:rsidRPr="00E6662A">
        <w:rPr>
          <w:rtl/>
        </w:rPr>
        <w:t xml:space="preserve">المادتين </w:t>
      </w:r>
      <w:r w:rsidRPr="00E6662A">
        <w:rPr>
          <w:b/>
          <w:bCs/>
        </w:rPr>
        <w:t>9</w:t>
      </w:r>
      <w:r w:rsidRPr="00E6662A">
        <w:rPr>
          <w:rtl/>
        </w:rPr>
        <w:t xml:space="preserve"> و</w:t>
      </w:r>
      <w:r w:rsidRPr="00E6662A">
        <w:rPr>
          <w:b/>
          <w:bCs/>
        </w:rPr>
        <w:t>11</w:t>
      </w:r>
      <w:r w:rsidRPr="00E6662A">
        <w:rPr>
          <w:rtl/>
        </w:rPr>
        <w:t>، عندما يتعلق الأمر بمحطات أخرى غير محطات الخدمة الإذاعية الساتلية.</w:t>
      </w:r>
      <w:r>
        <w:rPr>
          <w:sz w:val="16"/>
          <w:szCs w:val="22"/>
        </w:rPr>
        <w:t>(WRC-03)     </w:t>
      </w:r>
    </w:p>
  </w:footnote>
  <w:footnote w:id="4">
    <w:p w14:paraId="20E6AD92" w14:textId="77777777" w:rsidR="00D86D59" w:rsidRPr="00DB5165" w:rsidRDefault="00350DD1" w:rsidP="009F6E5F">
      <w:pPr>
        <w:pStyle w:val="FootnoteText"/>
        <w:tabs>
          <w:tab w:val="clear" w:pos="1134"/>
          <w:tab w:val="left" w:pos="285"/>
        </w:tabs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(WRC-03)</w:t>
      </w:r>
      <w:r>
        <w:rPr>
          <w:sz w:val="16"/>
          <w:szCs w:val="22"/>
          <w:lang w:bidi="ar-SY"/>
        </w:rPr>
        <w:t>     </w:t>
      </w:r>
    </w:p>
  </w:footnote>
  <w:footnote w:id="5">
    <w:p w14:paraId="4C9D8FAF" w14:textId="77777777" w:rsidR="00D86D59" w:rsidRPr="000A1694" w:rsidRDefault="00350DD1" w:rsidP="009F6E5F">
      <w:pPr>
        <w:pStyle w:val="FootnoteText"/>
        <w:tabs>
          <w:tab w:val="clear" w:pos="1134"/>
          <w:tab w:val="left" w:pos="285"/>
        </w:tabs>
        <w:rPr>
          <w:spacing w:val="-4"/>
          <w:rtl/>
          <w:lang w:bidi="ar-SY"/>
        </w:rPr>
      </w:pPr>
      <w:r w:rsidRPr="000A1694">
        <w:rPr>
          <w:rStyle w:val="FootnoteReference"/>
          <w:spacing w:val="-4"/>
          <w:rtl/>
        </w:rPr>
        <w:t>1</w:t>
      </w:r>
      <w:r w:rsidRPr="000A1694">
        <w:rPr>
          <w:rFonts w:hint="cs"/>
          <w:spacing w:val="-4"/>
          <w:rtl/>
          <w:lang w:bidi="ar-SY"/>
        </w:rPr>
        <w:tab/>
        <w:t xml:space="preserve">قائمة الاستخدامات الإضافية لوصلات التغذية في الإقليمين </w:t>
      </w:r>
      <w:r w:rsidRPr="000A1694">
        <w:rPr>
          <w:spacing w:val="-4"/>
          <w:lang w:bidi="ar-SY"/>
        </w:rPr>
        <w:t>1</w:t>
      </w:r>
      <w:r w:rsidRPr="000A1694">
        <w:rPr>
          <w:rFonts w:hint="cs"/>
          <w:spacing w:val="-4"/>
          <w:rtl/>
          <w:lang w:bidi="ar-SY"/>
        </w:rPr>
        <w:t xml:space="preserve"> و</w:t>
      </w:r>
      <w:r w:rsidRPr="000A1694">
        <w:rPr>
          <w:spacing w:val="-4"/>
          <w:lang w:bidi="ar-SY"/>
        </w:rPr>
        <w:t>3</w:t>
      </w:r>
      <w:r w:rsidRPr="000A1694">
        <w:rPr>
          <w:rFonts w:hint="cs"/>
          <w:spacing w:val="-4"/>
          <w:rtl/>
          <w:lang w:bidi="ar-SY"/>
        </w:rPr>
        <w:t xml:space="preserve"> ملحقة بالسجل الأساسي للترددات (انظر القرار </w:t>
      </w:r>
      <w:r w:rsidRPr="000A1694">
        <w:rPr>
          <w:rFonts w:ascii="Times New Roman Bold" w:hAnsi="Times New Roman Bold"/>
          <w:b/>
          <w:bCs/>
          <w:spacing w:val="-4"/>
          <w:vertAlign w:val="superscript"/>
          <w:lang w:bidi="ar-SY"/>
        </w:rPr>
        <w:t>**</w:t>
      </w:r>
      <w:r w:rsidRPr="000A1694">
        <w:rPr>
          <w:b/>
          <w:bCs/>
          <w:spacing w:val="-4"/>
          <w:lang w:bidi="ar-SY"/>
        </w:rPr>
        <w:t>542 (WRC</w:t>
      </w:r>
      <w:r w:rsidRPr="000A1694">
        <w:rPr>
          <w:b/>
          <w:bCs/>
          <w:spacing w:val="-4"/>
          <w:lang w:bidi="ar-SY"/>
        </w:rPr>
        <w:noBreakHyphen/>
        <w:t>2000)</w:t>
      </w:r>
      <w:r w:rsidRPr="000A1694">
        <w:rPr>
          <w:rFonts w:hint="cs"/>
          <w:spacing w:val="-4"/>
          <w:rtl/>
          <w:lang w:bidi="ar-SY"/>
        </w:rPr>
        <w:t>).</w:t>
      </w:r>
      <w:r w:rsidRPr="000A1694">
        <w:rPr>
          <w:spacing w:val="-4"/>
          <w:sz w:val="16"/>
          <w:szCs w:val="22"/>
          <w:lang w:bidi="ar-SY"/>
        </w:rPr>
        <w:t>(WRC-03)     </w:t>
      </w:r>
    </w:p>
    <w:p w14:paraId="539DF7A7" w14:textId="77777777" w:rsidR="00D86D59" w:rsidRPr="00432D9D" w:rsidRDefault="00350DD1" w:rsidP="009F6E5F">
      <w:pPr>
        <w:pStyle w:val="FootnoteText"/>
        <w:tabs>
          <w:tab w:val="clear" w:pos="1134"/>
          <w:tab w:val="clear" w:pos="1871"/>
          <w:tab w:val="left" w:pos="569"/>
          <w:tab w:val="left" w:pos="710"/>
          <w:tab w:val="left" w:pos="994"/>
        </w:tabs>
        <w:rPr>
          <w:spacing w:val="-8"/>
          <w:rtl/>
          <w:lang w:bidi="ar-SY"/>
        </w:rPr>
      </w:pPr>
      <w:r>
        <w:rPr>
          <w:rFonts w:cs="Times New Roman"/>
          <w:position w:val="6"/>
          <w:rtl/>
          <w:lang w:bidi="ar-SY"/>
        </w:rPr>
        <w:tab/>
      </w:r>
      <w:r w:rsidRPr="00340522">
        <w:rPr>
          <w:rFonts w:cs="Times New Roman" w:hint="cs"/>
          <w:position w:val="6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6">
    <w:p w14:paraId="6E329BA8" w14:textId="77777777" w:rsidR="00D86D59" w:rsidRDefault="00350DD1" w:rsidP="009F6E5F">
      <w:pPr>
        <w:pStyle w:val="FootnoteText"/>
        <w:tabs>
          <w:tab w:val="clear" w:pos="1134"/>
          <w:tab w:val="left" w:pos="285"/>
        </w:tabs>
        <w:rPr>
          <w:rtl/>
          <w:lang w:bidi="ar-SY"/>
        </w:rPr>
      </w:pPr>
      <w:r>
        <w:rPr>
          <w:rStyle w:val="FootnoteReference"/>
          <w:rtl/>
        </w:rPr>
        <w:t>2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14,8-14,5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268A5BA4" w14:textId="77777777" w:rsidR="00D86D59" w:rsidRPr="00C4448E" w:rsidRDefault="00350DD1" w:rsidP="009F6E5F">
      <w:pPr>
        <w:pStyle w:val="FootnoteText"/>
        <w:tabs>
          <w:tab w:val="clear" w:pos="1134"/>
          <w:tab w:val="left" w:pos="569"/>
        </w:tabs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7">
    <w:p w14:paraId="24EA73BA" w14:textId="77777777" w:rsidR="00D86D59" w:rsidRDefault="00350DD1" w:rsidP="009F6E5F">
      <w:pPr>
        <w:pStyle w:val="FootnoteText"/>
        <w:tabs>
          <w:tab w:val="clear" w:pos="1134"/>
          <w:tab w:val="left" w:pos="285"/>
        </w:tabs>
      </w:pPr>
      <w:r>
        <w:rPr>
          <w:rStyle w:val="FootnoteReference"/>
          <w:rtl/>
        </w:rPr>
        <w:t>28</w:t>
      </w:r>
      <w:r>
        <w:tab/>
      </w:r>
      <w:r w:rsidRPr="00336EEC">
        <w:rPr>
          <w:rFonts w:hint="cs"/>
          <w:rtl/>
        </w:rPr>
        <w:t>لا تحل هذه الإجراءات محل الإجراءات المفروضة</w:t>
      </w:r>
      <w:r>
        <w:rPr>
          <w:rFonts w:hint="cs"/>
          <w:rtl/>
        </w:rPr>
        <w:t xml:space="preserve"> في </w:t>
      </w:r>
      <w:r w:rsidRPr="00336EEC">
        <w:rPr>
          <w:rFonts w:hint="cs"/>
          <w:rtl/>
        </w:rPr>
        <w:t xml:space="preserve">المادتين </w:t>
      </w:r>
      <w:r w:rsidRPr="006D3E14">
        <w:rPr>
          <w:rStyle w:val="Artref"/>
          <w:b/>
          <w:bCs/>
        </w:rPr>
        <w:t>9</w:t>
      </w:r>
      <w:r>
        <w:rPr>
          <w:rFonts w:hint="cs"/>
          <w:rtl/>
        </w:rPr>
        <w:t xml:space="preserve"> </w:t>
      </w:r>
      <w:r w:rsidRPr="00336EEC">
        <w:rPr>
          <w:rFonts w:hint="cs"/>
          <w:rtl/>
        </w:rPr>
        <w:t>و</w:t>
      </w:r>
      <w:r w:rsidRPr="006D3E14">
        <w:rPr>
          <w:rStyle w:val="Artref"/>
          <w:b/>
          <w:bCs/>
        </w:rPr>
        <w:t>11</w:t>
      </w:r>
      <w:r>
        <w:rPr>
          <w:rFonts w:hint="cs"/>
          <w:rtl/>
        </w:rPr>
        <w:t xml:space="preserve"> </w:t>
      </w:r>
      <w:r w:rsidRPr="00336EEC">
        <w:rPr>
          <w:rFonts w:hint="cs"/>
          <w:rtl/>
        </w:rPr>
        <w:t>عندما يتعلق الأمر بمحطات ليست محطات لوصلات التغذية</w:t>
      </w:r>
      <w:r>
        <w:rPr>
          <w:rFonts w:hint="cs"/>
          <w:rtl/>
        </w:rPr>
        <w:t xml:space="preserve"> في </w:t>
      </w:r>
      <w:r w:rsidRPr="00850FC3">
        <w:rPr>
          <w:rStyle w:val="FootnoteTextChar"/>
          <w:rFonts w:hint="cs"/>
          <w:rtl/>
        </w:rPr>
        <w:t>الخدمة</w:t>
      </w:r>
      <w:r w:rsidRPr="00336EEC">
        <w:rPr>
          <w:rFonts w:hint="cs"/>
          <w:rtl/>
        </w:rPr>
        <w:t xml:space="preserve"> الإذاعية الساتلية التي تخضع لخطة ما.</w:t>
      </w:r>
      <w:r w:rsidRPr="00336EEC">
        <w:rPr>
          <w:sz w:val="16"/>
          <w:szCs w:val="22"/>
        </w:rPr>
        <w:t>(WRC-03)</w:t>
      </w:r>
      <w:r>
        <w:rPr>
          <w:sz w:val="16"/>
          <w:szCs w:val="22"/>
        </w:rPr>
        <w:t>    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713E" w14:textId="2F2CE785" w:rsidR="00D63A6F" w:rsidRPr="00945F06" w:rsidRDefault="005E5F16" w:rsidP="00945F06">
    <w:pPr>
      <w:bidi w:val="0"/>
      <w:spacing w:after="360" w:line="240" w:lineRule="auto"/>
      <w:jc w:val="center"/>
    </w:pPr>
    <w:r w:rsidRPr="00945F06">
      <w:rPr>
        <w:rStyle w:val="PageNumber"/>
        <w:rFonts w:ascii="Dubai" w:hAnsi="Dubai" w:cs="Dubai"/>
      </w:rPr>
      <w:fldChar w:fldCharType="begin"/>
    </w:r>
    <w:r w:rsidRPr="00945F06">
      <w:rPr>
        <w:rStyle w:val="PageNumber"/>
        <w:rFonts w:ascii="Dubai" w:hAnsi="Dubai" w:cs="Dubai"/>
      </w:rPr>
      <w:instrText xml:space="preserve"> PAGE </w:instrText>
    </w:r>
    <w:r w:rsidRPr="00945F06">
      <w:rPr>
        <w:rStyle w:val="PageNumber"/>
        <w:rFonts w:ascii="Dubai" w:hAnsi="Dubai" w:cs="Dubai"/>
      </w:rPr>
      <w:fldChar w:fldCharType="separate"/>
    </w:r>
    <w:r w:rsidR="00F52BEE">
      <w:rPr>
        <w:rStyle w:val="PageNumber"/>
        <w:rFonts w:ascii="Dubai" w:hAnsi="Dubai" w:cs="Dubai"/>
        <w:noProof/>
      </w:rPr>
      <w:t>2</w:t>
    </w:r>
    <w:r w:rsidRPr="00945F06">
      <w:rPr>
        <w:rStyle w:val="PageNumber"/>
        <w:rFonts w:ascii="Dubai" w:hAnsi="Dubai" w:cs="Dubai"/>
      </w:rPr>
      <w:fldChar w:fldCharType="end"/>
    </w:r>
    <w:r w:rsidRPr="00945F06">
      <w:rPr>
        <w:rStyle w:val="PageNumber"/>
        <w:rFonts w:ascii="Dubai" w:hAnsi="Dubai" w:cs="Dubai"/>
        <w:rtl/>
      </w:rPr>
      <w:br/>
    </w:r>
    <w:r w:rsidR="004F5F29" w:rsidRPr="00945F06">
      <w:rPr>
        <w:rStyle w:val="PageNumber"/>
        <w:rFonts w:ascii="Dubai" w:hAnsi="Dubai" w:cs="Dubai"/>
      </w:rPr>
      <w:t>WRC</w:t>
    </w:r>
    <w:r w:rsidRPr="00945F06">
      <w:rPr>
        <w:rStyle w:val="PageNumber"/>
        <w:rFonts w:ascii="Dubai" w:hAnsi="Dubai" w:cs="Dubai"/>
      </w:rPr>
      <w:t>23/94-A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5720" w14:textId="496AAE30" w:rsidR="00945F06" w:rsidRDefault="00945F06" w:rsidP="00945F06">
    <w:pPr>
      <w:pStyle w:val="Header"/>
      <w:bidi w:val="0"/>
      <w:jc w:val="center"/>
    </w:pPr>
    <w:r w:rsidRPr="00945F06">
      <w:rPr>
        <w:rStyle w:val="PageNumber"/>
        <w:rFonts w:ascii="Dubai" w:hAnsi="Dubai" w:cs="Dubai"/>
      </w:rPr>
      <w:fldChar w:fldCharType="begin"/>
    </w:r>
    <w:r w:rsidRPr="00945F06">
      <w:rPr>
        <w:rStyle w:val="PageNumber"/>
        <w:rFonts w:ascii="Dubai" w:hAnsi="Dubai" w:cs="Dubai"/>
      </w:rPr>
      <w:instrText xml:space="preserve"> PAGE </w:instrText>
    </w:r>
    <w:r w:rsidRPr="00945F06">
      <w:rPr>
        <w:rStyle w:val="PageNumber"/>
        <w:rFonts w:ascii="Dubai" w:hAnsi="Dubai" w:cs="Dubai"/>
      </w:rPr>
      <w:fldChar w:fldCharType="separate"/>
    </w:r>
    <w:r w:rsidR="00B24CB7">
      <w:rPr>
        <w:rStyle w:val="PageNumber"/>
        <w:rFonts w:ascii="Dubai" w:hAnsi="Dubai" w:cs="Dubai"/>
        <w:noProof/>
      </w:rPr>
      <w:t>3</w:t>
    </w:r>
    <w:r w:rsidRPr="00945F06">
      <w:rPr>
        <w:rStyle w:val="PageNumber"/>
        <w:rFonts w:ascii="Dubai" w:hAnsi="Dubai" w:cs="Dubai"/>
      </w:rPr>
      <w:fldChar w:fldCharType="end"/>
    </w:r>
    <w:r w:rsidRPr="00945F06">
      <w:rPr>
        <w:rStyle w:val="PageNumber"/>
        <w:rFonts w:ascii="Dubai" w:hAnsi="Dubai" w:cs="Dubai"/>
        <w:rtl/>
      </w:rPr>
      <w:br/>
    </w:r>
    <w:r w:rsidRPr="00945F06">
      <w:rPr>
        <w:rStyle w:val="PageNumber"/>
        <w:rFonts w:ascii="Dubai" w:hAnsi="Dubai" w:cs="Dubai"/>
      </w:rPr>
      <w:t>WRC23/94-A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ACC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623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4ED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01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2848077">
    <w:abstractNumId w:val="9"/>
  </w:num>
  <w:num w:numId="2" w16cid:durableId="920026666">
    <w:abstractNumId w:val="13"/>
  </w:num>
  <w:num w:numId="3" w16cid:durableId="356467981">
    <w:abstractNumId w:val="11"/>
  </w:num>
  <w:num w:numId="4" w16cid:durableId="693963469">
    <w:abstractNumId w:val="14"/>
  </w:num>
  <w:num w:numId="5" w16cid:durableId="981890881">
    <w:abstractNumId w:val="7"/>
  </w:num>
  <w:num w:numId="6" w16cid:durableId="990593832">
    <w:abstractNumId w:val="6"/>
  </w:num>
  <w:num w:numId="7" w16cid:durableId="622033523">
    <w:abstractNumId w:val="5"/>
  </w:num>
  <w:num w:numId="8" w16cid:durableId="534738949">
    <w:abstractNumId w:val="4"/>
  </w:num>
  <w:num w:numId="9" w16cid:durableId="760181697">
    <w:abstractNumId w:val="8"/>
  </w:num>
  <w:num w:numId="10" w16cid:durableId="1321613977">
    <w:abstractNumId w:val="3"/>
  </w:num>
  <w:num w:numId="11" w16cid:durableId="1599295004">
    <w:abstractNumId w:val="2"/>
  </w:num>
  <w:num w:numId="12" w16cid:durableId="2042241247">
    <w:abstractNumId w:val="1"/>
  </w:num>
  <w:num w:numId="13" w16cid:durableId="152068515">
    <w:abstractNumId w:val="0"/>
  </w:num>
  <w:num w:numId="14" w16cid:durableId="1810318186">
    <w:abstractNumId w:val="10"/>
  </w:num>
  <w:num w:numId="15" w16cid:durableId="637878067">
    <w:abstractNumId w:val="15"/>
  </w:num>
  <w:num w:numId="16" w16cid:durableId="1553274573">
    <w:abstractNumId w:val="12"/>
  </w:num>
  <w:num w:numId="17" w16cid:durableId="1688632129">
    <w:abstractNumId w:val="6"/>
  </w:num>
  <w:num w:numId="18" w16cid:durableId="1607082533">
    <w:abstractNumId w:val="5"/>
  </w:num>
  <w:num w:numId="19" w16cid:durableId="1909342459">
    <w:abstractNumId w:val="3"/>
  </w:num>
  <w:num w:numId="20" w16cid:durableId="749346994">
    <w:abstractNumId w:val="2"/>
  </w:num>
  <w:num w:numId="21" w16cid:durableId="1069041512">
    <w:abstractNumId w:val="6"/>
  </w:num>
  <w:num w:numId="22" w16cid:durableId="318461848">
    <w:abstractNumId w:val="5"/>
  </w:num>
  <w:num w:numId="23" w16cid:durableId="1844853566">
    <w:abstractNumId w:val="3"/>
  </w:num>
  <w:num w:numId="24" w16cid:durableId="96753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C7975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5B7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0DD1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2BB6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36E8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3C11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45F06"/>
    <w:rsid w:val="00951718"/>
    <w:rsid w:val="00951BEC"/>
    <w:rsid w:val="00954929"/>
    <w:rsid w:val="00955405"/>
    <w:rsid w:val="00960472"/>
    <w:rsid w:val="00960962"/>
    <w:rsid w:val="009628EF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9F6E5F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4CB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345F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D66A8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2BEE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91EA2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7a587c-a321-4902-8ac1-a0e01d21e6af">DPM</DPM_x0020_Author>
    <DPM_x0020_File_x0020_name xmlns="d27a587c-a321-4902-8ac1-a0e01d21e6af">R23-WRC23-C-0094!!MSW-A</DPM_x0020_File_x0020_name>
    <DPM_x0020_Version xmlns="d27a587c-a321-4902-8ac1-a0e01d21e6af">DPM_2022.05.12.01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7a587c-a321-4902-8ac1-a0e01d21e6af" targetNamespace="http://schemas.microsoft.com/office/2006/metadata/properties" ma:root="true" ma:fieldsID="d41af5c836d734370eb92e7ee5f83852" ns2:_="" ns3:_="">
    <xsd:import namespace="996b2e75-67fd-4955-a3b0-5ab9934cb50b"/>
    <xsd:import namespace="d27a587c-a321-4902-8ac1-a0e01d21e6a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587c-a321-4902-8ac1-a0e01d21e6a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27a587c-a321-4902-8ac1-a0e01d21e6af"/>
  </ds:schemaRefs>
</ds:datastoreItem>
</file>

<file path=customXml/itemProps2.xml><?xml version="1.0" encoding="utf-8"?>
<ds:datastoreItem xmlns:ds="http://schemas.openxmlformats.org/officeDocument/2006/customXml" ds:itemID="{C1BA6160-924E-48A6-BCCB-86C02DC0F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7a587c-a321-4902-8ac1-a0e01d21e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R23-WRC23-C-0094!!MSW-A</dc:title>
  <dc:creator>Documents Proposals Manager (DPM)</dc:creator>
  <cp:keywords>DPM_v2023.11.6.1_prod</cp:keywords>
  <cp:lastModifiedBy>Arabic-IR</cp:lastModifiedBy>
  <cp:revision>3</cp:revision>
  <cp:lastPrinted>2020-08-11T14:28:00Z</cp:lastPrinted>
  <dcterms:created xsi:type="dcterms:W3CDTF">2023-11-19T19:14:00Z</dcterms:created>
  <dcterms:modified xsi:type="dcterms:W3CDTF">2023-11-19T19:15:00Z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