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0AC3C6DB" w14:textId="77777777" w:rsidTr="0080079E">
        <w:trPr>
          <w:cantSplit/>
        </w:trPr>
        <w:tc>
          <w:tcPr>
            <w:tcW w:w="1418" w:type="dxa"/>
            <w:vAlign w:val="center"/>
          </w:tcPr>
          <w:p w14:paraId="37B090CC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7108047" wp14:editId="4F1619C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BAFB5A8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ED8B5CF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1DE8D0F9" wp14:editId="07A5B1D5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BF5DEB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3B06E64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287B9F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AD1460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26E164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4598F0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68B4CF5" w14:textId="77777777" w:rsidTr="0090121B">
        <w:trPr>
          <w:cantSplit/>
        </w:trPr>
        <w:tc>
          <w:tcPr>
            <w:tcW w:w="6911" w:type="dxa"/>
            <w:gridSpan w:val="2"/>
          </w:tcPr>
          <w:p w14:paraId="197871C2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CB0D294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8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87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68EC7F0E" w14:textId="77777777" w:rsidTr="0090121B">
        <w:trPr>
          <w:cantSplit/>
        </w:trPr>
        <w:tc>
          <w:tcPr>
            <w:tcW w:w="6911" w:type="dxa"/>
            <w:gridSpan w:val="2"/>
          </w:tcPr>
          <w:p w14:paraId="0914410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90E695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23 de octubre de 2023</w:t>
            </w:r>
          </w:p>
        </w:tc>
      </w:tr>
      <w:tr w:rsidR="000A5B9A" w:rsidRPr="0002785D" w14:paraId="7C3C66CD" w14:textId="77777777" w:rsidTr="0090121B">
        <w:trPr>
          <w:cantSplit/>
        </w:trPr>
        <w:tc>
          <w:tcPr>
            <w:tcW w:w="6911" w:type="dxa"/>
            <w:gridSpan w:val="2"/>
          </w:tcPr>
          <w:p w14:paraId="53D3225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5DA214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35E73797" w14:textId="77777777" w:rsidTr="006744FC">
        <w:trPr>
          <w:cantSplit/>
        </w:trPr>
        <w:tc>
          <w:tcPr>
            <w:tcW w:w="10031" w:type="dxa"/>
            <w:gridSpan w:val="4"/>
          </w:tcPr>
          <w:p w14:paraId="3440D2E4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96329D0" w14:textId="77777777" w:rsidTr="0050008E">
        <w:trPr>
          <w:cantSplit/>
        </w:trPr>
        <w:tc>
          <w:tcPr>
            <w:tcW w:w="10031" w:type="dxa"/>
            <w:gridSpan w:val="4"/>
          </w:tcPr>
          <w:p w14:paraId="024C6FA1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59255E" w14:paraId="6C2F4EA7" w14:textId="77777777" w:rsidTr="0050008E">
        <w:trPr>
          <w:cantSplit/>
        </w:trPr>
        <w:tc>
          <w:tcPr>
            <w:tcW w:w="10031" w:type="dxa"/>
            <w:gridSpan w:val="4"/>
          </w:tcPr>
          <w:p w14:paraId="7C47DE7D" w14:textId="39F1317F" w:rsidR="000A5B9A" w:rsidRPr="0042138D" w:rsidRDefault="00B8008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42138D">
              <w:rPr>
                <w:lang w:val="es-ES"/>
              </w:rPr>
              <w:t>PROPUESTAS PARA LOS TRABAJOS DE LA CONFERENCIA</w:t>
            </w:r>
          </w:p>
        </w:tc>
      </w:tr>
      <w:tr w:rsidR="000A5B9A" w:rsidRPr="0059255E" w14:paraId="2BAB33A0" w14:textId="77777777" w:rsidTr="0050008E">
        <w:trPr>
          <w:cantSplit/>
        </w:trPr>
        <w:tc>
          <w:tcPr>
            <w:tcW w:w="10031" w:type="dxa"/>
            <w:gridSpan w:val="4"/>
          </w:tcPr>
          <w:p w14:paraId="6DE95693" w14:textId="77777777" w:rsidR="000A5B9A" w:rsidRPr="0042138D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25563CB0" w14:textId="77777777" w:rsidTr="0050008E">
        <w:trPr>
          <w:cantSplit/>
        </w:trPr>
        <w:tc>
          <w:tcPr>
            <w:tcW w:w="10031" w:type="dxa"/>
            <w:gridSpan w:val="4"/>
          </w:tcPr>
          <w:p w14:paraId="61E83C18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1.8 del orden del día</w:t>
            </w:r>
          </w:p>
        </w:tc>
      </w:tr>
    </w:tbl>
    <w:bookmarkEnd w:id="5"/>
    <w:p w14:paraId="7862E8DA" w14:textId="77777777" w:rsidR="0059255E" w:rsidRPr="0037022E" w:rsidRDefault="0059255E" w:rsidP="0037022E">
      <w:r w:rsidRPr="00ED1619">
        <w:t>1.8</w:t>
      </w:r>
      <w:r w:rsidRPr="00ED1619">
        <w:tab/>
        <w:t>considerar, basándose en los estudios del UIT-R previstos en la Resolución </w:t>
      </w:r>
      <w:r w:rsidRPr="00ED1619">
        <w:rPr>
          <w:b/>
        </w:rPr>
        <w:t>171 (CMR</w:t>
      </w:r>
      <w:r w:rsidRPr="00ED1619">
        <w:rPr>
          <w:b/>
        </w:rPr>
        <w:noBreakHyphen/>
        <w:t>19)</w:t>
      </w:r>
      <w:r w:rsidRPr="00ED1619">
        <w:t>, medidas regulatorias adecuadas para examinar y, de ser necesario, enmendar la Resolución</w:t>
      </w:r>
      <w:r>
        <w:t> </w:t>
      </w:r>
      <w:r w:rsidRPr="00ED1619">
        <w:rPr>
          <w:b/>
        </w:rPr>
        <w:t>155 (Rev.CMR-19)</w:t>
      </w:r>
      <w:r w:rsidRPr="00ED1619">
        <w:t xml:space="preserve"> y el número</w:t>
      </w:r>
      <w:r>
        <w:t> </w:t>
      </w:r>
      <w:r w:rsidRPr="00ED1619">
        <w:rPr>
          <w:b/>
        </w:rPr>
        <w:t>5.484B</w:t>
      </w:r>
      <w:r w:rsidRPr="00ED1619">
        <w:t xml:space="preserve"> del RR con objeto de permitir la utilización de redes del servicio fijo por satélite para el control y las comunicaciones sin carga útil de sistemas de aeronaves no tripuladas;</w:t>
      </w:r>
    </w:p>
    <w:p w14:paraId="058BE6E3" w14:textId="77777777" w:rsidR="00363A65" w:rsidRDefault="00363A65" w:rsidP="002C1A52"/>
    <w:p w14:paraId="63255752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A93E238" w14:textId="77777777" w:rsidR="0059255E" w:rsidRPr="006537F1" w:rsidRDefault="0059255E" w:rsidP="00E87BBA">
      <w:pPr>
        <w:pStyle w:val="ArtNo"/>
      </w:pPr>
      <w:bookmarkStart w:id="6" w:name="_Toc48141301"/>
      <w:r w:rsidRPr="00E87BBA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6"/>
    </w:p>
    <w:p w14:paraId="065A5ABC" w14:textId="77777777" w:rsidR="0059255E" w:rsidRPr="00625DBA" w:rsidRDefault="0059255E" w:rsidP="00625DBA">
      <w:pPr>
        <w:pStyle w:val="Arttitle"/>
        <w:rPr>
          <w:lang w:val="es-ES"/>
        </w:rPr>
      </w:pPr>
      <w:bookmarkStart w:id="7" w:name="_Toc48141302"/>
      <w:r w:rsidRPr="00625DBA">
        <w:rPr>
          <w:lang w:val="es-ES"/>
        </w:rPr>
        <w:t>Atribuciones de frecuencia</w:t>
      </w:r>
      <w:bookmarkEnd w:id="7"/>
    </w:p>
    <w:p w14:paraId="53579059" w14:textId="77777777" w:rsidR="0059255E" w:rsidRPr="00625DBA" w:rsidRDefault="0059255E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61498D0F" w14:textId="77777777" w:rsidR="00577241" w:rsidRDefault="0059255E">
      <w:pPr>
        <w:pStyle w:val="Proposal"/>
      </w:pPr>
      <w:r>
        <w:t>SUP</w:t>
      </w:r>
      <w:r>
        <w:tab/>
        <w:t>AFCP/87A8/1</w:t>
      </w:r>
      <w:r>
        <w:rPr>
          <w:vanish/>
          <w:color w:val="7F7F7F" w:themeColor="text1" w:themeTint="80"/>
          <w:vertAlign w:val="superscript"/>
        </w:rPr>
        <w:t>#1612</w:t>
      </w:r>
    </w:p>
    <w:p w14:paraId="5DB55369" w14:textId="77777777" w:rsidR="0059255E" w:rsidRPr="00504BD7" w:rsidRDefault="0059255E" w:rsidP="007C70AA">
      <w:pPr>
        <w:pStyle w:val="Note"/>
      </w:pPr>
      <w:r w:rsidRPr="00504BD7">
        <w:rPr>
          <w:rStyle w:val="Artdef"/>
        </w:rPr>
        <w:t>5.484B</w:t>
      </w:r>
    </w:p>
    <w:p w14:paraId="104DD09E" w14:textId="0B59AD7E" w:rsidR="00577241" w:rsidRDefault="0059255E">
      <w:pPr>
        <w:pStyle w:val="Reasons"/>
      </w:pPr>
      <w:r>
        <w:rPr>
          <w:b/>
        </w:rPr>
        <w:t>Motivos:</w:t>
      </w:r>
      <w:r>
        <w:tab/>
      </w:r>
      <w:r w:rsidR="00B8008A">
        <w:t>Porque hasta ahora, no se ha identificado ninguna solución satisfactoria para el funcionamiento de las estaciones a bordo de aeronaves no tripuladas.</w:t>
      </w:r>
    </w:p>
    <w:p w14:paraId="1448FF57" w14:textId="77777777" w:rsidR="00577241" w:rsidRDefault="0059255E">
      <w:pPr>
        <w:pStyle w:val="Proposal"/>
      </w:pPr>
      <w:r>
        <w:t>SUP</w:t>
      </w:r>
      <w:r>
        <w:tab/>
        <w:t>AFCP/87A8/2</w:t>
      </w:r>
      <w:r>
        <w:rPr>
          <w:vanish/>
          <w:color w:val="7F7F7F" w:themeColor="text1" w:themeTint="80"/>
          <w:vertAlign w:val="superscript"/>
        </w:rPr>
        <w:t>#1613</w:t>
      </w:r>
    </w:p>
    <w:p w14:paraId="4F785A16" w14:textId="77777777" w:rsidR="0059255E" w:rsidRPr="00504BD7" w:rsidRDefault="0059255E" w:rsidP="007C70AA">
      <w:pPr>
        <w:pStyle w:val="ResNo"/>
      </w:pPr>
      <w:bookmarkStart w:id="8" w:name="_Toc36190191"/>
      <w:r w:rsidRPr="00504BD7">
        <w:t>RESOLUCIÓN 155 (REV.CMR-19)</w:t>
      </w:r>
      <w:bookmarkEnd w:id="8"/>
    </w:p>
    <w:p w14:paraId="5724E1A5" w14:textId="77777777" w:rsidR="0059255E" w:rsidRPr="00504BD7" w:rsidRDefault="0059255E" w:rsidP="007C70AA">
      <w:pPr>
        <w:pStyle w:val="Restitle"/>
      </w:pPr>
      <w:bookmarkStart w:id="9" w:name="_Toc36190192"/>
      <w:r w:rsidRPr="00504BD7">
        <w:t xml:space="preserve">Disposiciones reglamentarias relativas a las estaciones terrenas a bordo de aeronaves no tripuladas que funcionan con redes de satélites geoestacionarios del servicio fijo por satélite en determinadas bandas de frecuencias no </w:t>
      </w:r>
      <w:r w:rsidRPr="00504BD7">
        <w:br/>
        <w:t xml:space="preserve">sujetas a un Plan de los Apéndices 30, 30A y 30B para el control </w:t>
      </w:r>
      <w:r w:rsidRPr="00504BD7">
        <w:br/>
        <w:t xml:space="preserve">y las comunicaciones sin carga útil de sistemas de aeronaves </w:t>
      </w:r>
      <w:r w:rsidRPr="00504BD7">
        <w:br/>
        <w:t>no tripuladas en espacios aéreos no segregados</w:t>
      </w:r>
      <w:bookmarkEnd w:id="9"/>
    </w:p>
    <w:p w14:paraId="42380413" w14:textId="77777777" w:rsidR="00B8008A" w:rsidRDefault="00B8008A" w:rsidP="00B8008A">
      <w:pPr>
        <w:pStyle w:val="Reasons"/>
      </w:pPr>
      <w:r>
        <w:rPr>
          <w:b/>
        </w:rPr>
        <w:t>Motivos:</w:t>
      </w:r>
      <w:r>
        <w:tab/>
        <w:t>Porque hasta ahora, no se ha identificado ninguna solución satisfactoria para el funcionamiento de las estaciones a bordo de aeronaves no tripuladas.</w:t>
      </w:r>
    </w:p>
    <w:p w14:paraId="140D73CB" w14:textId="77777777" w:rsidR="00577241" w:rsidRDefault="0059255E">
      <w:pPr>
        <w:pStyle w:val="Proposal"/>
      </w:pPr>
      <w:r>
        <w:t>SUP</w:t>
      </w:r>
      <w:r>
        <w:tab/>
        <w:t>AFCP/87A8/3</w:t>
      </w:r>
      <w:r>
        <w:rPr>
          <w:vanish/>
          <w:color w:val="7F7F7F" w:themeColor="text1" w:themeTint="80"/>
          <w:vertAlign w:val="superscript"/>
        </w:rPr>
        <w:t>#1614</w:t>
      </w:r>
    </w:p>
    <w:p w14:paraId="631FE552" w14:textId="77777777" w:rsidR="0059255E" w:rsidRPr="00504BD7" w:rsidRDefault="0059255E" w:rsidP="007C70AA">
      <w:pPr>
        <w:pStyle w:val="ResNo"/>
      </w:pPr>
      <w:bookmarkStart w:id="10" w:name="_Toc36190207"/>
      <w:r w:rsidRPr="00504BD7">
        <w:t>RESOLUCIÓN 171 (CMR-19)</w:t>
      </w:r>
      <w:bookmarkEnd w:id="10"/>
    </w:p>
    <w:p w14:paraId="59AD6BEE" w14:textId="77777777" w:rsidR="0059255E" w:rsidRPr="00504BD7" w:rsidRDefault="0059255E" w:rsidP="007C70AA">
      <w:pPr>
        <w:pStyle w:val="Restitle"/>
      </w:pPr>
      <w:bookmarkStart w:id="11" w:name="_Toc36190208"/>
      <w:r w:rsidRPr="00504BD7">
        <w:t xml:space="preserve">Examen y posible revisión de la Resolución 155 (Rev.CMR-19) </w:t>
      </w:r>
      <w:r w:rsidRPr="00504BD7">
        <w:br/>
        <w:t>y del número 5.484B en las bandas de frecuencias</w:t>
      </w:r>
      <w:r w:rsidRPr="00504BD7">
        <w:br/>
        <w:t>a las que se aplican</w:t>
      </w:r>
      <w:bookmarkEnd w:id="11"/>
    </w:p>
    <w:p w14:paraId="1732AFFA" w14:textId="77777777" w:rsidR="00B8008A" w:rsidRDefault="00B8008A" w:rsidP="00B8008A">
      <w:pPr>
        <w:pStyle w:val="Reasons"/>
      </w:pPr>
      <w:r>
        <w:rPr>
          <w:b/>
        </w:rPr>
        <w:t>Motivos:</w:t>
      </w:r>
      <w:r>
        <w:tab/>
        <w:t>Porque hasta ahora, no se ha identificado ninguna solución satisfactoria para el funcionamiento de las estaciones a bordo de aeronaves no tripuladas.</w:t>
      </w:r>
    </w:p>
    <w:p w14:paraId="236EC88E" w14:textId="77777777" w:rsidR="00B8008A" w:rsidRDefault="00B8008A" w:rsidP="00B8008A">
      <w:pPr>
        <w:jc w:val="center"/>
      </w:pPr>
      <w:r>
        <w:t>_____________</w:t>
      </w:r>
    </w:p>
    <w:sectPr w:rsidR="00B8008A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4455" w14:textId="77777777" w:rsidR="00EB1E25" w:rsidRDefault="00EB1E25">
      <w:r>
        <w:separator/>
      </w:r>
    </w:p>
  </w:endnote>
  <w:endnote w:type="continuationSeparator" w:id="0">
    <w:p w14:paraId="12272137" w14:textId="77777777" w:rsidR="00EB1E25" w:rsidRDefault="00EB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514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D445E" w14:textId="7DCBF16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138D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84B0" w14:textId="22B43D68" w:rsidR="0077084A" w:rsidRDefault="0059255E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7BBA">
      <w:rPr>
        <w:lang w:val="en-US"/>
      </w:rPr>
      <w:t>P:\ESP\ITU-R\CONF-R\CMR23\000\087ADD08S.docx</w:t>
    </w:r>
    <w:r>
      <w:fldChar w:fldCharType="end"/>
    </w:r>
    <w:r w:rsidRPr="0059255E">
      <w:rPr>
        <w:lang w:val="en-US"/>
      </w:rPr>
      <w:t xml:space="preserve"> </w:t>
    </w:r>
    <w:r>
      <w:rPr>
        <w:lang w:val="en-US"/>
      </w:rPr>
      <w:t>(529997)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3B27" w14:textId="7FBA6FC6" w:rsidR="0077084A" w:rsidRPr="0059255E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7BBA">
      <w:rPr>
        <w:lang w:val="en-US"/>
      </w:rPr>
      <w:t>P:\ESP\ITU-R\CONF-R\CMR23\000\087ADD08S.docx</w:t>
    </w:r>
    <w:r>
      <w:fldChar w:fldCharType="end"/>
    </w:r>
    <w:r w:rsidR="0059255E" w:rsidRPr="0059255E">
      <w:rPr>
        <w:lang w:val="en-US"/>
      </w:rPr>
      <w:t xml:space="preserve"> </w:t>
    </w:r>
    <w:r w:rsidR="0059255E">
      <w:rPr>
        <w:lang w:val="en-US"/>
      </w:rPr>
      <w:t>(529997)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0E80" w14:textId="77777777" w:rsidR="00EB1E25" w:rsidRDefault="00EB1E25">
      <w:r>
        <w:rPr>
          <w:b/>
        </w:rPr>
        <w:t>_______________</w:t>
      </w:r>
    </w:p>
  </w:footnote>
  <w:footnote w:type="continuationSeparator" w:id="0">
    <w:p w14:paraId="7849EFE3" w14:textId="77777777" w:rsidR="00EB1E25" w:rsidRDefault="00EB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6CF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008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D4E77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87(Add.8)-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0353872">
    <w:abstractNumId w:val="8"/>
  </w:num>
  <w:num w:numId="2" w16cid:durableId="104217604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38166607">
    <w:abstractNumId w:val="9"/>
  </w:num>
  <w:num w:numId="4" w16cid:durableId="252013591">
    <w:abstractNumId w:val="7"/>
  </w:num>
  <w:num w:numId="5" w16cid:durableId="1415125909">
    <w:abstractNumId w:val="6"/>
  </w:num>
  <w:num w:numId="6" w16cid:durableId="437601336">
    <w:abstractNumId w:val="5"/>
  </w:num>
  <w:num w:numId="7" w16cid:durableId="968055144">
    <w:abstractNumId w:val="4"/>
  </w:num>
  <w:num w:numId="8" w16cid:durableId="1275139301">
    <w:abstractNumId w:val="3"/>
  </w:num>
  <w:num w:numId="9" w16cid:durableId="629242428">
    <w:abstractNumId w:val="2"/>
  </w:num>
  <w:num w:numId="10" w16cid:durableId="542134898">
    <w:abstractNumId w:val="1"/>
  </w:num>
  <w:num w:numId="11" w16cid:durableId="34926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6D46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2138D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77241"/>
    <w:rsid w:val="0058350F"/>
    <w:rsid w:val="00583C7E"/>
    <w:rsid w:val="0059098E"/>
    <w:rsid w:val="0059255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008A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7BBA"/>
    <w:rsid w:val="00EA77F0"/>
    <w:rsid w:val="00EB1E25"/>
    <w:rsid w:val="00F32316"/>
    <w:rsid w:val="00F66597"/>
    <w:rsid w:val="00F675D0"/>
    <w:rsid w:val="00F8150C"/>
    <w:rsid w:val="00FA6B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FA22ED"/>
  <w15:docId w15:val="{5BE34CB8-7785-483D-A80B-43CD5A6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8008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8008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R23-WRC23-C-0087!A8!MSW-S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71DB0-B530-4AB5-A0B5-A69A7B3FC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F05F9-1C17-486E-A570-E74D6603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19504-3148-46A1-9D38-0AAB9DE654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F558C7-8324-4990-B76E-E0963EA42BE3}">
  <ds:schemaRefs>
    <ds:schemaRef ds:uri="32a1a8c5-2265-4ebc-b7a0-2071e2c5c9bb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B640639-0EED-4C20-B5A3-5873A125D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R23-WRC23-C-0087!A8!MSW-S</vt:lpstr>
      <vt:lpstr>R23-WRC23-C-0087!A8!MSW-S</vt:lpstr>
    </vt:vector>
  </TitlesOfParts>
  <Manager>Secretaría General - Pool</Manager>
  <Company>Unión Internacional de Telecomunicaciones (UIT)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R23-WRC23-C-0087!A8!MSW-S</dc:title>
  <dc:subject>Conferencia Mundial de Radiocomunicaciones - 2019</dc:subject>
  <dc:creator>Documents Proposals Manager (DPM)</dc:creator>
  <cp:keywords>DPM_v2023.8.1.1_prod</cp:keywords>
  <cp:lastModifiedBy>Spanish</cp:lastModifiedBy>
  <cp:revision>3</cp:revision>
  <cp:lastPrinted>2003-02-19T20:20:00Z</cp:lastPrinted>
  <dcterms:created xsi:type="dcterms:W3CDTF">2023-11-17T14:50:00Z</dcterms:created>
  <dcterms:modified xsi:type="dcterms:W3CDTF">2023-11-17T14:52:00Z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