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311"/>
        <w:gridCol w:w="1809"/>
      </w:tblGrid>
      <w:tr w:rsidR="00C1305F" w:rsidRPr="00E270E0" w14:paraId="1CC1D3EA" w14:textId="77777777" w:rsidTr="00C1305F">
        <w:trPr>
          <w:cantSplit/>
        </w:trPr>
        <w:tc>
          <w:tcPr>
            <w:tcW w:w="1418" w:type="dxa"/>
            <w:vAlign w:val="center"/>
          </w:tcPr>
          <w:p w14:paraId="1BAAF5E6" w14:textId="77777777" w:rsidR="00C1305F" w:rsidRPr="00E270E0" w:rsidRDefault="00C1305F" w:rsidP="007364E0">
            <w:pPr>
              <w:spacing w:before="0"/>
              <w:rPr>
                <w:rFonts w:ascii="Verdana" w:hAnsi="Verdana"/>
                <w:b/>
                <w:bCs/>
                <w:sz w:val="20"/>
              </w:rPr>
            </w:pPr>
            <w:r w:rsidRPr="00E270E0">
              <w:drawing>
                <wp:inline distT="0" distB="0" distL="0" distR="0" wp14:anchorId="6D4F0E0F" wp14:editId="0CDB5368">
                  <wp:extent cx="713105" cy="7867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3105" cy="786765"/>
                          </a:xfrm>
                          <a:prstGeom prst="rect">
                            <a:avLst/>
                          </a:prstGeom>
                          <a:noFill/>
                        </pic:spPr>
                      </pic:pic>
                    </a:graphicData>
                  </a:graphic>
                </wp:inline>
              </w:drawing>
            </w:r>
          </w:p>
        </w:tc>
        <w:tc>
          <w:tcPr>
            <w:tcW w:w="6804" w:type="dxa"/>
            <w:gridSpan w:val="2"/>
          </w:tcPr>
          <w:p w14:paraId="08A83939" w14:textId="0A821C50" w:rsidR="00C1305F" w:rsidRPr="00E270E0" w:rsidRDefault="00C1305F" w:rsidP="007364E0">
            <w:pPr>
              <w:spacing w:before="400" w:after="48"/>
              <w:rPr>
                <w:rFonts w:ascii="Verdana" w:hAnsi="Verdana"/>
                <w:b/>
                <w:bCs/>
                <w:sz w:val="20"/>
              </w:rPr>
            </w:pPr>
            <w:r w:rsidRPr="00E270E0">
              <w:rPr>
                <w:rFonts w:ascii="Verdana" w:hAnsi="Verdana"/>
                <w:b/>
                <w:bCs/>
                <w:sz w:val="20"/>
              </w:rPr>
              <w:t>Conférence mondiale des radiocommunications (CMR-23)</w:t>
            </w:r>
            <w:r w:rsidRPr="00E270E0">
              <w:rPr>
                <w:rFonts w:ascii="Verdana" w:hAnsi="Verdana"/>
                <w:b/>
                <w:bCs/>
                <w:sz w:val="20"/>
              </w:rPr>
              <w:br/>
            </w:r>
            <w:r w:rsidRPr="00E270E0">
              <w:rPr>
                <w:rFonts w:ascii="Verdana" w:hAnsi="Verdana"/>
                <w:b/>
                <w:bCs/>
                <w:sz w:val="18"/>
                <w:szCs w:val="18"/>
              </w:rPr>
              <w:t xml:space="preserve">Dubaï, 20 novembre </w:t>
            </w:r>
            <w:r w:rsidR="007A24BE" w:rsidRPr="00E270E0">
              <w:rPr>
                <w:rFonts w:ascii="Verdana" w:hAnsi="Verdana"/>
                <w:b/>
                <w:bCs/>
                <w:sz w:val="18"/>
                <w:szCs w:val="18"/>
              </w:rPr>
              <w:t>–</w:t>
            </w:r>
            <w:r w:rsidRPr="00E270E0">
              <w:rPr>
                <w:rFonts w:ascii="Verdana" w:hAnsi="Verdana"/>
                <w:b/>
                <w:bCs/>
                <w:sz w:val="18"/>
                <w:szCs w:val="18"/>
              </w:rPr>
              <w:t xml:space="preserve"> 15 décembre 2023</w:t>
            </w:r>
          </w:p>
        </w:tc>
        <w:tc>
          <w:tcPr>
            <w:tcW w:w="1809" w:type="dxa"/>
            <w:vAlign w:val="center"/>
          </w:tcPr>
          <w:p w14:paraId="38A7E9D1" w14:textId="77777777" w:rsidR="00C1305F" w:rsidRPr="00E270E0" w:rsidRDefault="00C1305F" w:rsidP="007364E0">
            <w:pPr>
              <w:spacing w:before="0"/>
            </w:pPr>
            <w:r w:rsidRPr="00E270E0">
              <w:drawing>
                <wp:inline distT="0" distB="0" distL="0" distR="0" wp14:anchorId="551B7D4B" wp14:editId="1AA28F26">
                  <wp:extent cx="1015340" cy="1015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9632" cy="1029632"/>
                          </a:xfrm>
                          <a:prstGeom prst="rect">
                            <a:avLst/>
                          </a:prstGeom>
                          <a:noFill/>
                          <a:ln>
                            <a:noFill/>
                          </a:ln>
                        </pic:spPr>
                      </pic:pic>
                    </a:graphicData>
                  </a:graphic>
                </wp:inline>
              </w:drawing>
            </w:r>
          </w:p>
        </w:tc>
      </w:tr>
      <w:tr w:rsidR="00BB1D82" w:rsidRPr="00E270E0" w14:paraId="1D2097F2" w14:textId="77777777" w:rsidTr="0050008E">
        <w:trPr>
          <w:cantSplit/>
        </w:trPr>
        <w:tc>
          <w:tcPr>
            <w:tcW w:w="6911" w:type="dxa"/>
            <w:gridSpan w:val="2"/>
            <w:tcBorders>
              <w:bottom w:val="single" w:sz="12" w:space="0" w:color="auto"/>
            </w:tcBorders>
          </w:tcPr>
          <w:p w14:paraId="52EB7B71" w14:textId="77777777" w:rsidR="00BB1D82" w:rsidRPr="00E270E0" w:rsidRDefault="00BB1D82" w:rsidP="007364E0">
            <w:pPr>
              <w:spacing w:before="0" w:after="48"/>
              <w:rPr>
                <w:b/>
                <w:smallCaps/>
                <w:szCs w:val="24"/>
              </w:rPr>
            </w:pPr>
          </w:p>
        </w:tc>
        <w:tc>
          <w:tcPr>
            <w:tcW w:w="3120" w:type="dxa"/>
            <w:gridSpan w:val="2"/>
            <w:tcBorders>
              <w:bottom w:val="single" w:sz="12" w:space="0" w:color="auto"/>
            </w:tcBorders>
          </w:tcPr>
          <w:p w14:paraId="2EEB8A2C" w14:textId="77777777" w:rsidR="00BB1D82" w:rsidRPr="00E270E0" w:rsidRDefault="00BB1D82" w:rsidP="007364E0">
            <w:pPr>
              <w:spacing w:before="0"/>
              <w:rPr>
                <w:rFonts w:ascii="Verdana" w:hAnsi="Verdana"/>
                <w:szCs w:val="24"/>
              </w:rPr>
            </w:pPr>
          </w:p>
        </w:tc>
      </w:tr>
      <w:tr w:rsidR="00BB1D82" w:rsidRPr="00E270E0" w14:paraId="4B9B31DF" w14:textId="77777777" w:rsidTr="00BB1D82">
        <w:trPr>
          <w:cantSplit/>
        </w:trPr>
        <w:tc>
          <w:tcPr>
            <w:tcW w:w="6911" w:type="dxa"/>
            <w:gridSpan w:val="2"/>
            <w:tcBorders>
              <w:top w:val="single" w:sz="12" w:space="0" w:color="auto"/>
            </w:tcBorders>
          </w:tcPr>
          <w:p w14:paraId="0671F037" w14:textId="77777777" w:rsidR="00BB1D82" w:rsidRPr="00E270E0" w:rsidRDefault="00BB1D82" w:rsidP="007364E0">
            <w:pPr>
              <w:spacing w:before="0" w:after="48"/>
              <w:rPr>
                <w:rFonts w:ascii="Verdana" w:hAnsi="Verdana"/>
                <w:b/>
                <w:smallCaps/>
                <w:sz w:val="20"/>
              </w:rPr>
            </w:pPr>
          </w:p>
        </w:tc>
        <w:tc>
          <w:tcPr>
            <w:tcW w:w="3120" w:type="dxa"/>
            <w:gridSpan w:val="2"/>
            <w:tcBorders>
              <w:top w:val="single" w:sz="12" w:space="0" w:color="auto"/>
            </w:tcBorders>
          </w:tcPr>
          <w:p w14:paraId="5C192487" w14:textId="77777777" w:rsidR="00BB1D82" w:rsidRPr="00E270E0" w:rsidRDefault="00BB1D82" w:rsidP="007364E0">
            <w:pPr>
              <w:spacing w:before="0"/>
              <w:rPr>
                <w:rFonts w:ascii="Verdana" w:hAnsi="Verdana"/>
                <w:sz w:val="20"/>
              </w:rPr>
            </w:pPr>
          </w:p>
        </w:tc>
      </w:tr>
      <w:tr w:rsidR="00BB1D82" w:rsidRPr="00E270E0" w14:paraId="5E313058" w14:textId="77777777" w:rsidTr="00BB1D82">
        <w:trPr>
          <w:cantSplit/>
        </w:trPr>
        <w:tc>
          <w:tcPr>
            <w:tcW w:w="6911" w:type="dxa"/>
            <w:gridSpan w:val="2"/>
          </w:tcPr>
          <w:p w14:paraId="1BD52842" w14:textId="77777777" w:rsidR="00BB1D82" w:rsidRPr="00E270E0" w:rsidRDefault="006D4724" w:rsidP="007364E0">
            <w:pPr>
              <w:spacing w:before="0"/>
              <w:rPr>
                <w:rFonts w:ascii="Verdana" w:hAnsi="Verdana"/>
                <w:b/>
                <w:sz w:val="20"/>
              </w:rPr>
            </w:pPr>
            <w:r w:rsidRPr="00E270E0">
              <w:rPr>
                <w:rFonts w:ascii="Verdana" w:hAnsi="Verdana"/>
                <w:b/>
                <w:sz w:val="20"/>
              </w:rPr>
              <w:t>SÉANCE PLÉNIÈRE</w:t>
            </w:r>
          </w:p>
        </w:tc>
        <w:tc>
          <w:tcPr>
            <w:tcW w:w="3120" w:type="dxa"/>
            <w:gridSpan w:val="2"/>
          </w:tcPr>
          <w:p w14:paraId="5B762333" w14:textId="77777777" w:rsidR="00BB1D82" w:rsidRPr="00E270E0" w:rsidRDefault="006D4724" w:rsidP="007364E0">
            <w:pPr>
              <w:spacing w:before="0"/>
              <w:rPr>
                <w:rFonts w:ascii="Verdana" w:hAnsi="Verdana"/>
                <w:sz w:val="20"/>
              </w:rPr>
            </w:pPr>
            <w:r w:rsidRPr="00E270E0">
              <w:rPr>
                <w:rFonts w:ascii="Verdana" w:hAnsi="Verdana"/>
                <w:b/>
                <w:sz w:val="20"/>
              </w:rPr>
              <w:t>Addendum 5 au</w:t>
            </w:r>
            <w:r w:rsidRPr="00E270E0">
              <w:rPr>
                <w:rFonts w:ascii="Verdana" w:hAnsi="Verdana"/>
                <w:b/>
                <w:sz w:val="20"/>
              </w:rPr>
              <w:br/>
              <w:t>Document 87</w:t>
            </w:r>
            <w:r w:rsidR="00BB1D82" w:rsidRPr="00E270E0">
              <w:rPr>
                <w:rFonts w:ascii="Verdana" w:hAnsi="Verdana"/>
                <w:b/>
                <w:sz w:val="20"/>
              </w:rPr>
              <w:t>-</w:t>
            </w:r>
            <w:r w:rsidRPr="00E270E0">
              <w:rPr>
                <w:rFonts w:ascii="Verdana" w:hAnsi="Verdana"/>
                <w:b/>
                <w:sz w:val="20"/>
              </w:rPr>
              <w:t>F</w:t>
            </w:r>
          </w:p>
        </w:tc>
      </w:tr>
      <w:tr w:rsidR="00690C7B" w:rsidRPr="00E270E0" w14:paraId="2655B8DA" w14:textId="77777777" w:rsidTr="00BB1D82">
        <w:trPr>
          <w:cantSplit/>
        </w:trPr>
        <w:tc>
          <w:tcPr>
            <w:tcW w:w="6911" w:type="dxa"/>
            <w:gridSpan w:val="2"/>
          </w:tcPr>
          <w:p w14:paraId="2018917D" w14:textId="77777777" w:rsidR="00690C7B" w:rsidRPr="00E270E0" w:rsidRDefault="00690C7B" w:rsidP="007364E0">
            <w:pPr>
              <w:spacing w:before="0"/>
              <w:rPr>
                <w:rFonts w:ascii="Verdana" w:hAnsi="Verdana"/>
                <w:b/>
                <w:sz w:val="20"/>
              </w:rPr>
            </w:pPr>
          </w:p>
        </w:tc>
        <w:tc>
          <w:tcPr>
            <w:tcW w:w="3120" w:type="dxa"/>
            <w:gridSpan w:val="2"/>
          </w:tcPr>
          <w:p w14:paraId="69922300" w14:textId="77777777" w:rsidR="00690C7B" w:rsidRPr="00E270E0" w:rsidRDefault="00690C7B" w:rsidP="007364E0">
            <w:pPr>
              <w:spacing w:before="0"/>
              <w:rPr>
                <w:rFonts w:ascii="Verdana" w:hAnsi="Verdana"/>
                <w:b/>
                <w:sz w:val="20"/>
              </w:rPr>
            </w:pPr>
            <w:r w:rsidRPr="00E270E0">
              <w:rPr>
                <w:rFonts w:ascii="Verdana" w:hAnsi="Verdana"/>
                <w:b/>
                <w:sz w:val="20"/>
              </w:rPr>
              <w:t>23 octobre 2023</w:t>
            </w:r>
          </w:p>
        </w:tc>
      </w:tr>
      <w:tr w:rsidR="00690C7B" w:rsidRPr="00E270E0" w14:paraId="45655414" w14:textId="77777777" w:rsidTr="00BB1D82">
        <w:trPr>
          <w:cantSplit/>
        </w:trPr>
        <w:tc>
          <w:tcPr>
            <w:tcW w:w="6911" w:type="dxa"/>
            <w:gridSpan w:val="2"/>
          </w:tcPr>
          <w:p w14:paraId="41A154B8" w14:textId="77777777" w:rsidR="00690C7B" w:rsidRPr="00E270E0" w:rsidRDefault="00690C7B" w:rsidP="007364E0">
            <w:pPr>
              <w:spacing w:before="0" w:after="48"/>
              <w:rPr>
                <w:rFonts w:ascii="Verdana" w:hAnsi="Verdana"/>
                <w:b/>
                <w:smallCaps/>
                <w:sz w:val="20"/>
              </w:rPr>
            </w:pPr>
          </w:p>
        </w:tc>
        <w:tc>
          <w:tcPr>
            <w:tcW w:w="3120" w:type="dxa"/>
            <w:gridSpan w:val="2"/>
          </w:tcPr>
          <w:p w14:paraId="653BE24B" w14:textId="77777777" w:rsidR="00690C7B" w:rsidRPr="00E270E0" w:rsidRDefault="00690C7B" w:rsidP="007364E0">
            <w:pPr>
              <w:spacing w:before="0"/>
              <w:rPr>
                <w:rFonts w:ascii="Verdana" w:hAnsi="Verdana"/>
                <w:b/>
                <w:sz w:val="20"/>
              </w:rPr>
            </w:pPr>
            <w:r w:rsidRPr="00E270E0">
              <w:rPr>
                <w:rFonts w:ascii="Verdana" w:hAnsi="Verdana"/>
                <w:b/>
                <w:sz w:val="20"/>
              </w:rPr>
              <w:t>Original: anglais</w:t>
            </w:r>
          </w:p>
        </w:tc>
      </w:tr>
      <w:tr w:rsidR="00690C7B" w:rsidRPr="00E270E0" w14:paraId="3F628016" w14:textId="77777777" w:rsidTr="00C11970">
        <w:trPr>
          <w:cantSplit/>
        </w:trPr>
        <w:tc>
          <w:tcPr>
            <w:tcW w:w="10031" w:type="dxa"/>
            <w:gridSpan w:val="4"/>
          </w:tcPr>
          <w:p w14:paraId="5B574E44" w14:textId="77777777" w:rsidR="00690C7B" w:rsidRPr="00E270E0" w:rsidRDefault="00690C7B" w:rsidP="007364E0">
            <w:pPr>
              <w:spacing w:before="0"/>
              <w:rPr>
                <w:rFonts w:ascii="Verdana" w:hAnsi="Verdana"/>
                <w:b/>
                <w:sz w:val="20"/>
              </w:rPr>
            </w:pPr>
          </w:p>
        </w:tc>
      </w:tr>
      <w:tr w:rsidR="00690C7B" w:rsidRPr="00E270E0" w14:paraId="53DA1CFB" w14:textId="77777777" w:rsidTr="0050008E">
        <w:trPr>
          <w:cantSplit/>
        </w:trPr>
        <w:tc>
          <w:tcPr>
            <w:tcW w:w="10031" w:type="dxa"/>
            <w:gridSpan w:val="4"/>
          </w:tcPr>
          <w:p w14:paraId="40D8AFB9" w14:textId="77777777" w:rsidR="00690C7B" w:rsidRPr="00E270E0" w:rsidRDefault="00690C7B" w:rsidP="007364E0">
            <w:pPr>
              <w:pStyle w:val="Source"/>
            </w:pPr>
            <w:r w:rsidRPr="00E270E0">
              <w:t>Propositions africaines communes</w:t>
            </w:r>
          </w:p>
        </w:tc>
      </w:tr>
      <w:tr w:rsidR="00690C7B" w:rsidRPr="00E270E0" w14:paraId="39DF3B87" w14:textId="77777777" w:rsidTr="0050008E">
        <w:trPr>
          <w:cantSplit/>
        </w:trPr>
        <w:tc>
          <w:tcPr>
            <w:tcW w:w="10031" w:type="dxa"/>
            <w:gridSpan w:val="4"/>
          </w:tcPr>
          <w:p w14:paraId="71969BAD" w14:textId="4F234B7C" w:rsidR="00690C7B" w:rsidRPr="00E270E0" w:rsidRDefault="000425C8" w:rsidP="007364E0">
            <w:pPr>
              <w:pStyle w:val="Title1"/>
            </w:pPr>
            <w:bookmarkStart w:id="0" w:name="dtitle1" w:colFirst="0" w:colLast="0"/>
            <w:r w:rsidRPr="00E270E0">
              <w:t>PROPOSITION</w:t>
            </w:r>
            <w:r w:rsidR="008E7330">
              <w:t>S</w:t>
            </w:r>
            <w:r w:rsidRPr="00E270E0">
              <w:t xml:space="preserve"> POUR LES TRAVAUX DE LA CONFÉRENCE</w:t>
            </w:r>
          </w:p>
        </w:tc>
      </w:tr>
      <w:tr w:rsidR="00690C7B" w:rsidRPr="00E270E0" w14:paraId="203666D9" w14:textId="77777777" w:rsidTr="0050008E">
        <w:trPr>
          <w:cantSplit/>
        </w:trPr>
        <w:tc>
          <w:tcPr>
            <w:tcW w:w="10031" w:type="dxa"/>
            <w:gridSpan w:val="4"/>
          </w:tcPr>
          <w:p w14:paraId="43FB714D" w14:textId="77777777" w:rsidR="00690C7B" w:rsidRPr="00E270E0" w:rsidRDefault="00690C7B" w:rsidP="007364E0">
            <w:pPr>
              <w:pStyle w:val="Title2"/>
            </w:pPr>
            <w:bookmarkStart w:id="1" w:name="dtitle2" w:colFirst="0" w:colLast="0"/>
            <w:bookmarkEnd w:id="0"/>
          </w:p>
        </w:tc>
      </w:tr>
      <w:tr w:rsidR="00690C7B" w:rsidRPr="00E270E0" w14:paraId="4277ACBA" w14:textId="77777777" w:rsidTr="0050008E">
        <w:trPr>
          <w:cantSplit/>
        </w:trPr>
        <w:tc>
          <w:tcPr>
            <w:tcW w:w="10031" w:type="dxa"/>
            <w:gridSpan w:val="4"/>
          </w:tcPr>
          <w:p w14:paraId="62145E6F" w14:textId="77777777" w:rsidR="00690C7B" w:rsidRPr="00E270E0" w:rsidRDefault="00690C7B" w:rsidP="007364E0">
            <w:pPr>
              <w:pStyle w:val="Agendaitem"/>
              <w:rPr>
                <w:lang w:val="fr-FR"/>
              </w:rPr>
            </w:pPr>
            <w:bookmarkStart w:id="2" w:name="dtitle3" w:colFirst="0" w:colLast="0"/>
            <w:bookmarkEnd w:id="1"/>
            <w:r w:rsidRPr="00E270E0">
              <w:rPr>
                <w:lang w:val="fr-FR"/>
              </w:rPr>
              <w:t>Point 1.5 de l'ordre du jour</w:t>
            </w:r>
          </w:p>
        </w:tc>
      </w:tr>
    </w:tbl>
    <w:bookmarkEnd w:id="2"/>
    <w:p w14:paraId="042A44B3" w14:textId="77777777" w:rsidR="00653572" w:rsidRPr="00E270E0" w:rsidRDefault="00653572" w:rsidP="007364E0">
      <w:r w:rsidRPr="00E270E0">
        <w:rPr>
          <w:bCs/>
          <w:iCs/>
        </w:rPr>
        <w:t>1.5</w:t>
      </w:r>
      <w:r w:rsidRPr="00E270E0">
        <w:rPr>
          <w:bCs/>
          <w:iCs/>
        </w:rPr>
        <w:tab/>
        <w:t xml:space="preserve">examiner l'utilisation du spectre et les besoins de spectre des services existants dans la bande de fréquences 470-960 MHz en Région 1 et envisager les mesures réglementaires qui pourraient être prises dans la bande de fréquences 470-694 MHz en Région 1 compte tenu de l'examen effectué conformément à la Résolution </w:t>
      </w:r>
      <w:r w:rsidRPr="00E270E0">
        <w:rPr>
          <w:b/>
          <w:bCs/>
          <w:iCs/>
        </w:rPr>
        <w:t>235 (CMR-15)</w:t>
      </w:r>
      <w:r w:rsidRPr="00E270E0">
        <w:rPr>
          <w:bCs/>
          <w:iCs/>
        </w:rPr>
        <w:t>;</w:t>
      </w:r>
    </w:p>
    <w:p w14:paraId="649A346F" w14:textId="770FB7C7" w:rsidR="003A583E" w:rsidRPr="00E270E0" w:rsidRDefault="000425C8" w:rsidP="007364E0">
      <w:pPr>
        <w:pStyle w:val="Headingb"/>
      </w:pPr>
      <w:r w:rsidRPr="00E270E0">
        <w:t>Introduction</w:t>
      </w:r>
    </w:p>
    <w:p w14:paraId="33E8D736" w14:textId="011F942E" w:rsidR="000425C8" w:rsidRPr="00E270E0" w:rsidRDefault="000425C8" w:rsidP="007364E0">
      <w:r w:rsidRPr="00E270E0">
        <w:t>Ce point de l'ordre du jour porte sur la future utilisation du spectre dans la bande de fréquences</w:t>
      </w:r>
      <w:r w:rsidR="007364E0">
        <w:t xml:space="preserve"> </w:t>
      </w:r>
      <w:r w:rsidRPr="00E270E0">
        <w:t>470</w:t>
      </w:r>
      <w:r w:rsidR="002F5780" w:rsidRPr="00E270E0">
        <w:noBreakHyphen/>
      </w:r>
      <w:r w:rsidRPr="00E270E0">
        <w:t>694</w:t>
      </w:r>
      <w:r w:rsidR="002F5780" w:rsidRPr="00E270E0">
        <w:t> </w:t>
      </w:r>
      <w:r w:rsidRPr="00E270E0">
        <w:t xml:space="preserve">MHz en Région 1. À cet égard, un examen de l'utilisation actuelle du spectre et une étude </w:t>
      </w:r>
      <w:r w:rsidR="00E905AD" w:rsidRPr="00E270E0">
        <w:t>sur les</w:t>
      </w:r>
      <w:r w:rsidRPr="00E270E0">
        <w:t xml:space="preserve"> futurs besoins de spectre dans la bande de fréquences 470</w:t>
      </w:r>
      <w:r w:rsidR="000D69E4">
        <w:t>-</w:t>
      </w:r>
      <w:r w:rsidRPr="00E270E0">
        <w:t>960</w:t>
      </w:r>
      <w:r w:rsidR="007364E0">
        <w:t xml:space="preserve"> </w:t>
      </w:r>
      <w:r w:rsidRPr="00E270E0">
        <w:t xml:space="preserve">MHz ont été demandés, ainsi qu'une évaluation des résultats des études de partage et de compatibilité entre le service de radiodiffusion et le service mobile, </w:t>
      </w:r>
      <w:r w:rsidR="00E905AD" w:rsidRPr="00E270E0">
        <w:t>à l</w:t>
      </w:r>
      <w:r w:rsidR="007364E0">
        <w:t>'</w:t>
      </w:r>
      <w:r w:rsidR="00E905AD" w:rsidRPr="00E270E0">
        <w:t>exception du service</w:t>
      </w:r>
      <w:r w:rsidRPr="00E270E0">
        <w:t xml:space="preserve"> mobile aéronautique, dans la bande de fréquences 470</w:t>
      </w:r>
      <w:r w:rsidR="000D69E4">
        <w:t>-</w:t>
      </w:r>
      <w:r w:rsidRPr="00E270E0">
        <w:t>694</w:t>
      </w:r>
      <w:r w:rsidR="007364E0">
        <w:t xml:space="preserve"> </w:t>
      </w:r>
      <w:r w:rsidRPr="00E270E0">
        <w:t>MHz, conformément à la Résolution</w:t>
      </w:r>
      <w:r w:rsidR="007364E0">
        <w:t xml:space="preserve"> </w:t>
      </w:r>
      <w:r w:rsidRPr="00E270E0">
        <w:rPr>
          <w:b/>
          <w:bCs/>
        </w:rPr>
        <w:t>235</w:t>
      </w:r>
      <w:r w:rsidR="007364E0">
        <w:rPr>
          <w:b/>
          <w:bCs/>
        </w:rPr>
        <w:t xml:space="preserve"> </w:t>
      </w:r>
      <w:r w:rsidRPr="00E270E0">
        <w:rPr>
          <w:b/>
          <w:bCs/>
        </w:rPr>
        <w:t>(CMR</w:t>
      </w:r>
      <w:r w:rsidR="000D69E4">
        <w:rPr>
          <w:b/>
          <w:bCs/>
        </w:rPr>
        <w:t>-</w:t>
      </w:r>
      <w:r w:rsidRPr="00E270E0">
        <w:rPr>
          <w:b/>
          <w:bCs/>
        </w:rPr>
        <w:t>15)</w:t>
      </w:r>
      <w:r w:rsidRPr="00E270E0">
        <w:t xml:space="preserve"> en vue d'examiner les mesures réglementaires qui pourraient être prises.</w:t>
      </w:r>
    </w:p>
    <w:p w14:paraId="36EA2303" w14:textId="25278F8F" w:rsidR="000425C8" w:rsidRPr="00E270E0" w:rsidRDefault="000425C8" w:rsidP="007364E0">
      <w:r w:rsidRPr="00E270E0">
        <w:t>La bande de fréquences 470</w:t>
      </w:r>
      <w:r w:rsidR="000D69E4">
        <w:t>-</w:t>
      </w:r>
      <w:r w:rsidRPr="00E270E0">
        <w:t>960</w:t>
      </w:r>
      <w:r w:rsidR="007364E0">
        <w:t xml:space="preserve"> </w:t>
      </w:r>
      <w:r w:rsidRPr="00E270E0">
        <w:t>MHz, ou des parties de cette bande, est attribuée aux services suivants à titre primaire en Région 1: service de radiodiffusion dans la bande de fréquences, service mobile, sau</w:t>
      </w:r>
      <w:r w:rsidR="00E905AD" w:rsidRPr="00E270E0">
        <w:t xml:space="preserve">f </w:t>
      </w:r>
      <w:r w:rsidRPr="00E270E0">
        <w:t>mobile aéronautique, dans la bande de fréquences 694</w:t>
      </w:r>
      <w:r w:rsidR="000D69E4">
        <w:t>-</w:t>
      </w:r>
      <w:r w:rsidRPr="00E270E0">
        <w:t>960</w:t>
      </w:r>
      <w:r w:rsidR="007364E0">
        <w:t xml:space="preserve"> </w:t>
      </w:r>
      <w:r w:rsidRPr="00E270E0">
        <w:t>MHz</w:t>
      </w:r>
      <w:r w:rsidR="00E905AD" w:rsidRPr="00E270E0">
        <w:t xml:space="preserve"> et </w:t>
      </w:r>
      <w:r w:rsidRPr="00E270E0">
        <w:t>service fixe dans la bande de fréquences 790</w:t>
      </w:r>
      <w:r w:rsidR="000D69E4">
        <w:t>-</w:t>
      </w:r>
      <w:r w:rsidRPr="00E270E0">
        <w:t>960</w:t>
      </w:r>
      <w:r w:rsidR="007364E0">
        <w:t xml:space="preserve"> </w:t>
      </w:r>
      <w:r w:rsidRPr="00E270E0">
        <w:t>MHz. La bande, ou des parties de cette bande, est de plus attribuée aux services suivants à titre primaire dans certains pays de la Région 1: service de radionavigation aéronautique dans la bande de fréquences 645</w:t>
      </w:r>
      <w:r w:rsidR="000D69E4">
        <w:t>-</w:t>
      </w:r>
      <w:r w:rsidRPr="00E270E0">
        <w:t>862</w:t>
      </w:r>
      <w:r w:rsidR="007364E0">
        <w:t xml:space="preserve"> </w:t>
      </w:r>
      <w:r w:rsidRPr="00E270E0">
        <w:t>MHz et service de radioastronomie dans la bande de fréquences 606</w:t>
      </w:r>
      <w:r w:rsidR="000D69E4">
        <w:t>-</w:t>
      </w:r>
      <w:r w:rsidRPr="00E270E0">
        <w:t>614</w:t>
      </w:r>
      <w:r w:rsidR="007364E0">
        <w:t xml:space="preserve"> </w:t>
      </w:r>
      <w:r w:rsidRPr="00E270E0">
        <w:t>MHz</w:t>
      </w:r>
      <w:r w:rsidR="008A471D" w:rsidRPr="00E270E0">
        <w:t>.</w:t>
      </w:r>
    </w:p>
    <w:p w14:paraId="5AA27722" w14:textId="1295C0B9" w:rsidR="00DD20D9" w:rsidRPr="00E270E0" w:rsidRDefault="008A471D" w:rsidP="007364E0">
      <w:r w:rsidRPr="00E270E0">
        <w:t xml:space="preserve">Les </w:t>
      </w:r>
      <w:r w:rsidR="000D69E4" w:rsidRPr="00E270E0">
        <w:t>A</w:t>
      </w:r>
      <w:r w:rsidRPr="00E270E0">
        <w:t xml:space="preserve">dministrations de l'Union africaine des télécommunications (UAT) </w:t>
      </w:r>
      <w:r w:rsidR="000114A0" w:rsidRPr="00E270E0">
        <w:t>sont d'avis que le service de radiodiffusion et les services auxiliaires de la radiodiffusion et de la production de programmes</w:t>
      </w:r>
      <w:r w:rsidR="007364E0">
        <w:t xml:space="preserve"> </w:t>
      </w:r>
      <w:r w:rsidR="000114A0" w:rsidRPr="00E270E0">
        <w:t xml:space="preserve">(SAP/SAB), conformément au numéro </w:t>
      </w:r>
      <w:r w:rsidR="000114A0" w:rsidRPr="00E270E0">
        <w:rPr>
          <w:b/>
          <w:bCs/>
        </w:rPr>
        <w:t>5.296</w:t>
      </w:r>
      <w:r w:rsidR="000114A0" w:rsidRPr="00E270E0">
        <w:t xml:space="preserve"> du Règlement des radiocommunications</w:t>
      </w:r>
      <w:r w:rsidR="000D69E4">
        <w:t xml:space="preserve"> (</w:t>
      </w:r>
      <w:r w:rsidR="000114A0" w:rsidRPr="00E270E0">
        <w:t xml:space="preserve">RR), </w:t>
      </w:r>
      <w:r w:rsidR="00BA5A66" w:rsidRPr="00E270E0">
        <w:t>continueront d'avoir besoin d'accéder</w:t>
      </w:r>
      <w:r w:rsidR="000114A0" w:rsidRPr="00E270E0">
        <w:t xml:space="preserve"> à la bande de fréquences</w:t>
      </w:r>
      <w:r w:rsidR="007364E0">
        <w:t xml:space="preserve"> </w:t>
      </w:r>
      <w:r w:rsidR="000114A0" w:rsidRPr="00E270E0">
        <w:t>470</w:t>
      </w:r>
      <w:r w:rsidR="000D69E4">
        <w:t>-</w:t>
      </w:r>
      <w:r w:rsidR="000114A0" w:rsidRPr="00E270E0">
        <w:t>694</w:t>
      </w:r>
      <w:r w:rsidR="007364E0">
        <w:t xml:space="preserve"> </w:t>
      </w:r>
      <w:r w:rsidR="000114A0" w:rsidRPr="00E270E0">
        <w:t xml:space="preserve">MHz dans un avenir prévisible et que la compatibilité transfrontière entre la radiodiffusion et les applications mobiles utilisant </w:t>
      </w:r>
      <w:r w:rsidR="002840F6" w:rsidRPr="00E270E0">
        <w:t>la liaison montante</w:t>
      </w:r>
      <w:r w:rsidR="000114A0" w:rsidRPr="00E270E0">
        <w:t xml:space="preserve"> vers des stations de base telles que les IMT </w:t>
      </w:r>
      <w:r w:rsidR="003F6BD2" w:rsidRPr="00E270E0">
        <w:t xml:space="preserve">nécessite </w:t>
      </w:r>
      <w:r w:rsidR="000114A0" w:rsidRPr="00E270E0">
        <w:t xml:space="preserve">souvent des distances de séparation </w:t>
      </w:r>
      <w:r w:rsidR="00AB6F3C" w:rsidRPr="00E270E0">
        <w:t>considérables,</w:t>
      </w:r>
      <w:r w:rsidR="000114A0" w:rsidRPr="00E270E0">
        <w:t xml:space="preserve"> </w:t>
      </w:r>
      <w:r w:rsidR="00E905AD" w:rsidRPr="00E270E0">
        <w:t>de sorte</w:t>
      </w:r>
      <w:r w:rsidR="00AC6BC6" w:rsidRPr="00E270E0">
        <w:t xml:space="preserve"> que</w:t>
      </w:r>
      <w:r w:rsidR="00E905AD" w:rsidRPr="00E270E0">
        <w:t>,</w:t>
      </w:r>
      <w:r w:rsidR="00AC6BC6" w:rsidRPr="00E270E0">
        <w:t xml:space="preserve"> dans la pratique, il serait impossible de mettre </w:t>
      </w:r>
      <w:r w:rsidR="00AC6BC6" w:rsidRPr="00E270E0">
        <w:lastRenderedPageBreak/>
        <w:t>en œuvre les deux services dans les pays voisins</w:t>
      </w:r>
      <w:r w:rsidR="000114A0" w:rsidRPr="00E270E0">
        <w:t>. Il convient de noter que</w:t>
      </w:r>
      <w:r w:rsidR="00AC6BC6" w:rsidRPr="00E270E0">
        <w:t xml:space="preserve">, </w:t>
      </w:r>
      <w:r w:rsidR="00471036" w:rsidRPr="00E270E0">
        <w:t>en vertu du</w:t>
      </w:r>
      <w:r w:rsidR="000114A0" w:rsidRPr="00E270E0">
        <w:t xml:space="preserve"> cadre actuel de l</w:t>
      </w:r>
      <w:r w:rsidR="00A4011A" w:rsidRPr="00E270E0">
        <w:t>'</w:t>
      </w:r>
      <w:r w:rsidR="000114A0" w:rsidRPr="00E270E0">
        <w:t xml:space="preserve">Accord GE06, </w:t>
      </w:r>
      <w:r w:rsidR="00A4011A" w:rsidRPr="00E270E0">
        <w:t xml:space="preserve">en ce qui concerne le </w:t>
      </w:r>
      <w:r w:rsidR="000114A0" w:rsidRPr="00E270E0">
        <w:t xml:space="preserve">service de radiodiffusion, </w:t>
      </w:r>
      <w:r w:rsidR="00021F78" w:rsidRPr="00E270E0">
        <w:t>il est possible d'</w:t>
      </w:r>
      <w:r w:rsidR="000114A0" w:rsidRPr="00E270E0">
        <w:t xml:space="preserve">utiliser des technologies autres que la radiodiffusion vidéonumérique (DVB) </w:t>
      </w:r>
      <w:r w:rsidR="007F122A" w:rsidRPr="00E270E0">
        <w:t>conformément au</w:t>
      </w:r>
      <w:r w:rsidR="000114A0" w:rsidRPr="00E270E0">
        <w:t xml:space="preserve"> concept d'enveloppe, qui seraient applicables aux applications </w:t>
      </w:r>
      <w:r w:rsidR="00851C18" w:rsidRPr="00E270E0">
        <w:t>sur la</w:t>
      </w:r>
      <w:r w:rsidR="000114A0" w:rsidRPr="00E270E0">
        <w:t xml:space="preserve"> liaison descendante (par exemple</w:t>
      </w:r>
      <w:r w:rsidR="003D37FC" w:rsidRPr="00E270E0">
        <w:t>,</w:t>
      </w:r>
      <w:r w:rsidR="000114A0" w:rsidRPr="00E270E0">
        <w:t xml:space="preserve"> la radiodiffusion 5G).</w:t>
      </w:r>
    </w:p>
    <w:p w14:paraId="0ADA6304" w14:textId="77777777" w:rsidR="0015203F" w:rsidRPr="00E270E0" w:rsidRDefault="0015203F" w:rsidP="007364E0">
      <w:pPr>
        <w:tabs>
          <w:tab w:val="clear" w:pos="1134"/>
          <w:tab w:val="clear" w:pos="1871"/>
          <w:tab w:val="clear" w:pos="2268"/>
        </w:tabs>
        <w:overflowPunct/>
        <w:autoSpaceDE/>
        <w:autoSpaceDN/>
        <w:adjustRightInd/>
        <w:spacing w:before="0"/>
        <w:textAlignment w:val="auto"/>
      </w:pPr>
      <w:r w:rsidRPr="00E270E0">
        <w:br w:type="page"/>
      </w:r>
    </w:p>
    <w:p w14:paraId="77153803" w14:textId="77777777" w:rsidR="00E71F56" w:rsidRPr="00E270E0" w:rsidRDefault="00653572" w:rsidP="007364E0">
      <w:pPr>
        <w:pStyle w:val="Proposal"/>
      </w:pPr>
      <w:r w:rsidRPr="00E270E0">
        <w:rPr>
          <w:u w:val="single"/>
        </w:rPr>
        <w:lastRenderedPageBreak/>
        <w:t>NOC</w:t>
      </w:r>
      <w:r w:rsidRPr="00E270E0">
        <w:tab/>
        <w:t>AFCP/87A5/1</w:t>
      </w:r>
    </w:p>
    <w:p w14:paraId="0412C7B3" w14:textId="77777777" w:rsidR="00653572" w:rsidRPr="00E270E0" w:rsidRDefault="00653572" w:rsidP="007364E0">
      <w:pPr>
        <w:pStyle w:val="Volumetitle"/>
        <w:rPr>
          <w:lang w:val="fr-FR"/>
        </w:rPr>
      </w:pPr>
      <w:bookmarkStart w:id="3" w:name="_Toc455752901"/>
      <w:bookmarkStart w:id="4" w:name="_Toc455756140"/>
      <w:r w:rsidRPr="00E270E0">
        <w:rPr>
          <w:lang w:val="fr-FR"/>
        </w:rPr>
        <w:t>ARTICLES</w:t>
      </w:r>
      <w:bookmarkEnd w:id="3"/>
      <w:bookmarkEnd w:id="4"/>
    </w:p>
    <w:p w14:paraId="4284B932" w14:textId="73556EF5" w:rsidR="006E7238" w:rsidRPr="00E270E0" w:rsidRDefault="00653572" w:rsidP="007364E0">
      <w:pPr>
        <w:pStyle w:val="Reasons"/>
      </w:pPr>
      <w:r w:rsidRPr="00E270E0">
        <w:rPr>
          <w:b/>
        </w:rPr>
        <w:t>Motifs</w:t>
      </w:r>
      <w:r w:rsidR="00CF0105">
        <w:rPr>
          <w:b/>
        </w:rPr>
        <w:t>:</w:t>
      </w:r>
      <w:r w:rsidR="00CF0105">
        <w:rPr>
          <w:b/>
        </w:rPr>
        <w:br/>
      </w:r>
      <w:r w:rsidR="00697C1B" w:rsidRPr="00E270E0">
        <w:t>1)</w:t>
      </w:r>
      <w:r w:rsidR="00697C1B" w:rsidRPr="00E270E0">
        <w:tab/>
        <w:t>Le service de radiodiffusion et les services SAP/SAB, conformément au numéro</w:t>
      </w:r>
      <w:r w:rsidR="00DF3647" w:rsidRPr="00E270E0">
        <w:t> </w:t>
      </w:r>
      <w:r w:rsidR="00697C1B" w:rsidRPr="00E270E0">
        <w:rPr>
          <w:b/>
          <w:bCs/>
        </w:rPr>
        <w:t>5.296</w:t>
      </w:r>
      <w:r w:rsidR="007364E0">
        <w:t xml:space="preserve"> </w:t>
      </w:r>
      <w:r w:rsidR="00697C1B" w:rsidRPr="00E270E0">
        <w:t>du RR, continueront d'avoir besoin d'accéder à la bande de fréquences 470-694 MHz dans un avenir prévisible.</w:t>
      </w:r>
      <w:r w:rsidR="00CF0105">
        <w:br/>
      </w:r>
      <w:r w:rsidR="00697C1B" w:rsidRPr="00E270E0">
        <w:t>2)</w:t>
      </w:r>
      <w:r w:rsidR="00697C1B" w:rsidRPr="00E270E0">
        <w:tab/>
        <w:t xml:space="preserve">La compatibilité transfrontière entre la radiodiffusion et les applications mobiles utilisant la liaison montante vers des stations de base telles que les IMT </w:t>
      </w:r>
      <w:r w:rsidR="00257A0A" w:rsidRPr="00E270E0">
        <w:t>nécessite</w:t>
      </w:r>
      <w:r w:rsidR="00697C1B" w:rsidRPr="00E270E0">
        <w:t xml:space="preserve"> souvent des distances de séparation considérables, </w:t>
      </w:r>
      <w:r w:rsidR="00E905AD" w:rsidRPr="00E270E0">
        <w:t>de sorte</w:t>
      </w:r>
      <w:r w:rsidR="00697C1B" w:rsidRPr="00E270E0">
        <w:t xml:space="preserve"> que</w:t>
      </w:r>
      <w:r w:rsidR="00E905AD" w:rsidRPr="00E270E0">
        <w:t>,</w:t>
      </w:r>
      <w:r w:rsidR="00697C1B" w:rsidRPr="00E270E0">
        <w:t xml:space="preserve"> dans la pratique, il serait impossible de mettre en œuvre les deux services dans les pays voisins.</w:t>
      </w:r>
      <w:r w:rsidR="00CF0105">
        <w:br/>
      </w:r>
      <w:r w:rsidR="00697C1B" w:rsidRPr="00E270E0">
        <w:t>3)</w:t>
      </w:r>
      <w:r w:rsidR="00697C1B" w:rsidRPr="00E270E0">
        <w:tab/>
        <w:t>En vertu du cadre actuel de l'Accord GE06, en ce qui concerne le service de radiodiffusion, il est possible d'utiliser des technologies autres que la radiodiffusion vidéonumérique (DVB) conformément au concept d'enveloppe, qui seraient applicables aux applications sur la liaison descendante.</w:t>
      </w:r>
      <w:r w:rsidR="00CF0105">
        <w:br/>
      </w:r>
      <w:r w:rsidR="00697C1B" w:rsidRPr="00E270E0">
        <w:t>4)</w:t>
      </w:r>
      <w:r w:rsidR="00697C1B" w:rsidRPr="00E270E0">
        <w:tab/>
        <w:t xml:space="preserve">Il est toujours possible, au niveau national, </w:t>
      </w:r>
      <w:r w:rsidR="00CC29D9" w:rsidRPr="00E270E0">
        <w:t xml:space="preserve">au-delà </w:t>
      </w:r>
      <w:r w:rsidR="00F46DE3" w:rsidRPr="00E270E0">
        <w:t>des limites de la</w:t>
      </w:r>
      <w:r w:rsidR="00CC29D9" w:rsidRPr="00E270E0">
        <w:t xml:space="preserve"> coordination, </w:t>
      </w:r>
      <w:r w:rsidR="006E7238" w:rsidRPr="00E270E0">
        <w:t>d'utiliser le service mobile sans causer de brouillage et sans qu'aucune protection ne soit demandée vis-à-vis d</w:t>
      </w:r>
      <w:r w:rsidR="00CF0812" w:rsidRPr="00E270E0">
        <w:t>e l'exploitation du</w:t>
      </w:r>
      <w:r w:rsidR="006E7238" w:rsidRPr="00E270E0">
        <w:t xml:space="preserve"> service de radiodiffusion</w:t>
      </w:r>
      <w:r w:rsidR="00BE2FF7" w:rsidRPr="00E270E0">
        <w:t xml:space="preserve"> </w:t>
      </w:r>
      <w:r w:rsidR="006E7238" w:rsidRPr="00E270E0">
        <w:t>dans d'autres pays.</w:t>
      </w:r>
      <w:r w:rsidR="00CF0105">
        <w:br/>
      </w:r>
      <w:r w:rsidR="006E7238" w:rsidRPr="00E270E0">
        <w:t>5)</w:t>
      </w:r>
      <w:r w:rsidR="006E7238" w:rsidRPr="00E270E0">
        <w:tab/>
        <w:t xml:space="preserve">Les applications mobiles peuvent être exploitées </w:t>
      </w:r>
      <w:r w:rsidR="00E6048B" w:rsidRPr="00E270E0">
        <w:t>conformément</w:t>
      </w:r>
      <w:r w:rsidR="006E7238" w:rsidRPr="00E270E0">
        <w:t xml:space="preserve"> au numéro </w:t>
      </w:r>
      <w:r w:rsidR="006E7238" w:rsidRPr="00E270E0">
        <w:rPr>
          <w:b/>
          <w:bCs/>
        </w:rPr>
        <w:t>4.4</w:t>
      </w:r>
      <w:r w:rsidR="006E7238" w:rsidRPr="00E270E0">
        <w:t xml:space="preserve"> du RR, </w:t>
      </w:r>
      <w:r w:rsidR="00E6048B" w:rsidRPr="00E270E0">
        <w:t xml:space="preserve">par exemple dans les fréquences interstitielles </w:t>
      </w:r>
      <w:r w:rsidR="006B3D0D" w:rsidRPr="00E270E0">
        <w:t>dans les bandes attribuées au service de radiodiffusion.</w:t>
      </w:r>
    </w:p>
    <w:p w14:paraId="5F708EE1" w14:textId="77777777" w:rsidR="00E71F56" w:rsidRPr="00E270E0" w:rsidRDefault="00653572" w:rsidP="007364E0">
      <w:pPr>
        <w:pStyle w:val="Proposal"/>
      </w:pPr>
      <w:r w:rsidRPr="00E270E0">
        <w:t>SUP</w:t>
      </w:r>
      <w:r w:rsidRPr="00E270E0">
        <w:tab/>
        <w:t>AFCP/87A5/2</w:t>
      </w:r>
      <w:r w:rsidRPr="00E270E0">
        <w:rPr>
          <w:vanish/>
          <w:color w:val="7F7F7F" w:themeColor="text1" w:themeTint="80"/>
          <w:vertAlign w:val="superscript"/>
        </w:rPr>
        <w:t>#1580</w:t>
      </w:r>
    </w:p>
    <w:p w14:paraId="7C262C38" w14:textId="77777777" w:rsidR="00653572" w:rsidRPr="000D69E4" w:rsidRDefault="00653572" w:rsidP="000D69E4">
      <w:pPr>
        <w:pStyle w:val="ResNo"/>
      </w:pPr>
      <w:r w:rsidRPr="000D69E4">
        <w:t>R</w:t>
      </w:r>
      <w:r w:rsidRPr="000D69E4">
        <w:rPr>
          <w:rFonts w:eastAsia="SimSun"/>
        </w:rPr>
        <w:t>É</w:t>
      </w:r>
      <w:r w:rsidRPr="000D69E4">
        <w:t xml:space="preserve">SOLUTION </w:t>
      </w:r>
      <w:r w:rsidRPr="000D69E4">
        <w:rPr>
          <w:rStyle w:val="href"/>
        </w:rPr>
        <w:t>235</w:t>
      </w:r>
      <w:r w:rsidRPr="000D69E4">
        <w:t xml:space="preserve"> (CMR-15)</w:t>
      </w:r>
    </w:p>
    <w:p w14:paraId="5F7B626B" w14:textId="77777777" w:rsidR="00653572" w:rsidRPr="00E270E0" w:rsidRDefault="00653572" w:rsidP="007364E0">
      <w:pPr>
        <w:pStyle w:val="Restitle"/>
        <w:rPr>
          <w:lang w:eastAsia="nl-NL"/>
        </w:rPr>
      </w:pPr>
      <w:bookmarkStart w:id="5" w:name="_Toc450208661"/>
      <w:bookmarkStart w:id="6" w:name="_Toc39829216"/>
      <w:r w:rsidRPr="00E270E0">
        <w:rPr>
          <w:lang w:eastAsia="nl-NL"/>
        </w:rPr>
        <w:t xml:space="preserve">Examen de l'utilisation du spectre dans la bande </w:t>
      </w:r>
      <w:r w:rsidRPr="00E270E0">
        <w:rPr>
          <w:lang w:eastAsia="nl-NL"/>
        </w:rPr>
        <w:br/>
        <w:t>de fréquences 470-960 MHz en Région 1</w:t>
      </w:r>
      <w:bookmarkEnd w:id="5"/>
      <w:bookmarkEnd w:id="6"/>
    </w:p>
    <w:p w14:paraId="13DEE220" w14:textId="6FDD6179" w:rsidR="00DD20D9" w:rsidRPr="00E270E0" w:rsidRDefault="00653572" w:rsidP="007364E0">
      <w:pPr>
        <w:pStyle w:val="Reasons"/>
      </w:pPr>
      <w:r w:rsidRPr="00E270E0">
        <w:rPr>
          <w:b/>
        </w:rPr>
        <w:t>Motifs:</w:t>
      </w:r>
      <w:r w:rsidRPr="00E270E0">
        <w:tab/>
      </w:r>
      <w:r w:rsidR="00B01522" w:rsidRPr="00E270E0">
        <w:t>Il n'y a pas lieu, dans un avenir prévisible, de rouvrir la question de l'attribution dans la bande de fréquences 470-694 MHz lors d</w:t>
      </w:r>
      <w:r w:rsidR="00430FE5" w:rsidRPr="00E270E0">
        <w:t>'</w:t>
      </w:r>
      <w:r w:rsidR="00B01522" w:rsidRPr="00E270E0">
        <w:t>une future CMR</w:t>
      </w:r>
      <w:r w:rsidR="00430FE5" w:rsidRPr="00E270E0">
        <w:t>.</w:t>
      </w:r>
    </w:p>
    <w:p w14:paraId="1B7B894D" w14:textId="2E618A45" w:rsidR="00E71F56" w:rsidRPr="00E270E0" w:rsidRDefault="00DD20D9" w:rsidP="007364E0">
      <w:pPr>
        <w:jc w:val="center"/>
      </w:pPr>
      <w:r w:rsidRPr="00E270E0">
        <w:t>______________</w:t>
      </w:r>
    </w:p>
    <w:sectPr w:rsidR="00E71F56" w:rsidRPr="00E270E0">
      <w:headerReference w:type="default" r:id="rId14"/>
      <w:footerReference w:type="even" r:id="rId15"/>
      <w:footerReference w:type="default" r:id="rId16"/>
      <w:footerReference w:type="first" r:id="rId17"/>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C54F2" w14:textId="77777777" w:rsidR="00CB685A" w:rsidRDefault="00CB685A">
      <w:r>
        <w:separator/>
      </w:r>
    </w:p>
  </w:endnote>
  <w:endnote w:type="continuationSeparator" w:id="0">
    <w:p w14:paraId="3C1D5DE8" w14:textId="77777777" w:rsidR="00CB685A" w:rsidRDefault="00CB6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E13EE" w14:textId="479C343F" w:rsidR="00936D25" w:rsidRDefault="00936D25">
    <w:pPr>
      <w:rPr>
        <w:lang w:val="en-US"/>
      </w:rPr>
    </w:pPr>
    <w:r>
      <w:fldChar w:fldCharType="begin"/>
    </w:r>
    <w:r>
      <w:rPr>
        <w:lang w:val="en-US"/>
      </w:rPr>
      <w:instrText xml:space="preserve"> FILENAME \p  \* MERGEFORMAT </w:instrText>
    </w:r>
    <w:r>
      <w:fldChar w:fldCharType="separate"/>
    </w:r>
    <w:r w:rsidR="00BB1D82">
      <w:rPr>
        <w:noProof/>
        <w:lang w:val="en-US"/>
      </w:rPr>
      <w:t>Document1</w:t>
    </w:r>
    <w:r>
      <w:fldChar w:fldCharType="end"/>
    </w:r>
    <w:r>
      <w:rPr>
        <w:lang w:val="en-US"/>
      </w:rPr>
      <w:tab/>
    </w:r>
    <w:r>
      <w:fldChar w:fldCharType="begin"/>
    </w:r>
    <w:r>
      <w:instrText xml:space="preserve"> SAVEDATE \@ DD.MM.YY </w:instrText>
    </w:r>
    <w:r>
      <w:fldChar w:fldCharType="separate"/>
    </w:r>
    <w:r w:rsidR="000D69E4">
      <w:rPr>
        <w:noProof/>
      </w:rPr>
      <w:t>06.11.23</w:t>
    </w:r>
    <w:r>
      <w:fldChar w:fldCharType="end"/>
    </w:r>
    <w:r>
      <w:rPr>
        <w:lang w:val="en-US"/>
      </w:rPr>
      <w:tab/>
    </w:r>
    <w:r>
      <w:fldChar w:fldCharType="begin"/>
    </w:r>
    <w:r>
      <w:instrText xml:space="preserve"> PRINTDATE \@ DD.MM.YY </w:instrText>
    </w:r>
    <w:r>
      <w:fldChar w:fldCharType="separate"/>
    </w:r>
    <w:r w:rsidR="00BB1D82">
      <w:rPr>
        <w:noProof/>
      </w:rPr>
      <w:t>05.06.03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175BA" w14:textId="4A1CDC06" w:rsidR="00936D25" w:rsidRDefault="00936D25" w:rsidP="007B2C34">
    <w:pPr>
      <w:pStyle w:val="Footer"/>
      <w:rPr>
        <w:lang w:val="en-US"/>
      </w:rPr>
    </w:pPr>
    <w:r>
      <w:fldChar w:fldCharType="begin"/>
    </w:r>
    <w:r>
      <w:rPr>
        <w:lang w:val="en-US"/>
      </w:rPr>
      <w:instrText xml:space="preserve"> FILENAME \p  \* MERGEFORMAT </w:instrText>
    </w:r>
    <w:r>
      <w:fldChar w:fldCharType="separate"/>
    </w:r>
    <w:r w:rsidR="00267C7B">
      <w:rPr>
        <w:lang w:val="en-US"/>
      </w:rPr>
      <w:t>P:\FRA\ITU-R\CONF-R\CMR23\000\087ADD05F.docx</w:t>
    </w:r>
    <w:r>
      <w:fldChar w:fldCharType="end"/>
    </w:r>
    <w:r w:rsidR="00626138" w:rsidRPr="007A24BE">
      <w:rPr>
        <w:lang w:val="en-US"/>
      </w:rPr>
      <w:t>(529992)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963CF" w14:textId="03EE04EF" w:rsidR="00936D25" w:rsidRDefault="00936D25" w:rsidP="001A11F6">
    <w:pPr>
      <w:pStyle w:val="Footer"/>
      <w:rPr>
        <w:lang w:val="en-US"/>
      </w:rPr>
    </w:pPr>
    <w:r>
      <w:fldChar w:fldCharType="begin"/>
    </w:r>
    <w:r>
      <w:rPr>
        <w:lang w:val="en-US"/>
      </w:rPr>
      <w:instrText xml:space="preserve"> FILENAME \p  \* MERGEFORMAT </w:instrText>
    </w:r>
    <w:r>
      <w:fldChar w:fldCharType="separate"/>
    </w:r>
    <w:r w:rsidR="00267C7B">
      <w:rPr>
        <w:lang w:val="en-US"/>
      </w:rPr>
      <w:t>P:\FRA\ITU-R\CONF-R\CMR23\000\087ADD05F.docx</w:t>
    </w:r>
    <w:r>
      <w:fldChar w:fldCharType="end"/>
    </w:r>
    <w:r w:rsidR="00626138" w:rsidRPr="007A24BE">
      <w:rPr>
        <w:lang w:val="en-US"/>
      </w:rPr>
      <w:t>(52992)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E802C" w14:textId="77777777" w:rsidR="00CB685A" w:rsidRDefault="00CB685A">
      <w:r>
        <w:rPr>
          <w:b/>
        </w:rPr>
        <w:t>_______________</w:t>
      </w:r>
    </w:p>
  </w:footnote>
  <w:footnote w:type="continuationSeparator" w:id="0">
    <w:p w14:paraId="1290D3D4" w14:textId="77777777" w:rsidR="00CB685A" w:rsidRDefault="00CB6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A9322" w14:textId="77777777" w:rsidR="004F1F8E" w:rsidRDefault="004F1F8E" w:rsidP="004F1F8E">
    <w:pPr>
      <w:pStyle w:val="Header"/>
    </w:pPr>
    <w:r>
      <w:fldChar w:fldCharType="begin"/>
    </w:r>
    <w:r>
      <w:instrText xml:space="preserve"> PAGE </w:instrText>
    </w:r>
    <w:r>
      <w:fldChar w:fldCharType="separate"/>
    </w:r>
    <w:r w:rsidR="007B2C34">
      <w:rPr>
        <w:noProof/>
      </w:rPr>
      <w:t>2</w:t>
    </w:r>
    <w:r>
      <w:fldChar w:fldCharType="end"/>
    </w:r>
  </w:p>
  <w:p w14:paraId="63BB63C1" w14:textId="77777777" w:rsidR="004F1F8E" w:rsidRDefault="00225CF2" w:rsidP="00FD7AA3">
    <w:pPr>
      <w:pStyle w:val="Header"/>
    </w:pPr>
    <w:r>
      <w:t>WRC</w:t>
    </w:r>
    <w:r w:rsidR="00D3426F">
      <w:t>23</w:t>
    </w:r>
    <w:r w:rsidR="004F1F8E">
      <w:t>/</w:t>
    </w:r>
    <w:r w:rsidR="006A4B45">
      <w:t>87(Add.5)-</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4AA2B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9891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2AAD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17EBE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DD4C4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F05E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F241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E62A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CB82A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42E1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16cid:durableId="312561522">
    <w:abstractNumId w:val="8"/>
  </w:num>
  <w:num w:numId="2" w16cid:durableId="1598171135">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683318798">
    <w:abstractNumId w:val="9"/>
  </w:num>
  <w:num w:numId="4" w16cid:durableId="203715543">
    <w:abstractNumId w:val="7"/>
  </w:num>
  <w:num w:numId="5" w16cid:durableId="2072540147">
    <w:abstractNumId w:val="6"/>
  </w:num>
  <w:num w:numId="6" w16cid:durableId="1829903370">
    <w:abstractNumId w:val="5"/>
  </w:num>
  <w:num w:numId="7" w16cid:durableId="1124420927">
    <w:abstractNumId w:val="4"/>
  </w:num>
  <w:num w:numId="8" w16cid:durableId="2132237929">
    <w:abstractNumId w:val="8"/>
  </w:num>
  <w:num w:numId="9" w16cid:durableId="859926340">
    <w:abstractNumId w:val="3"/>
  </w:num>
  <w:num w:numId="10" w16cid:durableId="1180198888">
    <w:abstractNumId w:val="2"/>
  </w:num>
  <w:num w:numId="11" w16cid:durableId="747993265">
    <w:abstractNumId w:val="1"/>
  </w:num>
  <w:num w:numId="12" w16cid:durableId="1633243949">
    <w:abstractNumId w:val="0"/>
  </w:num>
  <w:num w:numId="13" w16cid:durableId="1373380885">
    <w:abstractNumId w:val="9"/>
  </w:num>
  <w:num w:numId="14" w16cid:durableId="631638857">
    <w:abstractNumId w:val="7"/>
  </w:num>
  <w:num w:numId="15" w16cid:durableId="1736977243">
    <w:abstractNumId w:val="6"/>
  </w:num>
  <w:num w:numId="16" w16cid:durableId="753165356">
    <w:abstractNumId w:val="5"/>
  </w:num>
  <w:num w:numId="17" w16cid:durableId="1192954576">
    <w:abstractNumId w:val="4"/>
  </w:num>
  <w:num w:numId="18" w16cid:durableId="67073995">
    <w:abstractNumId w:val="8"/>
  </w:num>
  <w:num w:numId="19" w16cid:durableId="145753966">
    <w:abstractNumId w:val="3"/>
  </w:num>
  <w:num w:numId="20" w16cid:durableId="2137095887">
    <w:abstractNumId w:val="2"/>
  </w:num>
  <w:num w:numId="21" w16cid:durableId="1889605708">
    <w:abstractNumId w:val="1"/>
  </w:num>
  <w:num w:numId="22" w16cid:durableId="1387338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14A0"/>
    <w:rsid w:val="00016648"/>
    <w:rsid w:val="00021F78"/>
    <w:rsid w:val="00031CA8"/>
    <w:rsid w:val="0003522F"/>
    <w:rsid w:val="000369D3"/>
    <w:rsid w:val="000425C8"/>
    <w:rsid w:val="00063A1F"/>
    <w:rsid w:val="00080E2C"/>
    <w:rsid w:val="00081366"/>
    <w:rsid w:val="000863B3"/>
    <w:rsid w:val="000A4755"/>
    <w:rsid w:val="000A55AE"/>
    <w:rsid w:val="000B2E0C"/>
    <w:rsid w:val="000B3D0C"/>
    <w:rsid w:val="000D69E4"/>
    <w:rsid w:val="001167B9"/>
    <w:rsid w:val="001267A0"/>
    <w:rsid w:val="0015203F"/>
    <w:rsid w:val="00160C64"/>
    <w:rsid w:val="0018169B"/>
    <w:rsid w:val="0019352B"/>
    <w:rsid w:val="001960D0"/>
    <w:rsid w:val="001A11F6"/>
    <w:rsid w:val="001F17E8"/>
    <w:rsid w:val="00204306"/>
    <w:rsid w:val="00225CF2"/>
    <w:rsid w:val="00232FD2"/>
    <w:rsid w:val="00257A0A"/>
    <w:rsid w:val="0026554E"/>
    <w:rsid w:val="00267C7B"/>
    <w:rsid w:val="002840F6"/>
    <w:rsid w:val="002A4622"/>
    <w:rsid w:val="002A6F8F"/>
    <w:rsid w:val="002B17E5"/>
    <w:rsid w:val="002C0EBF"/>
    <w:rsid w:val="002C28A4"/>
    <w:rsid w:val="002D7E0A"/>
    <w:rsid w:val="002F5780"/>
    <w:rsid w:val="00315AFE"/>
    <w:rsid w:val="003411F6"/>
    <w:rsid w:val="003606A6"/>
    <w:rsid w:val="0036650C"/>
    <w:rsid w:val="00393ACD"/>
    <w:rsid w:val="003A583E"/>
    <w:rsid w:val="003D37FC"/>
    <w:rsid w:val="003E112B"/>
    <w:rsid w:val="003E1D1C"/>
    <w:rsid w:val="003E7B05"/>
    <w:rsid w:val="003F3719"/>
    <w:rsid w:val="003F6BD2"/>
    <w:rsid w:val="003F6F2D"/>
    <w:rsid w:val="00430FE5"/>
    <w:rsid w:val="00466211"/>
    <w:rsid w:val="00471036"/>
    <w:rsid w:val="00483196"/>
    <w:rsid w:val="004834A9"/>
    <w:rsid w:val="004A7412"/>
    <w:rsid w:val="004D01FC"/>
    <w:rsid w:val="004E28C3"/>
    <w:rsid w:val="004F1F8E"/>
    <w:rsid w:val="00512A32"/>
    <w:rsid w:val="005343DA"/>
    <w:rsid w:val="00560874"/>
    <w:rsid w:val="00586CF2"/>
    <w:rsid w:val="005A3EDA"/>
    <w:rsid w:val="005A7C75"/>
    <w:rsid w:val="005B58DC"/>
    <w:rsid w:val="005C3768"/>
    <w:rsid w:val="005C6C3F"/>
    <w:rsid w:val="00613635"/>
    <w:rsid w:val="0062093D"/>
    <w:rsid w:val="00626138"/>
    <w:rsid w:val="00637ECF"/>
    <w:rsid w:val="00647B59"/>
    <w:rsid w:val="00653572"/>
    <w:rsid w:val="00690C7B"/>
    <w:rsid w:val="00697C1B"/>
    <w:rsid w:val="006A4B45"/>
    <w:rsid w:val="006B3D0D"/>
    <w:rsid w:val="006D4724"/>
    <w:rsid w:val="006E7238"/>
    <w:rsid w:val="006F5FA2"/>
    <w:rsid w:val="0070076C"/>
    <w:rsid w:val="00701BAE"/>
    <w:rsid w:val="00721F04"/>
    <w:rsid w:val="00730E95"/>
    <w:rsid w:val="007364E0"/>
    <w:rsid w:val="007426B9"/>
    <w:rsid w:val="00764342"/>
    <w:rsid w:val="00774362"/>
    <w:rsid w:val="00786598"/>
    <w:rsid w:val="00790C74"/>
    <w:rsid w:val="007A04E8"/>
    <w:rsid w:val="007A24BE"/>
    <w:rsid w:val="007B2C34"/>
    <w:rsid w:val="007F122A"/>
    <w:rsid w:val="007F282B"/>
    <w:rsid w:val="0080019D"/>
    <w:rsid w:val="00830086"/>
    <w:rsid w:val="00851625"/>
    <w:rsid w:val="00851C18"/>
    <w:rsid w:val="00863C0A"/>
    <w:rsid w:val="008A3120"/>
    <w:rsid w:val="008A471D"/>
    <w:rsid w:val="008A4B97"/>
    <w:rsid w:val="008C5B8E"/>
    <w:rsid w:val="008C5DD5"/>
    <w:rsid w:val="008C7123"/>
    <w:rsid w:val="008D41BE"/>
    <w:rsid w:val="008D58D3"/>
    <w:rsid w:val="008E3BC9"/>
    <w:rsid w:val="008E7330"/>
    <w:rsid w:val="00923064"/>
    <w:rsid w:val="00930FFD"/>
    <w:rsid w:val="00936D25"/>
    <w:rsid w:val="00941EA5"/>
    <w:rsid w:val="00964700"/>
    <w:rsid w:val="00966C16"/>
    <w:rsid w:val="0098732F"/>
    <w:rsid w:val="009A045F"/>
    <w:rsid w:val="009A6A2B"/>
    <w:rsid w:val="009C7E7C"/>
    <w:rsid w:val="009D46CD"/>
    <w:rsid w:val="00A00473"/>
    <w:rsid w:val="00A03C9B"/>
    <w:rsid w:val="00A37105"/>
    <w:rsid w:val="00A4011A"/>
    <w:rsid w:val="00A606C3"/>
    <w:rsid w:val="00A83B09"/>
    <w:rsid w:val="00A84541"/>
    <w:rsid w:val="00AB6F3C"/>
    <w:rsid w:val="00AC6BC6"/>
    <w:rsid w:val="00AE36A0"/>
    <w:rsid w:val="00B00294"/>
    <w:rsid w:val="00B01522"/>
    <w:rsid w:val="00B3749C"/>
    <w:rsid w:val="00B64FD0"/>
    <w:rsid w:val="00BA5A66"/>
    <w:rsid w:val="00BA5BD0"/>
    <w:rsid w:val="00BB1D82"/>
    <w:rsid w:val="00BC217E"/>
    <w:rsid w:val="00BD51C5"/>
    <w:rsid w:val="00BE2FF7"/>
    <w:rsid w:val="00BF26E7"/>
    <w:rsid w:val="00C1305F"/>
    <w:rsid w:val="00C53FCA"/>
    <w:rsid w:val="00C71DEB"/>
    <w:rsid w:val="00C76BAF"/>
    <w:rsid w:val="00C814B9"/>
    <w:rsid w:val="00CB685A"/>
    <w:rsid w:val="00CC29D9"/>
    <w:rsid w:val="00CD516F"/>
    <w:rsid w:val="00CF0105"/>
    <w:rsid w:val="00CF0812"/>
    <w:rsid w:val="00D119A7"/>
    <w:rsid w:val="00D25FBA"/>
    <w:rsid w:val="00D32B28"/>
    <w:rsid w:val="00D3426F"/>
    <w:rsid w:val="00D3735E"/>
    <w:rsid w:val="00D42954"/>
    <w:rsid w:val="00D66EAC"/>
    <w:rsid w:val="00D730DF"/>
    <w:rsid w:val="00D772F0"/>
    <w:rsid w:val="00D77BDC"/>
    <w:rsid w:val="00DC402B"/>
    <w:rsid w:val="00DD20D9"/>
    <w:rsid w:val="00DE0932"/>
    <w:rsid w:val="00DF15E8"/>
    <w:rsid w:val="00DF3647"/>
    <w:rsid w:val="00E03A27"/>
    <w:rsid w:val="00E049F1"/>
    <w:rsid w:val="00E270E0"/>
    <w:rsid w:val="00E37A25"/>
    <w:rsid w:val="00E537FF"/>
    <w:rsid w:val="00E6048B"/>
    <w:rsid w:val="00E60CB2"/>
    <w:rsid w:val="00E6539B"/>
    <w:rsid w:val="00E70A31"/>
    <w:rsid w:val="00E71F56"/>
    <w:rsid w:val="00E723A7"/>
    <w:rsid w:val="00E905AD"/>
    <w:rsid w:val="00EA3F38"/>
    <w:rsid w:val="00EA5AB6"/>
    <w:rsid w:val="00EC7615"/>
    <w:rsid w:val="00ED16AA"/>
    <w:rsid w:val="00ED6B8D"/>
    <w:rsid w:val="00EE3D7B"/>
    <w:rsid w:val="00EF662E"/>
    <w:rsid w:val="00F10064"/>
    <w:rsid w:val="00F148F1"/>
    <w:rsid w:val="00F37CEF"/>
    <w:rsid w:val="00F46DE3"/>
    <w:rsid w:val="00F711A7"/>
    <w:rsid w:val="00FA3BBF"/>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D8468CD"/>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qFormat/>
    <w:rsid w:val="00E010F4"/>
  </w:style>
  <w:style w:type="character" w:styleId="Hyperlink">
    <w:name w:val="Hyperlink"/>
    <w:basedOn w:val="DefaultParagraphFont"/>
    <w:uiPriority w:val="99"/>
    <w:semiHidden/>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R23-WRC23-C-0087!A5!MSW-F</DPM_x0020_File_x0020_name>
    <DPM_x0020_Author xmlns="32a1a8c5-2265-4ebc-b7a0-2071e2c5c9bb" xsi:nil="false">DPM</DPM_x0020_Author>
    <DPM_x0020_Version xmlns="32a1a8c5-2265-4ebc-b7a0-2071e2c5c9bb" xsi:nil="false">DPM_2022.05.12.01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89E51F-D557-429F-A803-746EDB00EC42}">
  <ds:schemaRefs>
    <ds:schemaRef ds:uri="http://purl.org/dc/dcmitype/"/>
    <ds:schemaRef ds:uri="http://purl.org/dc/terms/"/>
    <ds:schemaRef ds:uri="http://schemas.microsoft.com/office/infopath/2007/PartnerControls"/>
    <ds:schemaRef ds:uri="32a1a8c5-2265-4ebc-b7a0-2071e2c5c9bb"/>
    <ds:schemaRef ds:uri="http://purl.org/dc/elements/1.1/"/>
    <ds:schemaRef ds:uri="http://www.w3.org/XML/1998/namespace"/>
    <ds:schemaRef ds:uri="http://schemas.microsoft.com/office/2006/documentManagement/types"/>
    <ds:schemaRef ds:uri="http://schemas.openxmlformats.org/package/2006/metadata/core-properties"/>
    <ds:schemaRef ds:uri="996b2e75-67fd-4955-a3b0-5ab9934cb50b"/>
    <ds:schemaRef ds:uri="http://schemas.microsoft.com/office/2006/metadata/properties"/>
  </ds:schemaRefs>
</ds:datastoreItem>
</file>

<file path=customXml/itemProps2.xml><?xml version="1.0" encoding="utf-8"?>
<ds:datastoreItem xmlns:ds="http://schemas.openxmlformats.org/officeDocument/2006/customXml" ds:itemID="{364D42ED-9E01-4E55-8B9D-3D657F228D12}">
  <ds:schemaRefs>
    <ds:schemaRef ds:uri="http://schemas.microsoft.com/sharepoint/events"/>
  </ds:schemaRefs>
</ds:datastoreItem>
</file>

<file path=customXml/itemProps3.xml><?xml version="1.0" encoding="utf-8"?>
<ds:datastoreItem xmlns:ds="http://schemas.openxmlformats.org/officeDocument/2006/customXml" ds:itemID="{26467D16-5867-4836-A056-F5882E65634B}">
  <ds:schemaRefs>
    <ds:schemaRef ds:uri="http://schemas.openxmlformats.org/officeDocument/2006/bibliography"/>
  </ds:schemaRefs>
</ds:datastoreItem>
</file>

<file path=customXml/itemProps4.xml><?xml version="1.0" encoding="utf-8"?>
<ds:datastoreItem xmlns:ds="http://schemas.openxmlformats.org/officeDocument/2006/customXml" ds:itemID="{B612ED1E-DE02-4769-9DED-178198B0C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B65110-A6C8-4D90-87A5-46A4C8ABB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692</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R23-WRC23-C-0087!A5!MSW-F</vt:lpstr>
    </vt:vector>
  </TitlesOfParts>
  <Manager>Secrétariat général - Pool</Manager>
  <Company>Union internationale des télécommunications (UIT)</Company>
  <LinksUpToDate>false</LinksUpToDate>
  <CharactersWithSpaces>4584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R23-WRC23-C-0087!A5!MSW-F</dc:title>
  <dc:subject>Conférence mondiale des radiocommunications - 2019</dc:subject>
  <dc:creator>Documents Proposals Manager (DPM)</dc:creator>
  <cp:keywords>DPM_v2023.8.1.1_prod</cp:keywords>
  <dc:description/>
  <cp:lastModifiedBy>French</cp:lastModifiedBy>
  <cp:revision>12</cp:revision>
  <cp:lastPrinted>2003-06-05T19:34:00Z</cp:lastPrinted>
  <dcterms:created xsi:type="dcterms:W3CDTF">2023-11-06T14:06:00Z</dcterms:created>
  <dcterms:modified xsi:type="dcterms:W3CDTF">2023-11-07T06:18:00Z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