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01F691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B509C3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1794444D" wp14:editId="2E0D057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E862C3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C5A4CCE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F418887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49717EB" wp14:editId="737D77F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FEE94E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00FDDE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BC1413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99DD87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ED1FEF6" w14:textId="77777777" w:rsidR="000D1EE4" w:rsidRPr="00A372B1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92EF5F0" w14:textId="77777777" w:rsidR="000D1EE4" w:rsidRPr="00B07282" w:rsidRDefault="000D1EE4" w:rsidP="000D1EE4">
            <w:pPr>
              <w:rPr>
                <w:lang w:bidi="ar-EG"/>
              </w:rPr>
            </w:pPr>
          </w:p>
        </w:tc>
      </w:tr>
      <w:tr w:rsidR="000D1EE4" w:rsidRPr="000D1EE4" w14:paraId="1DBFBF2D" w14:textId="77777777" w:rsidTr="00752552">
        <w:trPr>
          <w:cantSplit/>
        </w:trPr>
        <w:tc>
          <w:tcPr>
            <w:tcW w:w="6696" w:type="dxa"/>
            <w:gridSpan w:val="2"/>
          </w:tcPr>
          <w:p w14:paraId="47865D18" w14:textId="77777777" w:rsidR="000D1EE4" w:rsidRPr="00A372B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372B1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08AE31F8" w14:textId="77777777" w:rsidR="000D1EE4" w:rsidRPr="00A372B1" w:rsidRDefault="00E50850" w:rsidP="00A372B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372B1">
              <w:rPr>
                <w:rFonts w:eastAsia="SimSun"/>
                <w:b/>
                <w:bCs/>
                <w:rtl/>
                <w:lang w:bidi="ar-EG"/>
              </w:rPr>
              <w:t>الإضافة 5</w:t>
            </w:r>
            <w:r w:rsidRPr="00A372B1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372B1">
              <w:rPr>
                <w:rFonts w:eastAsia="SimSun"/>
                <w:b/>
                <w:bCs/>
              </w:rPr>
              <w:t>87-A</w:t>
            </w:r>
          </w:p>
        </w:tc>
      </w:tr>
      <w:tr w:rsidR="000D1EE4" w:rsidRPr="000D1EE4" w14:paraId="217DC837" w14:textId="77777777" w:rsidTr="00752552">
        <w:trPr>
          <w:cantSplit/>
        </w:trPr>
        <w:tc>
          <w:tcPr>
            <w:tcW w:w="6696" w:type="dxa"/>
            <w:gridSpan w:val="2"/>
          </w:tcPr>
          <w:p w14:paraId="6015F125" w14:textId="77777777" w:rsidR="000D1EE4" w:rsidRPr="00A372B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4D10370" w14:textId="77777777" w:rsidR="000D1EE4" w:rsidRPr="00A372B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372B1">
              <w:rPr>
                <w:rFonts w:eastAsia="SimSun"/>
                <w:b/>
                <w:bCs/>
              </w:rPr>
              <w:t>23</w:t>
            </w:r>
            <w:r w:rsidRPr="00A372B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A372B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B45BB0D" w14:textId="77777777" w:rsidTr="00752552">
        <w:trPr>
          <w:cantSplit/>
        </w:trPr>
        <w:tc>
          <w:tcPr>
            <w:tcW w:w="6696" w:type="dxa"/>
            <w:gridSpan w:val="2"/>
          </w:tcPr>
          <w:p w14:paraId="7176A85D" w14:textId="77777777" w:rsidR="000D1EE4" w:rsidRPr="00A372B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025F570" w14:textId="77777777" w:rsidR="000D1EE4" w:rsidRPr="00A372B1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A372B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0565E7B" w14:textId="77777777" w:rsidTr="00752552">
        <w:trPr>
          <w:cantSplit/>
        </w:trPr>
        <w:tc>
          <w:tcPr>
            <w:tcW w:w="9666" w:type="dxa"/>
            <w:gridSpan w:val="4"/>
          </w:tcPr>
          <w:p w14:paraId="3D25DB2F" w14:textId="77777777" w:rsidR="000D1EE4" w:rsidRPr="00A372B1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83504DF" w14:textId="77777777" w:rsidTr="00752552">
        <w:trPr>
          <w:cantSplit/>
        </w:trPr>
        <w:tc>
          <w:tcPr>
            <w:tcW w:w="9666" w:type="dxa"/>
            <w:gridSpan w:val="4"/>
          </w:tcPr>
          <w:p w14:paraId="3C738EAB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إفريقيـة مشتركـة</w:t>
            </w:r>
          </w:p>
        </w:tc>
      </w:tr>
      <w:tr w:rsidR="000D1EE4" w:rsidRPr="000D1EE4" w14:paraId="1A1B7B35" w14:textId="77777777" w:rsidTr="00752552">
        <w:trPr>
          <w:cantSplit/>
        </w:trPr>
        <w:tc>
          <w:tcPr>
            <w:tcW w:w="9666" w:type="dxa"/>
            <w:gridSpan w:val="4"/>
          </w:tcPr>
          <w:p w14:paraId="6508B52D" w14:textId="4D7A589D" w:rsidR="000D1EE4" w:rsidRPr="000D1EE4" w:rsidRDefault="00A372B1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11D5CDED" w14:textId="77777777" w:rsidTr="00752552">
        <w:trPr>
          <w:cantSplit/>
        </w:trPr>
        <w:tc>
          <w:tcPr>
            <w:tcW w:w="9666" w:type="dxa"/>
            <w:gridSpan w:val="4"/>
          </w:tcPr>
          <w:p w14:paraId="2B525D66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0C86068" w14:textId="77777777" w:rsidTr="00752552">
        <w:trPr>
          <w:cantSplit/>
        </w:trPr>
        <w:tc>
          <w:tcPr>
            <w:tcW w:w="9666" w:type="dxa"/>
            <w:gridSpan w:val="4"/>
          </w:tcPr>
          <w:p w14:paraId="5249B598" w14:textId="3FD4FF4D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A372B1">
              <w:rPr>
                <w:rFonts w:hint="cs"/>
                <w:rtl/>
              </w:rPr>
              <w:t xml:space="preserve"> 5.1</w:t>
            </w:r>
          </w:p>
        </w:tc>
      </w:tr>
    </w:tbl>
    <w:p w14:paraId="52276DF7" w14:textId="77777777" w:rsidR="00B07282" w:rsidRPr="00B74E84" w:rsidRDefault="00B07282" w:rsidP="00B74E84">
      <w:pPr>
        <w:rPr>
          <w:rtl/>
        </w:rPr>
      </w:pPr>
      <w:r w:rsidRPr="00934F87">
        <w:t>5.1</w:t>
      </w:r>
      <w:r w:rsidRPr="00934F87">
        <w:tab/>
      </w:r>
      <w:r w:rsidRPr="00934F87">
        <w:rPr>
          <w:rFonts w:hint="cs"/>
          <w:rtl/>
        </w:rPr>
        <w:t>استعراض استعمال الطيف والاحتياجات من الطيف للخدمات القائمة في نطاق التردد</w:t>
      </w:r>
      <w:r w:rsidRPr="00934F87">
        <w:rPr>
          <w:rFonts w:hint="eastAsia"/>
          <w:rtl/>
        </w:rPr>
        <w:t> </w:t>
      </w:r>
      <w:r w:rsidRPr="00934F87">
        <w:t>MHz 960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والنظر في التدابير التنظيمية الممكنة في نطاق التردد </w:t>
      </w:r>
      <w:r w:rsidRPr="00934F87">
        <w:t>MHz 694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على أساس الاستعراض، وفقاً للقرار </w:t>
      </w:r>
      <w:r w:rsidRPr="00934F87">
        <w:rPr>
          <w:b/>
          <w:bCs/>
        </w:rPr>
        <w:t>235 (WRC</w:t>
      </w:r>
      <w:r w:rsidRPr="00934F87">
        <w:rPr>
          <w:b/>
          <w:bCs/>
        </w:rPr>
        <w:noBreakHyphen/>
      </w:r>
      <w:proofErr w:type="gramStart"/>
      <w:r w:rsidRPr="00934F87">
        <w:rPr>
          <w:b/>
          <w:bCs/>
        </w:rPr>
        <w:t>15)</w:t>
      </w:r>
      <w:r w:rsidRPr="00934F87">
        <w:rPr>
          <w:rtl/>
        </w:rPr>
        <w:t>؛</w:t>
      </w:r>
      <w:proofErr w:type="gramEnd"/>
    </w:p>
    <w:p w14:paraId="4DB2840E" w14:textId="2E7B1AD9" w:rsidR="00417E14" w:rsidRPr="00BE2EC9" w:rsidRDefault="00BE2EC9" w:rsidP="00BE2EC9">
      <w:pPr>
        <w:pStyle w:val="Headingb"/>
        <w:rPr>
          <w:rtl/>
          <w:lang w:bidi="ar-SA"/>
        </w:rPr>
      </w:pPr>
      <w:r w:rsidRPr="00BE2EC9">
        <w:rPr>
          <w:rFonts w:hint="cs"/>
          <w:rtl/>
        </w:rPr>
        <w:t>مقدمة</w:t>
      </w:r>
    </w:p>
    <w:p w14:paraId="2C8CCD37" w14:textId="3FD82BD1" w:rsidR="00BE2EC9" w:rsidRPr="00BE2EC9" w:rsidRDefault="00152FE4" w:rsidP="006806D9">
      <w:pPr>
        <w:rPr>
          <w:rtl/>
        </w:rPr>
      </w:pPr>
      <w:r>
        <w:rPr>
          <w:rFonts w:hint="cs"/>
          <w:rtl/>
        </w:rPr>
        <w:t>يسعى</w:t>
      </w:r>
      <w:r w:rsidR="00BE2EC9" w:rsidRPr="00BE2EC9">
        <w:rPr>
          <w:rtl/>
        </w:rPr>
        <w:t xml:space="preserve"> هذا البند من جدول الأعمال</w:t>
      </w:r>
      <w:r>
        <w:rPr>
          <w:rFonts w:hint="cs"/>
          <w:rtl/>
        </w:rPr>
        <w:t xml:space="preserve"> إلى تناول</w:t>
      </w:r>
      <w:r w:rsidR="00BE2EC9" w:rsidRPr="00BE2EC9">
        <w:rPr>
          <w:rtl/>
        </w:rPr>
        <w:t xml:space="preserve"> استعمال الطيف مستقبلاً في النطاق </w:t>
      </w:r>
      <w:r w:rsidR="00BE2EC9" w:rsidRPr="00BE2EC9">
        <w:t>MHz 694-470</w:t>
      </w:r>
      <w:r>
        <w:rPr>
          <w:rtl/>
        </w:rPr>
        <w:t xml:space="preserve"> في الإقليم 1. وفي هذا الصدد، ط</w:t>
      </w:r>
      <w:r>
        <w:rPr>
          <w:rFonts w:hint="cs"/>
          <w:rtl/>
        </w:rPr>
        <w:t>ُ</w:t>
      </w:r>
      <w:r w:rsidR="00BE2EC9" w:rsidRPr="00BE2EC9">
        <w:rPr>
          <w:rtl/>
        </w:rPr>
        <w:t>لب إجراء استعراض</w:t>
      </w:r>
      <w:r>
        <w:rPr>
          <w:rtl/>
        </w:rPr>
        <w:t xml:space="preserve"> للاستعمال الحالي للطيف ودراسة </w:t>
      </w:r>
      <w:r>
        <w:rPr>
          <w:rFonts w:hint="cs"/>
          <w:rtl/>
        </w:rPr>
        <w:t>بشأن ا</w:t>
      </w:r>
      <w:r w:rsidR="00BE2EC9" w:rsidRPr="00BE2EC9">
        <w:rPr>
          <w:rtl/>
        </w:rPr>
        <w:t xml:space="preserve">لاحتياجات المستقبلية من الطيف في نطاق التردد </w:t>
      </w:r>
      <w:r w:rsidR="00BE2EC9" w:rsidRPr="00BE2EC9">
        <w:t>MHz 960-470</w:t>
      </w:r>
      <w:r w:rsidR="00BE2EC9" w:rsidRPr="00BE2EC9">
        <w:rPr>
          <w:rtl/>
        </w:rPr>
        <w:t xml:space="preserve"> إضافةً إلى</w:t>
      </w:r>
      <w:r>
        <w:rPr>
          <w:rFonts w:hint="cs"/>
          <w:rtl/>
        </w:rPr>
        <w:t xml:space="preserve"> إجراء</w:t>
      </w:r>
      <w:r w:rsidR="00BE2EC9" w:rsidRPr="00BE2EC9">
        <w:rPr>
          <w:rtl/>
        </w:rPr>
        <w:t xml:space="preserve"> تقييم لنتائج دراسات التقاسم والتوافق بين </w:t>
      </w:r>
      <w:r w:rsidR="006806D9" w:rsidRPr="006806D9">
        <w:rPr>
          <w:rtl/>
        </w:rPr>
        <w:t>الطيف للخدمتين الإذاعية والمتنقلة، باستثناء المتنقلة للطيران</w:t>
      </w:r>
      <w:r w:rsidR="00BE2EC9" w:rsidRPr="00BE2EC9">
        <w:rPr>
          <w:rtl/>
        </w:rPr>
        <w:t>، في نطاق التردد </w:t>
      </w:r>
      <w:r w:rsidR="00BE2EC9" w:rsidRPr="00BE2EC9">
        <w:t>MHz 694-470</w:t>
      </w:r>
      <w:r w:rsidR="00BE2EC9" w:rsidRPr="00BE2EC9">
        <w:rPr>
          <w:rtl/>
        </w:rPr>
        <w:t xml:space="preserve"> وفقاً </w:t>
      </w:r>
      <w:r w:rsidR="006806D9" w:rsidRPr="00934F87">
        <w:rPr>
          <w:rFonts w:hint="cs"/>
          <w:rtl/>
        </w:rPr>
        <w:t>للقرار </w:t>
      </w:r>
      <w:r w:rsidR="006806D9" w:rsidRPr="00934F87">
        <w:rPr>
          <w:b/>
          <w:bCs/>
        </w:rPr>
        <w:t>235 (WRC</w:t>
      </w:r>
      <w:r w:rsidR="006806D9" w:rsidRPr="00934F87">
        <w:rPr>
          <w:b/>
          <w:bCs/>
        </w:rPr>
        <w:noBreakHyphen/>
        <w:t>15)</w:t>
      </w:r>
      <w:r w:rsidR="006806D9">
        <w:rPr>
          <w:rtl/>
        </w:rPr>
        <w:t xml:space="preserve"> </w:t>
      </w:r>
      <w:r w:rsidR="006806D9">
        <w:rPr>
          <w:rFonts w:hint="cs"/>
          <w:rtl/>
        </w:rPr>
        <w:t>من أجل ا</w:t>
      </w:r>
      <w:r w:rsidR="00BE2EC9" w:rsidRPr="00BE2EC9">
        <w:rPr>
          <w:rtl/>
        </w:rPr>
        <w:t>لنظر في الإجراءات التنظيمية الممكنة.</w:t>
      </w:r>
    </w:p>
    <w:p w14:paraId="25187123" w14:textId="02570AC7" w:rsidR="00BE2EC9" w:rsidRDefault="006806D9" w:rsidP="00BE2EC9">
      <w:pPr>
        <w:rPr>
          <w:rtl/>
        </w:rPr>
      </w:pPr>
      <w:r>
        <w:rPr>
          <w:rFonts w:hint="cs"/>
          <w:rtl/>
        </w:rPr>
        <w:t>و</w:t>
      </w:r>
      <w:r w:rsidR="00BE2EC9" w:rsidRPr="00BE2EC9">
        <w:rPr>
          <w:rtl/>
        </w:rPr>
        <w:t xml:space="preserve">يُوزع النطاق </w:t>
      </w:r>
      <w:r w:rsidR="00BE2EC9" w:rsidRPr="00BE2EC9">
        <w:t>MHz 960-470</w:t>
      </w:r>
      <w:r w:rsidR="00BE2EC9" w:rsidRPr="00BE2EC9">
        <w:rPr>
          <w:rtl/>
        </w:rPr>
        <w:t xml:space="preserve"> أو أجزاء منه للخدمات التالية على أساس أولي في الإقليم </w:t>
      </w:r>
      <w:r w:rsidR="00BE2EC9" w:rsidRPr="00BE2EC9">
        <w:t>1</w:t>
      </w:r>
      <w:r w:rsidR="00BE2EC9" w:rsidRPr="00BE2EC9">
        <w:rPr>
          <w:rtl/>
        </w:rPr>
        <w:t xml:space="preserve">: الخدمة الإذاعية في النطاق والخدمة المتنقلة باستثناء المتنقلة للطيران في النطاق </w:t>
      </w:r>
      <w:r w:rsidR="00BE2EC9" w:rsidRPr="00BE2EC9">
        <w:t>MHz 960-694</w:t>
      </w:r>
      <w:r w:rsidR="00BE2EC9" w:rsidRPr="00BE2EC9">
        <w:rPr>
          <w:rtl/>
        </w:rPr>
        <w:t xml:space="preserve">، والخدمة الثابتة في النطاق </w:t>
      </w:r>
      <w:r w:rsidR="00BE2EC9" w:rsidRPr="00BE2EC9">
        <w:t>MHz 960-790</w:t>
      </w:r>
      <w:r w:rsidR="00BE2EC9" w:rsidRPr="00BE2EC9">
        <w:rPr>
          <w:rtl/>
        </w:rPr>
        <w:t xml:space="preserve">. ويُوزع النطاق أيضاً أو أجزاء منه للخدمات التالية على أساس أولي في بعض بلدان الإقليم </w:t>
      </w:r>
      <w:r w:rsidR="00BE2EC9" w:rsidRPr="00BE2EC9">
        <w:t>1</w:t>
      </w:r>
      <w:r w:rsidR="00BE2EC9" w:rsidRPr="00BE2EC9">
        <w:rPr>
          <w:rtl/>
        </w:rPr>
        <w:t xml:space="preserve">: الملاحة الراديوية للطيران في النطاق </w:t>
      </w:r>
      <w:r w:rsidR="00BE2EC9" w:rsidRPr="00BE2EC9">
        <w:t>MHz 862-645</w:t>
      </w:r>
      <w:r w:rsidR="00BE2EC9" w:rsidRPr="00BE2EC9">
        <w:rPr>
          <w:rtl/>
        </w:rPr>
        <w:t xml:space="preserve"> وعلم الفلك الراديوي في النطاق </w:t>
      </w:r>
      <w:r w:rsidR="00BE2EC9" w:rsidRPr="00BE2EC9">
        <w:t>MHz 614-606</w:t>
      </w:r>
      <w:r w:rsidR="00BE2EC9" w:rsidRPr="00BE2EC9">
        <w:rPr>
          <w:rtl/>
        </w:rPr>
        <w:t>.</w:t>
      </w:r>
    </w:p>
    <w:p w14:paraId="0780513E" w14:textId="23CA882D" w:rsidR="00B40251" w:rsidRDefault="006806D9" w:rsidP="004A677A">
      <w:r>
        <w:rPr>
          <w:rFonts w:hint="cs"/>
          <w:rtl/>
        </w:rPr>
        <w:t>و</w:t>
      </w:r>
      <w:r w:rsidRPr="006806D9">
        <w:rPr>
          <w:rtl/>
        </w:rPr>
        <w:t>ترى إدار</w:t>
      </w:r>
      <w:r>
        <w:rPr>
          <w:rtl/>
        </w:rPr>
        <w:t>ات الاتحاد ال</w:t>
      </w:r>
      <w:r>
        <w:rPr>
          <w:rFonts w:hint="cs"/>
          <w:rtl/>
        </w:rPr>
        <w:t>إ</w:t>
      </w:r>
      <w:r w:rsidRPr="006806D9">
        <w:rPr>
          <w:rtl/>
        </w:rPr>
        <w:t xml:space="preserve">فريقي للاتصالات أن </w:t>
      </w:r>
      <w:r w:rsidR="00D05948" w:rsidRPr="00D05948">
        <w:rPr>
          <w:rtl/>
        </w:rPr>
        <w:t>الخدمات المساعدة للإذاعة وإنتاج البرامج (</w:t>
      </w:r>
      <w:r w:rsidR="00D05948" w:rsidRPr="00D05948">
        <w:t>SAB/SAP</w:t>
      </w:r>
      <w:r w:rsidR="00D05948" w:rsidRPr="00D05948">
        <w:rPr>
          <w:rtl/>
        </w:rPr>
        <w:t>)</w:t>
      </w:r>
      <w:r w:rsidRPr="006806D9">
        <w:rPr>
          <w:rtl/>
        </w:rPr>
        <w:t xml:space="preserve">، بموجب </w:t>
      </w:r>
      <w:r w:rsidR="00355668" w:rsidRPr="00355668">
        <w:rPr>
          <w:rtl/>
        </w:rPr>
        <w:t xml:space="preserve">الرقم </w:t>
      </w:r>
      <w:r w:rsidR="00355668" w:rsidRPr="00B40251">
        <w:rPr>
          <w:b/>
          <w:bCs/>
          <w:rtl/>
        </w:rPr>
        <w:t>296.5</w:t>
      </w:r>
      <w:r w:rsidR="00355668" w:rsidRPr="00355668">
        <w:rPr>
          <w:rtl/>
        </w:rPr>
        <w:t xml:space="preserve"> من لوائح الراديو</w:t>
      </w:r>
      <w:r w:rsidRPr="006806D9">
        <w:rPr>
          <w:rtl/>
        </w:rPr>
        <w:t xml:space="preserve">، </w:t>
      </w:r>
      <w:r w:rsidR="00D05948">
        <w:rPr>
          <w:rFonts w:hint="cs"/>
          <w:rtl/>
        </w:rPr>
        <w:t>ستظل بحاجة إلى النفاذ</w:t>
      </w:r>
      <w:r w:rsidR="00355668">
        <w:rPr>
          <w:rFonts w:hint="cs"/>
          <w:rtl/>
        </w:rPr>
        <w:t xml:space="preserve"> </w:t>
      </w:r>
      <w:r w:rsidRPr="006806D9">
        <w:rPr>
          <w:rtl/>
        </w:rPr>
        <w:t xml:space="preserve">إلى نطاق التردد </w:t>
      </w:r>
      <w:r w:rsidR="00355668" w:rsidRPr="00BE2EC9">
        <w:t>MHz 694-470</w:t>
      </w:r>
      <w:r w:rsidRPr="006806D9">
        <w:rPr>
          <w:rtl/>
        </w:rPr>
        <w:t xml:space="preserve"> في المستقبل المنظور</w:t>
      </w:r>
      <w:r w:rsidR="00B40251">
        <w:rPr>
          <w:rFonts w:hint="cs"/>
          <w:rtl/>
        </w:rPr>
        <w:t>. كما ترى أن</w:t>
      </w:r>
      <w:r w:rsidRPr="006806D9">
        <w:rPr>
          <w:rtl/>
        </w:rPr>
        <w:t xml:space="preserve"> </w:t>
      </w:r>
      <w:r w:rsidR="00D05948" w:rsidRPr="00D05948">
        <w:rPr>
          <w:rtl/>
        </w:rPr>
        <w:t>التوافق عبر الحدود بين تطبيقات الخدمتين الإذاعية والمتنقلة التي تستخدم الوصلة الصاعدة إلى المحطات القاعدة</w:t>
      </w:r>
      <w:r w:rsidR="00D05948">
        <w:rPr>
          <w:rFonts w:hint="cs"/>
          <w:rtl/>
        </w:rPr>
        <w:t xml:space="preserve"> مثل </w:t>
      </w:r>
      <w:r w:rsidR="00D05948">
        <w:rPr>
          <w:rtl/>
        </w:rPr>
        <w:t>الاتصالات المتنقلة الدولية غالب</w:t>
      </w:r>
      <w:r w:rsidR="00D05948">
        <w:rPr>
          <w:rFonts w:hint="cs"/>
          <w:rtl/>
        </w:rPr>
        <w:t>اً</w:t>
      </w:r>
      <w:r w:rsidR="00D05948" w:rsidRPr="00D05948">
        <w:rPr>
          <w:rtl/>
        </w:rPr>
        <w:t xml:space="preserve"> ما ي</w:t>
      </w:r>
      <w:r w:rsidR="00D05948">
        <w:rPr>
          <w:rtl/>
        </w:rPr>
        <w:t>تطلب مسافات فصل كبيرة</w:t>
      </w:r>
      <w:r w:rsidRPr="006806D9">
        <w:rPr>
          <w:rtl/>
        </w:rPr>
        <w:t xml:space="preserve">، مما قد يؤدي إلى استحالة عملية </w:t>
      </w:r>
      <w:r w:rsidR="00D05948">
        <w:rPr>
          <w:rFonts w:hint="cs"/>
          <w:rtl/>
        </w:rPr>
        <w:t>ل</w:t>
      </w:r>
      <w:r w:rsidRPr="006806D9">
        <w:rPr>
          <w:rtl/>
        </w:rPr>
        <w:t>تنف</w:t>
      </w:r>
      <w:r w:rsidR="00D05948">
        <w:rPr>
          <w:rtl/>
        </w:rPr>
        <w:t>يذ الخدمتين في البلدان المجاورة</w:t>
      </w:r>
      <w:r w:rsidR="00D05948">
        <w:rPr>
          <w:rFonts w:hint="cs"/>
          <w:rtl/>
        </w:rPr>
        <w:t>.</w:t>
      </w:r>
      <w:r w:rsidR="00600216">
        <w:rPr>
          <w:rFonts w:hint="cs"/>
          <w:rtl/>
        </w:rPr>
        <w:t xml:space="preserve"> </w:t>
      </w:r>
      <w:r w:rsidR="00D05948" w:rsidRPr="00D05948">
        <w:rPr>
          <w:rtl/>
        </w:rPr>
        <w:t xml:space="preserve">وجدير بالذكر أن الإطار الحالي للاتفاق </w:t>
      </w:r>
      <w:r w:rsidR="00D05948" w:rsidRPr="00D05948">
        <w:t>GE06</w:t>
      </w:r>
      <w:r w:rsidR="00D05948" w:rsidRPr="00D05948">
        <w:rPr>
          <w:rtl/>
        </w:rPr>
        <w:t xml:space="preserve"> يسمح</w:t>
      </w:r>
      <w:r w:rsidR="0001537F">
        <w:rPr>
          <w:rFonts w:hint="cs"/>
          <w:rtl/>
        </w:rPr>
        <w:t xml:space="preserve">، بمقتضى </w:t>
      </w:r>
      <w:r w:rsidR="00024A23">
        <w:rPr>
          <w:rFonts w:hint="cs"/>
          <w:rtl/>
        </w:rPr>
        <w:t xml:space="preserve">الخدمة الإذاعية، باستخدام </w:t>
      </w:r>
      <w:r w:rsidR="00D05948" w:rsidRPr="00D05948">
        <w:rPr>
          <w:rtl/>
        </w:rPr>
        <w:t xml:space="preserve">تكنولوجيات غير الإذاعة </w:t>
      </w:r>
      <w:proofErr w:type="spellStart"/>
      <w:r w:rsidR="00D05948" w:rsidRPr="00D05948">
        <w:rPr>
          <w:rtl/>
        </w:rPr>
        <w:t>الفيديوية</w:t>
      </w:r>
      <w:proofErr w:type="spellEnd"/>
      <w:r w:rsidR="00D05948" w:rsidRPr="00D05948">
        <w:rPr>
          <w:rtl/>
        </w:rPr>
        <w:t xml:space="preserve"> الرقمية (</w:t>
      </w:r>
      <w:r w:rsidR="00D05948" w:rsidRPr="00D05948">
        <w:t>DVB</w:t>
      </w:r>
      <w:r w:rsidR="00D05948" w:rsidRPr="00D05948">
        <w:rPr>
          <w:rtl/>
        </w:rPr>
        <w:t>) ضمن مفه</w:t>
      </w:r>
      <w:r w:rsidR="00024A23">
        <w:rPr>
          <w:rtl/>
        </w:rPr>
        <w:t xml:space="preserve">وم </w:t>
      </w:r>
      <w:r w:rsidR="004A677A">
        <w:rPr>
          <w:rFonts w:hint="cs"/>
          <w:rtl/>
        </w:rPr>
        <w:t>الغلاف</w:t>
      </w:r>
      <w:r w:rsidR="00024A23">
        <w:rPr>
          <w:rtl/>
        </w:rPr>
        <w:t xml:space="preserve"> </w:t>
      </w:r>
      <w:r w:rsidR="004A677A">
        <w:rPr>
          <w:rFonts w:hint="cs"/>
          <w:rtl/>
        </w:rPr>
        <w:t>الذي</w:t>
      </w:r>
      <w:r w:rsidR="00024A23">
        <w:rPr>
          <w:rFonts w:hint="cs"/>
          <w:rtl/>
        </w:rPr>
        <w:t xml:space="preserve"> </w:t>
      </w:r>
      <w:r w:rsidR="004A677A">
        <w:rPr>
          <w:rFonts w:hint="cs"/>
          <w:rtl/>
        </w:rPr>
        <w:t>من شأنه أن ي</w:t>
      </w:r>
      <w:r w:rsidR="00024A23">
        <w:rPr>
          <w:rFonts w:hint="cs"/>
          <w:rtl/>
        </w:rPr>
        <w:t>ن</w:t>
      </w:r>
      <w:r w:rsidR="004A677A">
        <w:rPr>
          <w:rFonts w:hint="cs"/>
          <w:rtl/>
        </w:rPr>
        <w:t>طبق على تطبيقات الوصلات الهابطة</w:t>
      </w:r>
      <w:r w:rsidR="00024A23">
        <w:rPr>
          <w:rFonts w:hint="cs"/>
          <w:rtl/>
        </w:rPr>
        <w:t xml:space="preserve"> (مثل </w:t>
      </w:r>
      <w:r w:rsidR="001F1FF1">
        <w:rPr>
          <w:rFonts w:hint="cs"/>
          <w:rtl/>
        </w:rPr>
        <w:t>إذاعة الجيل الخامس (</w:t>
      </w:r>
      <w:r w:rsidR="001F1FF1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5G</w:t>
      </w:r>
      <w:r w:rsidR="001F1FF1">
        <w:rPr>
          <w:rFonts w:hint="cs"/>
          <w:rtl/>
        </w:rPr>
        <w:t>)</w:t>
      </w:r>
      <w:r w:rsidR="00024A23">
        <w:rPr>
          <w:rFonts w:hint="cs"/>
          <w:rtl/>
        </w:rPr>
        <w:t>)</w:t>
      </w:r>
      <w:r w:rsidR="001F1FF1">
        <w:rPr>
          <w:rFonts w:hint="cs"/>
          <w:rtl/>
        </w:rPr>
        <w:t>.</w:t>
      </w:r>
      <w:r w:rsidR="00D05948" w:rsidRPr="00D05948">
        <w:rPr>
          <w:rtl/>
        </w:rPr>
        <w:tab/>
      </w:r>
    </w:p>
    <w:p w14:paraId="2B4A00F4" w14:textId="60611570" w:rsidR="004C67F1" w:rsidRPr="00A3795C" w:rsidRDefault="004C67F1" w:rsidP="00355668">
      <w:pPr>
        <w:rPr>
          <w:lang w:bidi="ar-EG"/>
        </w:rPr>
      </w:pPr>
      <w:r>
        <w:rPr>
          <w:rtl/>
          <w:lang w:val="en-GB" w:bidi="ar-EG"/>
        </w:rPr>
        <w:br w:type="page"/>
      </w:r>
    </w:p>
    <w:p w14:paraId="3E308B9E" w14:textId="77777777" w:rsidR="00E866DF" w:rsidRDefault="00B07282">
      <w:pPr>
        <w:pStyle w:val="Proposal"/>
      </w:pPr>
      <w:r>
        <w:rPr>
          <w:u w:val="single"/>
        </w:rPr>
        <w:lastRenderedPageBreak/>
        <w:t>NOC</w:t>
      </w:r>
      <w:r>
        <w:tab/>
        <w:t>AFCP/87A5/1</w:t>
      </w:r>
    </w:p>
    <w:p w14:paraId="6768F9B9" w14:textId="77777777" w:rsidR="00675555" w:rsidRPr="002B699D" w:rsidRDefault="00675555" w:rsidP="00675555">
      <w:pPr>
        <w:pStyle w:val="Volumetitle"/>
        <w:rPr>
          <w:sz w:val="48"/>
          <w:szCs w:val="48"/>
        </w:rPr>
      </w:pPr>
      <w:r w:rsidRPr="002B699D">
        <w:rPr>
          <w:rFonts w:hint="cs"/>
          <w:sz w:val="48"/>
          <w:szCs w:val="48"/>
          <w:rtl/>
        </w:rPr>
        <w:t>المــواد</w:t>
      </w:r>
    </w:p>
    <w:p w14:paraId="4141196E" w14:textId="7DD157DC" w:rsidR="00E866DF" w:rsidRDefault="00B07282" w:rsidP="00D224EF">
      <w:pPr>
        <w:pStyle w:val="Reasons"/>
        <w:jc w:val="left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8B53DE">
        <w:rPr>
          <w:b w:val="0"/>
          <w:bCs w:val="0"/>
          <w:rtl/>
        </w:rPr>
        <w:br/>
      </w:r>
      <w:r w:rsidR="008B53DE">
        <w:rPr>
          <w:rFonts w:hint="cs"/>
          <w:b w:val="0"/>
          <w:bCs w:val="0"/>
          <w:rtl/>
        </w:rPr>
        <w:t>1)</w:t>
      </w:r>
      <w:r w:rsidR="008B53DE">
        <w:rPr>
          <w:b w:val="0"/>
          <w:bCs w:val="0"/>
          <w:rtl/>
        </w:rPr>
        <w:tab/>
      </w:r>
      <w:r w:rsidR="00A96D8A" w:rsidRPr="00A96D8A">
        <w:rPr>
          <w:b w:val="0"/>
          <w:bCs w:val="0"/>
          <w:rtl/>
        </w:rPr>
        <w:t>ستظل الخدمات المساعدة للإذاعة وإنتاج البرامج (</w:t>
      </w:r>
      <w:r w:rsidR="00A96D8A" w:rsidRPr="00A96D8A">
        <w:rPr>
          <w:b w:val="0"/>
          <w:bCs w:val="0"/>
        </w:rPr>
        <w:t>SAB/SAP</w:t>
      </w:r>
      <w:r w:rsidR="00A96D8A" w:rsidRPr="00A96D8A">
        <w:rPr>
          <w:b w:val="0"/>
          <w:bCs w:val="0"/>
          <w:rtl/>
        </w:rPr>
        <w:t>)، بموجب الرقم</w:t>
      </w:r>
      <w:r w:rsidR="00A96D8A" w:rsidRPr="00A96D8A">
        <w:rPr>
          <w:rtl/>
        </w:rPr>
        <w:t xml:space="preserve"> 296.5</w:t>
      </w:r>
      <w:r w:rsidR="00A96D8A" w:rsidRPr="00A96D8A">
        <w:rPr>
          <w:b w:val="0"/>
          <w:bCs w:val="0"/>
          <w:rtl/>
        </w:rPr>
        <w:t xml:space="preserve"> من لوائح الراديو، بحاجة إلى النفاذ إلى نطاق التردد </w:t>
      </w:r>
      <w:r w:rsidR="00A96D8A" w:rsidRPr="00A96D8A">
        <w:rPr>
          <w:b w:val="0"/>
          <w:bCs w:val="0"/>
        </w:rPr>
        <w:t>MHz 694-470</w:t>
      </w:r>
      <w:r w:rsidR="00A96D8A" w:rsidRPr="00A96D8A">
        <w:rPr>
          <w:b w:val="0"/>
          <w:bCs w:val="0"/>
          <w:rtl/>
        </w:rPr>
        <w:t xml:space="preserve"> في المستقبل المنظور</w:t>
      </w:r>
      <w:r w:rsidR="00600216" w:rsidRPr="00600216">
        <w:rPr>
          <w:b w:val="0"/>
          <w:bCs w:val="0"/>
          <w:rtl/>
        </w:rPr>
        <w:t>.</w:t>
      </w:r>
      <w:r w:rsidR="00600216">
        <w:rPr>
          <w:rFonts w:hint="cs"/>
          <w:b w:val="0"/>
          <w:bCs w:val="0"/>
          <w:rtl/>
        </w:rPr>
        <w:t xml:space="preserve"> </w:t>
      </w:r>
      <w:r w:rsidR="008B53DE">
        <w:rPr>
          <w:b w:val="0"/>
          <w:bCs w:val="0"/>
          <w:rtl/>
        </w:rPr>
        <w:br/>
      </w:r>
      <w:r w:rsidR="008B53DE">
        <w:rPr>
          <w:rFonts w:hint="cs"/>
          <w:b w:val="0"/>
          <w:bCs w:val="0"/>
          <w:rtl/>
        </w:rPr>
        <w:t>2)</w:t>
      </w:r>
      <w:r w:rsidR="008B53DE">
        <w:rPr>
          <w:b w:val="0"/>
          <w:bCs w:val="0"/>
          <w:rtl/>
        </w:rPr>
        <w:tab/>
      </w:r>
      <w:r w:rsidR="00A96D8A">
        <w:rPr>
          <w:rFonts w:hint="cs"/>
          <w:b w:val="0"/>
          <w:bCs w:val="0"/>
          <w:rtl/>
        </w:rPr>
        <w:t xml:space="preserve">غالباً ما يتطلب </w:t>
      </w:r>
      <w:r w:rsidR="00A96D8A" w:rsidRPr="00A96D8A">
        <w:rPr>
          <w:b w:val="0"/>
          <w:bCs w:val="0"/>
          <w:rtl/>
        </w:rPr>
        <w:t>التوافق عبر الحدود بين تطبيقات الخدمتين الإذاعية والمتنقلة التي تستخدم الوصلة الصاعدة إلى المحطات القاعدة مثل الاتصالات المتنقلة الدولية مسافات فصل كبيرة</w:t>
      </w:r>
      <w:r w:rsidR="00600216" w:rsidRPr="00600216">
        <w:rPr>
          <w:b w:val="0"/>
          <w:bCs w:val="0"/>
          <w:rtl/>
        </w:rPr>
        <w:t>، مما قد يؤدي إلى استحالة عملية تنف</w:t>
      </w:r>
      <w:r w:rsidR="00A96D8A">
        <w:rPr>
          <w:b w:val="0"/>
          <w:bCs w:val="0"/>
          <w:rtl/>
        </w:rPr>
        <w:t>يذ الخدمتين في البلدان المجاورة</w:t>
      </w:r>
      <w:r w:rsidR="008B53DE">
        <w:rPr>
          <w:rFonts w:hint="cs"/>
          <w:b w:val="0"/>
          <w:bCs w:val="0"/>
          <w:rtl/>
        </w:rPr>
        <w:t>.</w:t>
      </w:r>
      <w:r w:rsidR="00D224EF">
        <w:rPr>
          <w:b w:val="0"/>
          <w:bCs w:val="0"/>
        </w:rPr>
        <w:br/>
      </w:r>
      <w:r w:rsidR="008B53DE">
        <w:rPr>
          <w:rFonts w:hint="cs"/>
          <w:b w:val="0"/>
          <w:bCs w:val="0"/>
          <w:rtl/>
        </w:rPr>
        <w:t>3)</w:t>
      </w:r>
      <w:r w:rsidR="008B53DE">
        <w:rPr>
          <w:b w:val="0"/>
          <w:bCs w:val="0"/>
          <w:rtl/>
        </w:rPr>
        <w:tab/>
      </w:r>
      <w:r w:rsidR="004A677A">
        <w:rPr>
          <w:rFonts w:hint="cs"/>
          <w:b w:val="0"/>
          <w:bCs w:val="0"/>
          <w:rtl/>
        </w:rPr>
        <w:t>يسمح</w:t>
      </w:r>
      <w:r w:rsidR="004A677A" w:rsidRPr="004A677A">
        <w:rPr>
          <w:b w:val="0"/>
          <w:bCs w:val="0"/>
          <w:rtl/>
        </w:rPr>
        <w:t xml:space="preserve"> الإطار الحالي للاتفاق </w:t>
      </w:r>
      <w:r w:rsidR="004A677A" w:rsidRPr="004A677A">
        <w:rPr>
          <w:b w:val="0"/>
          <w:bCs w:val="0"/>
        </w:rPr>
        <w:t>GE06</w:t>
      </w:r>
      <w:r w:rsidR="004A677A" w:rsidRPr="004A677A">
        <w:rPr>
          <w:b w:val="0"/>
          <w:bCs w:val="0"/>
          <w:rtl/>
        </w:rPr>
        <w:t xml:space="preserve">، </w:t>
      </w:r>
      <w:r w:rsidR="004A677A">
        <w:rPr>
          <w:b w:val="0"/>
          <w:bCs w:val="0"/>
          <w:rtl/>
        </w:rPr>
        <w:t>بمقتضى الخدمة الإذاعية، باست</w:t>
      </w:r>
      <w:r w:rsidR="004A677A">
        <w:rPr>
          <w:rFonts w:hint="cs"/>
          <w:b w:val="0"/>
          <w:bCs w:val="0"/>
          <w:rtl/>
        </w:rPr>
        <w:t>عمال</w:t>
      </w:r>
      <w:r w:rsidR="004A677A" w:rsidRPr="004A677A">
        <w:rPr>
          <w:b w:val="0"/>
          <w:bCs w:val="0"/>
          <w:rtl/>
        </w:rPr>
        <w:t xml:space="preserve"> تكنولوجيات غير الإذاعة </w:t>
      </w:r>
      <w:proofErr w:type="spellStart"/>
      <w:r w:rsidR="004A677A" w:rsidRPr="004A677A">
        <w:rPr>
          <w:b w:val="0"/>
          <w:bCs w:val="0"/>
          <w:rtl/>
        </w:rPr>
        <w:t>الفيديوية</w:t>
      </w:r>
      <w:proofErr w:type="spellEnd"/>
      <w:r w:rsidR="004A677A" w:rsidRPr="004A677A">
        <w:rPr>
          <w:b w:val="0"/>
          <w:bCs w:val="0"/>
          <w:rtl/>
        </w:rPr>
        <w:t xml:space="preserve"> الرقمية (</w:t>
      </w:r>
      <w:r w:rsidR="004A677A" w:rsidRPr="004A677A">
        <w:rPr>
          <w:b w:val="0"/>
          <w:bCs w:val="0"/>
        </w:rPr>
        <w:t>DVB</w:t>
      </w:r>
      <w:r w:rsidR="004A677A" w:rsidRPr="004A677A">
        <w:rPr>
          <w:b w:val="0"/>
          <w:bCs w:val="0"/>
          <w:rtl/>
        </w:rPr>
        <w:t xml:space="preserve">) ضمن مفهوم </w:t>
      </w:r>
      <w:r w:rsidR="004A677A">
        <w:rPr>
          <w:rFonts w:hint="cs"/>
          <w:b w:val="0"/>
          <w:bCs w:val="0"/>
          <w:rtl/>
        </w:rPr>
        <w:t>الغلاف</w:t>
      </w:r>
      <w:r w:rsidR="004A677A">
        <w:rPr>
          <w:b w:val="0"/>
          <w:bCs w:val="0"/>
          <w:rtl/>
        </w:rPr>
        <w:t xml:space="preserve"> ال</w:t>
      </w:r>
      <w:r w:rsidR="004A677A">
        <w:rPr>
          <w:rFonts w:hint="cs"/>
          <w:b w:val="0"/>
          <w:bCs w:val="0"/>
          <w:rtl/>
        </w:rPr>
        <w:t>ذ</w:t>
      </w:r>
      <w:r w:rsidR="004A677A">
        <w:rPr>
          <w:b w:val="0"/>
          <w:bCs w:val="0"/>
          <w:rtl/>
        </w:rPr>
        <w:t xml:space="preserve">ي من شأنه أن </w:t>
      </w:r>
      <w:r w:rsidR="004A677A">
        <w:rPr>
          <w:rFonts w:hint="cs"/>
          <w:b w:val="0"/>
          <w:bCs w:val="0"/>
          <w:rtl/>
        </w:rPr>
        <w:t>ي</w:t>
      </w:r>
      <w:r w:rsidR="004A677A" w:rsidRPr="004A677A">
        <w:rPr>
          <w:b w:val="0"/>
          <w:bCs w:val="0"/>
          <w:rtl/>
        </w:rPr>
        <w:t>نطبق على تطبيقات الوصلات الهابطة</w:t>
      </w:r>
      <w:r w:rsidR="004A677A">
        <w:rPr>
          <w:rFonts w:hint="cs"/>
          <w:b w:val="0"/>
          <w:bCs w:val="0"/>
          <w:rtl/>
        </w:rPr>
        <w:t>.</w:t>
      </w:r>
      <w:r w:rsidR="00D224EF">
        <w:rPr>
          <w:b w:val="0"/>
          <w:bCs w:val="0"/>
        </w:rPr>
        <w:br/>
      </w:r>
      <w:r w:rsidR="00600216">
        <w:rPr>
          <w:rFonts w:hint="cs"/>
          <w:b w:val="0"/>
          <w:bCs w:val="0"/>
          <w:rtl/>
        </w:rPr>
        <w:t>4</w:t>
      </w:r>
      <w:r w:rsidR="008B53DE">
        <w:rPr>
          <w:rFonts w:hint="cs"/>
          <w:b w:val="0"/>
          <w:bCs w:val="0"/>
          <w:rtl/>
        </w:rPr>
        <w:t>)</w:t>
      </w:r>
      <w:r w:rsidR="008B53DE">
        <w:rPr>
          <w:b w:val="0"/>
          <w:bCs w:val="0"/>
          <w:rtl/>
        </w:rPr>
        <w:tab/>
      </w:r>
      <w:r w:rsidR="005C3E5E">
        <w:rPr>
          <w:rFonts w:hint="cs"/>
          <w:b w:val="0"/>
          <w:bCs w:val="0"/>
          <w:rtl/>
        </w:rPr>
        <w:t>كان</w:t>
      </w:r>
      <w:r w:rsidR="005C3E5E">
        <w:rPr>
          <w:b w:val="0"/>
          <w:bCs w:val="0"/>
          <w:rtl/>
        </w:rPr>
        <w:t xml:space="preserve"> الممكن دائم</w:t>
      </w:r>
      <w:r w:rsidR="005C3E5E">
        <w:rPr>
          <w:rFonts w:hint="cs"/>
          <w:b w:val="0"/>
          <w:bCs w:val="0"/>
          <w:rtl/>
        </w:rPr>
        <w:t>اً</w:t>
      </w:r>
      <w:r w:rsidR="00600216" w:rsidRPr="00600216">
        <w:rPr>
          <w:b w:val="0"/>
          <w:bCs w:val="0"/>
          <w:rtl/>
        </w:rPr>
        <w:t xml:space="preserve"> على المستوى الوطني، خارج نطاق التنسيق، أن يكون هناك </w:t>
      </w:r>
      <w:r w:rsidR="005C3E5E">
        <w:rPr>
          <w:rFonts w:hint="cs"/>
          <w:b w:val="0"/>
          <w:bCs w:val="0"/>
          <w:rtl/>
        </w:rPr>
        <w:t>استعمال</w:t>
      </w:r>
      <w:r w:rsidR="00600216" w:rsidRPr="00600216">
        <w:rPr>
          <w:b w:val="0"/>
          <w:bCs w:val="0"/>
          <w:rtl/>
        </w:rPr>
        <w:t xml:space="preserve"> متنقل </w:t>
      </w:r>
      <w:r w:rsidR="005C3E5E">
        <w:rPr>
          <w:b w:val="0"/>
          <w:bCs w:val="0"/>
          <w:rtl/>
        </w:rPr>
        <w:t>على أساس عدم التداخل وعدم الحماية</w:t>
      </w:r>
      <w:r w:rsidR="00600216" w:rsidRPr="00600216">
        <w:rPr>
          <w:b w:val="0"/>
          <w:bCs w:val="0"/>
          <w:rtl/>
        </w:rPr>
        <w:t xml:space="preserve"> فيما يت</w:t>
      </w:r>
      <w:r w:rsidR="00600216">
        <w:rPr>
          <w:b w:val="0"/>
          <w:bCs w:val="0"/>
          <w:rtl/>
        </w:rPr>
        <w:t>علق باستخدام البث في بلدان أخرى</w:t>
      </w:r>
      <w:r w:rsidR="008B53DE">
        <w:rPr>
          <w:rFonts w:hint="cs"/>
          <w:b w:val="0"/>
          <w:bCs w:val="0"/>
          <w:rtl/>
        </w:rPr>
        <w:t>.</w:t>
      </w:r>
      <w:r w:rsidR="00D224EF">
        <w:rPr>
          <w:b w:val="0"/>
          <w:bCs w:val="0"/>
        </w:rPr>
        <w:br/>
      </w:r>
      <w:r w:rsidR="008B53DE">
        <w:rPr>
          <w:rFonts w:hint="cs"/>
          <w:b w:val="0"/>
          <w:bCs w:val="0"/>
          <w:rtl/>
        </w:rPr>
        <w:t>5)</w:t>
      </w:r>
      <w:r w:rsidR="008B53DE">
        <w:rPr>
          <w:b w:val="0"/>
          <w:bCs w:val="0"/>
          <w:rtl/>
        </w:rPr>
        <w:tab/>
      </w:r>
      <w:r w:rsidR="00600216" w:rsidRPr="00600216">
        <w:rPr>
          <w:b w:val="0"/>
          <w:bCs w:val="0"/>
          <w:rtl/>
        </w:rPr>
        <w:t xml:space="preserve">يمكن تشغيل التطبيقات المتنقلة بموجب الرقم </w:t>
      </w:r>
      <w:r w:rsidR="00600216" w:rsidRPr="005C3E5E">
        <w:rPr>
          <w:rtl/>
        </w:rPr>
        <w:t>4.4</w:t>
      </w:r>
      <w:r w:rsidR="00600216" w:rsidRPr="00600216">
        <w:rPr>
          <w:b w:val="0"/>
          <w:bCs w:val="0"/>
          <w:rtl/>
        </w:rPr>
        <w:t xml:space="preserve"> من</w:t>
      </w:r>
      <w:r w:rsidR="005C3E5E">
        <w:rPr>
          <w:b w:val="0"/>
          <w:bCs w:val="0"/>
          <w:rtl/>
        </w:rPr>
        <w:t xml:space="preserve"> لوائح الراديو، على سبيل المثال</w:t>
      </w:r>
      <w:r w:rsidR="00600216" w:rsidRPr="00600216">
        <w:rPr>
          <w:b w:val="0"/>
          <w:bCs w:val="0"/>
          <w:rtl/>
        </w:rPr>
        <w:t xml:space="preserve"> </w:t>
      </w:r>
      <w:r w:rsidR="005C3E5E">
        <w:rPr>
          <w:rFonts w:hint="cs"/>
          <w:b w:val="0"/>
          <w:bCs w:val="0"/>
          <w:rtl/>
        </w:rPr>
        <w:t>بواسطة التشغيل</w:t>
      </w:r>
      <w:r w:rsidR="00600216" w:rsidRPr="00600216">
        <w:rPr>
          <w:b w:val="0"/>
          <w:bCs w:val="0"/>
          <w:rtl/>
        </w:rPr>
        <w:t xml:space="preserve"> في الطيف </w:t>
      </w:r>
      <w:proofErr w:type="spellStart"/>
      <w:r w:rsidR="00600216" w:rsidRPr="00600216">
        <w:rPr>
          <w:b w:val="0"/>
          <w:bCs w:val="0"/>
          <w:rtl/>
        </w:rPr>
        <w:t>المشذ</w:t>
      </w:r>
      <w:r w:rsidR="005C3E5E">
        <w:rPr>
          <w:rFonts w:hint="cs"/>
          <w:b w:val="0"/>
          <w:bCs w:val="0"/>
          <w:rtl/>
        </w:rPr>
        <w:t>ّ</w:t>
      </w:r>
      <w:r w:rsidR="00600216" w:rsidRPr="00600216">
        <w:rPr>
          <w:b w:val="0"/>
          <w:bCs w:val="0"/>
          <w:rtl/>
        </w:rPr>
        <w:t>ر</w:t>
      </w:r>
      <w:proofErr w:type="spellEnd"/>
      <w:r w:rsidR="00600216" w:rsidRPr="00600216">
        <w:rPr>
          <w:b w:val="0"/>
          <w:bCs w:val="0"/>
          <w:rtl/>
        </w:rPr>
        <w:t xml:space="preserve"> لحقوق </w:t>
      </w:r>
      <w:r w:rsidR="005C3E5E">
        <w:rPr>
          <w:rFonts w:hint="cs"/>
          <w:b w:val="0"/>
          <w:bCs w:val="0"/>
          <w:rtl/>
        </w:rPr>
        <w:t>الإذاعة.</w:t>
      </w:r>
    </w:p>
    <w:p w14:paraId="79796806" w14:textId="27330839" w:rsidR="00E866DF" w:rsidRDefault="00B07282">
      <w:pPr>
        <w:pStyle w:val="Proposal"/>
      </w:pPr>
      <w:r>
        <w:t>SUP</w:t>
      </w:r>
      <w:r>
        <w:tab/>
        <w:t>AFCP/87A5/2</w:t>
      </w:r>
      <w:r>
        <w:rPr>
          <w:vanish/>
          <w:color w:val="7F7F7F" w:themeColor="text1" w:themeTint="80"/>
          <w:vertAlign w:val="superscript"/>
        </w:rPr>
        <w:t>#1580</w:t>
      </w:r>
    </w:p>
    <w:p w14:paraId="4198B0EE" w14:textId="77777777" w:rsidR="00B07282" w:rsidRPr="009168B1" w:rsidRDefault="00B07282" w:rsidP="00B0540C">
      <w:pPr>
        <w:pStyle w:val="ResNo"/>
        <w:rPr>
          <w:rtl/>
        </w:rPr>
      </w:pPr>
      <w:r w:rsidRPr="009168B1">
        <w:rPr>
          <w:rtl/>
        </w:rPr>
        <w:t xml:space="preserve">القـرار </w:t>
      </w:r>
      <w:r w:rsidRPr="009168B1">
        <w:rPr>
          <w:rStyle w:val="href"/>
        </w:rPr>
        <w:t>235</w:t>
      </w:r>
      <w:r w:rsidRPr="009168B1">
        <w:t> (WRC</w:t>
      </w:r>
      <w:r w:rsidRPr="009168B1">
        <w:noBreakHyphen/>
        <w:t>15)</w:t>
      </w:r>
    </w:p>
    <w:p w14:paraId="19C872F4" w14:textId="77777777" w:rsidR="00B07282" w:rsidRPr="009168B1" w:rsidRDefault="00B07282" w:rsidP="00B0540C">
      <w:pPr>
        <w:pStyle w:val="Restitle"/>
        <w:rPr>
          <w:rtl/>
        </w:rPr>
      </w:pPr>
      <w:bookmarkStart w:id="1" w:name="_Toc40075801"/>
      <w:r w:rsidRPr="009168B1">
        <w:rPr>
          <w:rtl/>
        </w:rPr>
        <w:t xml:space="preserve">استعراض استعمال الطيف لنطاق التردد </w:t>
      </w:r>
      <w:r w:rsidRPr="009168B1">
        <w:t>MHz 960-470</w:t>
      </w:r>
      <w:r w:rsidRPr="009168B1">
        <w:rPr>
          <w:rtl/>
        </w:rPr>
        <w:t xml:space="preserve"> في الإقليم </w:t>
      </w:r>
      <w:r w:rsidRPr="009168B1">
        <w:t>1</w:t>
      </w:r>
      <w:bookmarkEnd w:id="1"/>
    </w:p>
    <w:p w14:paraId="39EEC1F9" w14:textId="4BD4AE79" w:rsidR="00E866DF" w:rsidRDefault="00B07282" w:rsidP="005C3E5E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C3E5E">
        <w:rPr>
          <w:rFonts w:hint="cs"/>
          <w:b w:val="0"/>
          <w:bCs w:val="0"/>
          <w:rtl/>
        </w:rPr>
        <w:t>ليست هناك</w:t>
      </w:r>
      <w:r w:rsidR="00600216">
        <w:rPr>
          <w:rFonts w:hint="cs"/>
          <w:b w:val="0"/>
          <w:bCs w:val="0"/>
          <w:rtl/>
        </w:rPr>
        <w:t xml:space="preserve"> </w:t>
      </w:r>
      <w:r w:rsidR="005C3E5E">
        <w:rPr>
          <w:b w:val="0"/>
          <w:bCs w:val="0"/>
          <w:rtl/>
        </w:rPr>
        <w:t xml:space="preserve">حاجة في المستقبل المنظور </w:t>
      </w:r>
      <w:r w:rsidR="005C3E5E">
        <w:rPr>
          <w:rFonts w:hint="cs"/>
          <w:b w:val="0"/>
          <w:bCs w:val="0"/>
          <w:rtl/>
        </w:rPr>
        <w:t xml:space="preserve">إلى </w:t>
      </w:r>
      <w:r w:rsidR="00600216" w:rsidRPr="00600216">
        <w:rPr>
          <w:b w:val="0"/>
          <w:bCs w:val="0"/>
          <w:rtl/>
        </w:rPr>
        <w:t>إعادة فتح موضوع التوزيع في النطاق</w:t>
      </w:r>
      <w:r w:rsidR="005C3E5E" w:rsidRPr="005C3E5E">
        <w:rPr>
          <w:rtl/>
        </w:rPr>
        <w:t xml:space="preserve"> </w:t>
      </w:r>
      <w:r w:rsidR="005C3E5E" w:rsidRPr="005C3E5E">
        <w:rPr>
          <w:b w:val="0"/>
          <w:bCs w:val="0"/>
        </w:rPr>
        <w:t>MHz 960-470</w:t>
      </w:r>
      <w:r w:rsidR="00600216" w:rsidRPr="00600216">
        <w:rPr>
          <w:b w:val="0"/>
          <w:bCs w:val="0"/>
          <w:rtl/>
        </w:rPr>
        <w:t xml:space="preserve"> في أي </w:t>
      </w:r>
      <w:r w:rsidR="005C3E5E" w:rsidRPr="005C3E5E">
        <w:rPr>
          <w:b w:val="0"/>
          <w:bCs w:val="0"/>
          <w:rtl/>
        </w:rPr>
        <w:t>مؤتمر عالمي لاحق للاتصالات الراديوية</w:t>
      </w:r>
      <w:r w:rsidR="00600216" w:rsidRPr="00600216">
        <w:rPr>
          <w:b w:val="0"/>
          <w:bCs w:val="0"/>
          <w:rtl/>
        </w:rPr>
        <w:t>.</w:t>
      </w:r>
    </w:p>
    <w:p w14:paraId="243491DA" w14:textId="23DE8744" w:rsidR="00AD164F" w:rsidRPr="00AD164F" w:rsidRDefault="00AD164F" w:rsidP="00AD164F">
      <w:pPr>
        <w:spacing w:before="600"/>
        <w:jc w:val="center"/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D164F" w:rsidRPr="00AD164F">
      <w:headerReference w:type="even" r:id="rId15"/>
      <w:footerReference w:type="even" r:id="rId16"/>
      <w:footerReference w:type="first" r:id="rId17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EA3F" w14:textId="77777777" w:rsidR="00474BA5" w:rsidRDefault="00474BA5" w:rsidP="002919E1">
      <w:r>
        <w:separator/>
      </w:r>
    </w:p>
    <w:p w14:paraId="5F763067" w14:textId="77777777" w:rsidR="00474BA5" w:rsidRDefault="00474BA5" w:rsidP="002919E1"/>
    <w:p w14:paraId="542BBE20" w14:textId="77777777" w:rsidR="00474BA5" w:rsidRDefault="00474BA5" w:rsidP="002919E1"/>
    <w:p w14:paraId="2D29C23E" w14:textId="77777777" w:rsidR="00474BA5" w:rsidRDefault="00474BA5"/>
    <w:p w14:paraId="360D9E97" w14:textId="77777777" w:rsidR="00474BA5" w:rsidRDefault="00474BA5"/>
  </w:endnote>
  <w:endnote w:type="continuationSeparator" w:id="0">
    <w:p w14:paraId="17A6CA91" w14:textId="77777777" w:rsidR="00474BA5" w:rsidRDefault="00474BA5" w:rsidP="002919E1">
      <w:r>
        <w:continuationSeparator/>
      </w:r>
    </w:p>
    <w:p w14:paraId="74B5EC06" w14:textId="77777777" w:rsidR="00474BA5" w:rsidRDefault="00474BA5" w:rsidP="002919E1"/>
    <w:p w14:paraId="022C89BC" w14:textId="77777777" w:rsidR="00474BA5" w:rsidRDefault="00474BA5" w:rsidP="002919E1"/>
    <w:p w14:paraId="01ACA5FA" w14:textId="77777777" w:rsidR="00474BA5" w:rsidRDefault="00474BA5"/>
    <w:p w14:paraId="57680F89" w14:textId="77777777" w:rsidR="00474BA5" w:rsidRDefault="00474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C55C" w14:textId="2D45A4DF" w:rsidR="00D63A6F" w:rsidRPr="00D224EF" w:rsidRDefault="00D224EF" w:rsidP="00D224E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P:\ARA\ITU-R\CONF-R\CMR23\000\087ADD05A.docx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4D1DC8">
      <w:rPr>
        <w:sz w:val="16"/>
        <w:szCs w:val="16"/>
      </w:rPr>
      <w:t>529992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1B94" w14:textId="55F1F69B" w:rsidR="004D1DC8" w:rsidRPr="00D63A6F" w:rsidRDefault="004D1DC8" w:rsidP="004D1DC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224EF">
      <w:rPr>
        <w:noProof/>
        <w:sz w:val="16"/>
        <w:szCs w:val="16"/>
        <w:lang w:val="fr-FR"/>
      </w:rPr>
      <w:t>P:\ARA\ITU-R\CONF-R\CMR23\000\087ADD05A.docx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4D1DC8">
      <w:rPr>
        <w:sz w:val="16"/>
        <w:szCs w:val="16"/>
      </w:rPr>
      <w:t>529992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078C" w14:textId="77777777" w:rsidR="00474BA5" w:rsidRDefault="00474BA5" w:rsidP="00C45930">
      <w:r>
        <w:separator/>
      </w:r>
    </w:p>
  </w:footnote>
  <w:footnote w:type="continuationSeparator" w:id="0">
    <w:p w14:paraId="405167F5" w14:textId="77777777" w:rsidR="00474BA5" w:rsidRDefault="00474BA5" w:rsidP="002919E1">
      <w:r>
        <w:continuationSeparator/>
      </w:r>
    </w:p>
    <w:p w14:paraId="0E0E03A4" w14:textId="77777777" w:rsidR="00474BA5" w:rsidRDefault="00474BA5" w:rsidP="002919E1"/>
    <w:p w14:paraId="4AAE51B1" w14:textId="77777777" w:rsidR="00474BA5" w:rsidRDefault="00474BA5" w:rsidP="002919E1"/>
    <w:p w14:paraId="1C80C619" w14:textId="77777777" w:rsidR="00474BA5" w:rsidRDefault="00474BA5"/>
    <w:p w14:paraId="133C7BE9" w14:textId="77777777" w:rsidR="00474BA5" w:rsidRDefault="00474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36B0" w14:textId="5A4DF114" w:rsidR="00D63A6F" w:rsidRPr="004D1DC8" w:rsidRDefault="005E5F16" w:rsidP="004D1DC8">
    <w:pPr>
      <w:bidi w:val="0"/>
      <w:spacing w:after="360" w:line="240" w:lineRule="auto"/>
      <w:jc w:val="center"/>
      <w:rPr>
        <w:sz w:val="20"/>
        <w:szCs w:val="20"/>
      </w:rPr>
    </w:pPr>
    <w:r w:rsidRPr="004D1DC8">
      <w:rPr>
        <w:rStyle w:val="PageNumber"/>
        <w:rFonts w:ascii="Dubai" w:hAnsi="Dubai" w:cs="Dubai"/>
      </w:rPr>
      <w:fldChar w:fldCharType="begin"/>
    </w:r>
    <w:r w:rsidRPr="004D1DC8">
      <w:rPr>
        <w:rStyle w:val="PageNumber"/>
        <w:rFonts w:ascii="Dubai" w:hAnsi="Dubai" w:cs="Dubai"/>
      </w:rPr>
      <w:instrText xml:space="preserve"> PAGE </w:instrText>
    </w:r>
    <w:r w:rsidRPr="004D1DC8">
      <w:rPr>
        <w:rStyle w:val="PageNumber"/>
        <w:rFonts w:ascii="Dubai" w:hAnsi="Dubai" w:cs="Dubai"/>
      </w:rPr>
      <w:fldChar w:fldCharType="separate"/>
    </w:r>
    <w:r w:rsidR="004A677A">
      <w:rPr>
        <w:rStyle w:val="PageNumber"/>
        <w:rFonts w:ascii="Dubai" w:hAnsi="Dubai" w:cs="Dubai"/>
        <w:noProof/>
      </w:rPr>
      <w:t>2</w:t>
    </w:r>
    <w:r w:rsidRPr="004D1DC8">
      <w:rPr>
        <w:rStyle w:val="PageNumber"/>
        <w:rFonts w:ascii="Dubai" w:hAnsi="Dubai" w:cs="Dubai"/>
      </w:rPr>
      <w:fldChar w:fldCharType="end"/>
    </w:r>
    <w:r w:rsidRPr="004D1DC8">
      <w:rPr>
        <w:rStyle w:val="PageNumber"/>
        <w:rFonts w:ascii="Dubai" w:hAnsi="Dubai" w:cs="Dubai"/>
        <w:rtl/>
      </w:rPr>
      <w:br/>
    </w:r>
    <w:r w:rsidR="004F5F29" w:rsidRPr="004D1DC8">
      <w:rPr>
        <w:rStyle w:val="PageNumber"/>
        <w:rFonts w:ascii="Dubai" w:hAnsi="Dubai" w:cs="Dubai"/>
      </w:rPr>
      <w:t>WRC</w:t>
    </w:r>
    <w:r w:rsidRPr="004D1DC8">
      <w:rPr>
        <w:rStyle w:val="PageNumber"/>
        <w:rFonts w:ascii="Dubai" w:hAnsi="Dubai" w:cs="Dubai"/>
      </w:rPr>
      <w:t>23/87(Add.5)-A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38F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A2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8FE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0A5F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14638920">
    <w:abstractNumId w:val="9"/>
  </w:num>
  <w:num w:numId="2" w16cid:durableId="385878015">
    <w:abstractNumId w:val="13"/>
  </w:num>
  <w:num w:numId="3" w16cid:durableId="1925992880">
    <w:abstractNumId w:val="11"/>
  </w:num>
  <w:num w:numId="4" w16cid:durableId="594216072">
    <w:abstractNumId w:val="14"/>
  </w:num>
  <w:num w:numId="5" w16cid:durableId="1220169759">
    <w:abstractNumId w:val="7"/>
  </w:num>
  <w:num w:numId="6" w16cid:durableId="1393311777">
    <w:abstractNumId w:val="6"/>
  </w:num>
  <w:num w:numId="7" w16cid:durableId="1799955401">
    <w:abstractNumId w:val="5"/>
  </w:num>
  <w:num w:numId="8" w16cid:durableId="2031758609">
    <w:abstractNumId w:val="4"/>
  </w:num>
  <w:num w:numId="9" w16cid:durableId="224150216">
    <w:abstractNumId w:val="8"/>
  </w:num>
  <w:num w:numId="10" w16cid:durableId="1954939456">
    <w:abstractNumId w:val="3"/>
  </w:num>
  <w:num w:numId="11" w16cid:durableId="522013158">
    <w:abstractNumId w:val="2"/>
  </w:num>
  <w:num w:numId="12" w16cid:durableId="1700858522">
    <w:abstractNumId w:val="1"/>
  </w:num>
  <w:num w:numId="13" w16cid:durableId="1542549506">
    <w:abstractNumId w:val="0"/>
  </w:num>
  <w:num w:numId="14" w16cid:durableId="1359115030">
    <w:abstractNumId w:val="10"/>
  </w:num>
  <w:num w:numId="15" w16cid:durableId="1865559690">
    <w:abstractNumId w:val="15"/>
  </w:num>
  <w:num w:numId="16" w16cid:durableId="1896576209">
    <w:abstractNumId w:val="12"/>
  </w:num>
  <w:num w:numId="17" w16cid:durableId="268976996">
    <w:abstractNumId w:val="6"/>
  </w:num>
  <w:num w:numId="18" w16cid:durableId="785348027">
    <w:abstractNumId w:val="5"/>
  </w:num>
  <w:num w:numId="19" w16cid:durableId="559289402">
    <w:abstractNumId w:val="3"/>
  </w:num>
  <w:num w:numId="20" w16cid:durableId="1934390629">
    <w:abstractNumId w:val="2"/>
  </w:num>
  <w:num w:numId="21" w16cid:durableId="2107384783">
    <w:abstractNumId w:val="6"/>
  </w:num>
  <w:num w:numId="22" w16cid:durableId="1684933524">
    <w:abstractNumId w:val="5"/>
  </w:num>
  <w:num w:numId="23" w16cid:durableId="556941440">
    <w:abstractNumId w:val="3"/>
  </w:num>
  <w:num w:numId="24" w16cid:durableId="1364986911">
    <w:abstractNumId w:val="2"/>
  </w:num>
  <w:num w:numId="25" w16cid:durableId="845172758">
    <w:abstractNumId w:val="6"/>
  </w:num>
  <w:num w:numId="26" w16cid:durableId="2043748285">
    <w:abstractNumId w:val="5"/>
  </w:num>
  <w:num w:numId="27" w16cid:durableId="2114351806">
    <w:abstractNumId w:val="3"/>
  </w:num>
  <w:num w:numId="28" w16cid:durableId="1478565752">
    <w:abstractNumId w:val="2"/>
  </w:num>
  <w:num w:numId="29" w16cid:durableId="1256093285">
    <w:abstractNumId w:val="6"/>
  </w:num>
  <w:num w:numId="30" w16cid:durableId="443577769">
    <w:abstractNumId w:val="5"/>
  </w:num>
  <w:num w:numId="31" w16cid:durableId="1772050446">
    <w:abstractNumId w:val="3"/>
  </w:num>
  <w:num w:numId="32" w16cid:durableId="2144106702">
    <w:abstractNumId w:val="2"/>
  </w:num>
  <w:num w:numId="33" w16cid:durableId="1576667617">
    <w:abstractNumId w:val="6"/>
  </w:num>
  <w:num w:numId="34" w16cid:durableId="1648776747">
    <w:abstractNumId w:val="5"/>
  </w:num>
  <w:num w:numId="35" w16cid:durableId="282537420">
    <w:abstractNumId w:val="3"/>
  </w:num>
  <w:num w:numId="36" w16cid:durableId="356540847">
    <w:abstractNumId w:val="2"/>
  </w:num>
  <w:num w:numId="37" w16cid:durableId="2142140785">
    <w:abstractNumId w:val="6"/>
  </w:num>
  <w:num w:numId="38" w16cid:durableId="389043044">
    <w:abstractNumId w:val="5"/>
  </w:num>
  <w:num w:numId="39" w16cid:durableId="1753698991">
    <w:abstractNumId w:val="3"/>
  </w:num>
  <w:num w:numId="40" w16cid:durableId="190009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537F"/>
    <w:rsid w:val="000166DD"/>
    <w:rsid w:val="00022B74"/>
    <w:rsid w:val="0002327C"/>
    <w:rsid w:val="00024A23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6747D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2B11"/>
    <w:rsid w:val="00134562"/>
    <w:rsid w:val="00134CAD"/>
    <w:rsid w:val="001356B2"/>
    <w:rsid w:val="00136B82"/>
    <w:rsid w:val="00141821"/>
    <w:rsid w:val="00141DB6"/>
    <w:rsid w:val="001464F2"/>
    <w:rsid w:val="00146A76"/>
    <w:rsid w:val="00152FE4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1FF1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0C03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5668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59AB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74BA5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77A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0B99"/>
    <w:rsid w:val="004D1B32"/>
    <w:rsid w:val="004D1DC8"/>
    <w:rsid w:val="004D2146"/>
    <w:rsid w:val="004D4AE6"/>
    <w:rsid w:val="004D5234"/>
    <w:rsid w:val="004F4785"/>
    <w:rsid w:val="004F5F29"/>
    <w:rsid w:val="00505B26"/>
    <w:rsid w:val="00505FCA"/>
    <w:rsid w:val="00506CDD"/>
    <w:rsid w:val="00510A20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3E5E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0216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6D9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3DE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588D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2B1"/>
    <w:rsid w:val="00A375BD"/>
    <w:rsid w:val="00A3795C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96D8A"/>
    <w:rsid w:val="00AB2A33"/>
    <w:rsid w:val="00AB5370"/>
    <w:rsid w:val="00AC1275"/>
    <w:rsid w:val="00AC7395"/>
    <w:rsid w:val="00AD0B2C"/>
    <w:rsid w:val="00AD10F3"/>
    <w:rsid w:val="00AD1267"/>
    <w:rsid w:val="00AD162B"/>
    <w:rsid w:val="00AD164F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282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0251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2EC9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5C2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41D9"/>
    <w:rsid w:val="00CE5779"/>
    <w:rsid w:val="00CE5BA4"/>
    <w:rsid w:val="00CE7DB9"/>
    <w:rsid w:val="00CF0F3D"/>
    <w:rsid w:val="00CF7406"/>
    <w:rsid w:val="00D05322"/>
    <w:rsid w:val="00D05948"/>
    <w:rsid w:val="00D10CFC"/>
    <w:rsid w:val="00D1728C"/>
    <w:rsid w:val="00D21226"/>
    <w:rsid w:val="00D21235"/>
    <w:rsid w:val="00D224EF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866DF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2851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0C23C0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,ACMA Footnote Text"/>
    <w:basedOn w:val="Normal"/>
    <w:link w:val="FootnoteTextChar"/>
    <w:unhideWhenUsed/>
    <w:qFormat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 Char,ACMA 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3f4f68b-75ea-4c80-821d-4022073fcaf4" targetNamespace="http://schemas.microsoft.com/office/2006/metadata/properties" ma:root="true" ma:fieldsID="d41af5c836d734370eb92e7ee5f83852" ns2:_="" ns3:_="">
    <xsd:import namespace="996b2e75-67fd-4955-a3b0-5ab9934cb50b"/>
    <xsd:import namespace="83f4f68b-75ea-4c80-821d-4022073fca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4f68b-75ea-4c80-821d-4022073fca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3f4f68b-75ea-4c80-821d-4022073fcaf4">DPM</DPM_x0020_Author>
    <DPM_x0020_File_x0020_name xmlns="83f4f68b-75ea-4c80-821d-4022073fcaf4">R23-WRC23-C-0087!A5!MSW-A</DPM_x0020_File_x0020_name>
    <DPM_x0020_Version xmlns="83f4f68b-75ea-4c80-821d-4022073fcaf4">DPM_2022.05.12.01</DPM_x0020_Version>
  </documentManagement>
</p: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3f4f68b-75ea-4c80-821d-4022073f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3f4f68b-75ea-4c80-821d-4022073fcaf4"/>
  </ds:schemaRefs>
</ds:datastoreItem>
</file>

<file path=customXml/itemProps6.xml><?xml version="1.0" encoding="utf-8"?>
<ds:datastoreItem xmlns:ds="http://schemas.openxmlformats.org/officeDocument/2006/customXml" ds:itemID="{DA21600A-E23D-4553-84D5-3EF1B6AE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R23-WRC23-C-0087!A5!MSW-A</vt:lpstr>
      <vt:lpstr>    مقدمة</vt:lpstr>
      <vt:lpstr>NOC	AFCP/87A5/1</vt:lpstr>
      <vt:lpstr>SUP	AFCP/87A5/2</vt:lpstr>
    </vt:vector>
  </TitlesOfParts>
  <Manager>General Secretariat - Pool</Manager>
  <Company>International Telecommunication Union (ITU)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R23-WRC23-C-0087!A5!MSW-A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2023-11-17T21:44:00Z</dcterms:created>
  <dcterms:modified xsi:type="dcterms:W3CDTF">2023-11-17T21:46:00Z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