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80079E" w:rsidRPr="0050124F" w14:paraId="286D937A" w14:textId="77777777" w:rsidTr="0080079E">
        <w:trPr>
          <w:cantSplit/>
        </w:trPr>
        <w:tc>
          <w:tcPr>
            <w:tcW w:w="1418" w:type="dxa"/>
            <w:vAlign w:val="center"/>
          </w:tcPr>
          <w:p w14:paraId="6BCE45BB" w14:textId="77777777" w:rsidR="0080079E" w:rsidRPr="0050124F" w:rsidRDefault="0080079E" w:rsidP="0080079E">
            <w:pPr>
              <w:spacing w:before="0" w:line="240" w:lineRule="atLeast"/>
              <w:rPr>
                <w:rFonts w:ascii="Verdana" w:hAnsi="Verdana"/>
                <w:position w:val="6"/>
              </w:rPr>
            </w:pPr>
            <w:r w:rsidRPr="0050124F">
              <w:rPr>
                <w:noProof/>
              </w:rPr>
              <w:drawing>
                <wp:inline distT="0" distB="0" distL="0" distR="0" wp14:anchorId="517EC659" wp14:editId="078C2598">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804" w:type="dxa"/>
            <w:gridSpan w:val="2"/>
          </w:tcPr>
          <w:p w14:paraId="6356138A" w14:textId="77777777" w:rsidR="0080079E" w:rsidRPr="0050124F" w:rsidRDefault="0080079E" w:rsidP="00C44E9E">
            <w:pPr>
              <w:spacing w:before="400" w:after="48" w:line="240" w:lineRule="atLeast"/>
              <w:rPr>
                <w:rFonts w:ascii="Verdana" w:hAnsi="Verdana"/>
                <w:position w:val="6"/>
              </w:rPr>
            </w:pPr>
            <w:r w:rsidRPr="0050124F">
              <w:rPr>
                <w:rFonts w:ascii="Verdana" w:hAnsi="Verdana" w:cs="Times"/>
                <w:b/>
                <w:position w:val="6"/>
                <w:sz w:val="20"/>
              </w:rPr>
              <w:t>Conferencia Mundial de Radiocomunicaciones (CMR-23)</w:t>
            </w:r>
            <w:r w:rsidRPr="0050124F">
              <w:rPr>
                <w:rFonts w:ascii="Verdana" w:hAnsi="Verdana" w:cs="Times"/>
                <w:b/>
                <w:position w:val="6"/>
                <w:sz w:val="20"/>
              </w:rPr>
              <w:br/>
            </w:r>
            <w:r w:rsidRPr="0050124F">
              <w:rPr>
                <w:rFonts w:ascii="Verdana" w:hAnsi="Verdana" w:cs="Times"/>
                <w:b/>
                <w:position w:val="6"/>
                <w:sz w:val="18"/>
                <w:szCs w:val="18"/>
              </w:rPr>
              <w:t>Dubái, 20 de noviembre - 15 de diciembre de 2023</w:t>
            </w:r>
          </w:p>
        </w:tc>
        <w:tc>
          <w:tcPr>
            <w:tcW w:w="1809" w:type="dxa"/>
            <w:vAlign w:val="center"/>
          </w:tcPr>
          <w:p w14:paraId="783871AB" w14:textId="77777777" w:rsidR="0080079E" w:rsidRPr="0050124F" w:rsidRDefault="0080079E" w:rsidP="0080079E">
            <w:pPr>
              <w:spacing w:before="0" w:line="240" w:lineRule="atLeast"/>
            </w:pPr>
            <w:bookmarkStart w:id="0" w:name="ditulogo"/>
            <w:bookmarkEnd w:id="0"/>
            <w:r w:rsidRPr="0050124F">
              <w:rPr>
                <w:noProof/>
              </w:rPr>
              <w:drawing>
                <wp:inline distT="0" distB="0" distL="0" distR="0" wp14:anchorId="268AE2DB" wp14:editId="392DAC99">
                  <wp:extent cx="1003465" cy="1003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8527" cy="1008527"/>
                          </a:xfrm>
                          <a:prstGeom prst="rect">
                            <a:avLst/>
                          </a:prstGeom>
                          <a:noFill/>
                          <a:ln>
                            <a:noFill/>
                          </a:ln>
                        </pic:spPr>
                      </pic:pic>
                    </a:graphicData>
                  </a:graphic>
                </wp:inline>
              </w:drawing>
            </w:r>
          </w:p>
        </w:tc>
      </w:tr>
      <w:tr w:rsidR="0090121B" w:rsidRPr="0050124F" w14:paraId="79D8340C" w14:textId="77777777" w:rsidTr="0050008E">
        <w:trPr>
          <w:cantSplit/>
        </w:trPr>
        <w:tc>
          <w:tcPr>
            <w:tcW w:w="6911" w:type="dxa"/>
            <w:gridSpan w:val="2"/>
            <w:tcBorders>
              <w:bottom w:val="single" w:sz="12" w:space="0" w:color="auto"/>
            </w:tcBorders>
          </w:tcPr>
          <w:p w14:paraId="0EBF6798" w14:textId="77777777" w:rsidR="0090121B" w:rsidRPr="0050124F" w:rsidRDefault="0090121B" w:rsidP="0090121B">
            <w:pPr>
              <w:spacing w:before="0" w:after="48" w:line="240" w:lineRule="atLeast"/>
              <w:rPr>
                <w:b/>
                <w:smallCaps/>
                <w:szCs w:val="24"/>
              </w:rPr>
            </w:pPr>
            <w:bookmarkStart w:id="1" w:name="dhead"/>
          </w:p>
        </w:tc>
        <w:tc>
          <w:tcPr>
            <w:tcW w:w="3120" w:type="dxa"/>
            <w:gridSpan w:val="2"/>
            <w:tcBorders>
              <w:bottom w:val="single" w:sz="12" w:space="0" w:color="auto"/>
            </w:tcBorders>
          </w:tcPr>
          <w:p w14:paraId="5FF5F581" w14:textId="77777777" w:rsidR="0090121B" w:rsidRPr="0050124F" w:rsidRDefault="0090121B" w:rsidP="0090121B">
            <w:pPr>
              <w:spacing w:before="0" w:line="240" w:lineRule="atLeast"/>
              <w:rPr>
                <w:rFonts w:ascii="Verdana" w:hAnsi="Verdana"/>
                <w:szCs w:val="24"/>
              </w:rPr>
            </w:pPr>
          </w:p>
        </w:tc>
      </w:tr>
      <w:tr w:rsidR="0090121B" w:rsidRPr="0050124F" w14:paraId="1D50F5F4" w14:textId="77777777" w:rsidTr="0090121B">
        <w:trPr>
          <w:cantSplit/>
        </w:trPr>
        <w:tc>
          <w:tcPr>
            <w:tcW w:w="6911" w:type="dxa"/>
            <w:gridSpan w:val="2"/>
            <w:tcBorders>
              <w:top w:val="single" w:sz="12" w:space="0" w:color="auto"/>
            </w:tcBorders>
          </w:tcPr>
          <w:p w14:paraId="7651968F" w14:textId="77777777" w:rsidR="0090121B" w:rsidRPr="0050124F" w:rsidRDefault="0090121B" w:rsidP="0090121B">
            <w:pPr>
              <w:spacing w:before="0" w:after="48" w:line="240" w:lineRule="atLeast"/>
              <w:rPr>
                <w:rFonts w:ascii="Verdana" w:hAnsi="Verdana"/>
                <w:b/>
                <w:smallCaps/>
                <w:sz w:val="20"/>
              </w:rPr>
            </w:pPr>
          </w:p>
        </w:tc>
        <w:tc>
          <w:tcPr>
            <w:tcW w:w="3120" w:type="dxa"/>
            <w:gridSpan w:val="2"/>
            <w:tcBorders>
              <w:top w:val="single" w:sz="12" w:space="0" w:color="auto"/>
            </w:tcBorders>
          </w:tcPr>
          <w:p w14:paraId="3309E2DD" w14:textId="77777777" w:rsidR="0090121B" w:rsidRPr="0050124F" w:rsidRDefault="0090121B" w:rsidP="0090121B">
            <w:pPr>
              <w:spacing w:before="0" w:line="240" w:lineRule="atLeast"/>
              <w:rPr>
                <w:rFonts w:ascii="Verdana" w:hAnsi="Verdana"/>
                <w:sz w:val="20"/>
              </w:rPr>
            </w:pPr>
          </w:p>
        </w:tc>
      </w:tr>
      <w:tr w:rsidR="0090121B" w:rsidRPr="0050124F" w14:paraId="5735C9FC" w14:textId="77777777" w:rsidTr="0090121B">
        <w:trPr>
          <w:cantSplit/>
        </w:trPr>
        <w:tc>
          <w:tcPr>
            <w:tcW w:w="6911" w:type="dxa"/>
            <w:gridSpan w:val="2"/>
          </w:tcPr>
          <w:p w14:paraId="45F857EC" w14:textId="77777777" w:rsidR="0090121B" w:rsidRPr="0050124F" w:rsidRDefault="001E7D42" w:rsidP="00EA77F0">
            <w:pPr>
              <w:pStyle w:val="Committee"/>
              <w:framePr w:hSpace="0" w:wrap="auto" w:hAnchor="text" w:yAlign="inline"/>
              <w:rPr>
                <w:sz w:val="18"/>
                <w:szCs w:val="18"/>
                <w:lang w:val="es-ES_tradnl"/>
              </w:rPr>
            </w:pPr>
            <w:r w:rsidRPr="0050124F">
              <w:rPr>
                <w:sz w:val="18"/>
                <w:szCs w:val="18"/>
                <w:lang w:val="es-ES_tradnl"/>
              </w:rPr>
              <w:t>SESIÓN PLENARIA</w:t>
            </w:r>
          </w:p>
        </w:tc>
        <w:tc>
          <w:tcPr>
            <w:tcW w:w="3120" w:type="dxa"/>
            <w:gridSpan w:val="2"/>
          </w:tcPr>
          <w:p w14:paraId="6351E11C" w14:textId="77777777" w:rsidR="0090121B" w:rsidRPr="0050124F" w:rsidRDefault="00AE658F" w:rsidP="0045384C">
            <w:pPr>
              <w:spacing w:before="0"/>
              <w:rPr>
                <w:rFonts w:ascii="Verdana" w:hAnsi="Verdana"/>
                <w:sz w:val="18"/>
                <w:szCs w:val="18"/>
              </w:rPr>
            </w:pPr>
            <w:r w:rsidRPr="0050124F">
              <w:rPr>
                <w:rFonts w:ascii="Verdana" w:hAnsi="Verdana"/>
                <w:b/>
                <w:sz w:val="18"/>
                <w:szCs w:val="18"/>
              </w:rPr>
              <w:t>Addéndum 25 al</w:t>
            </w:r>
            <w:r w:rsidRPr="0050124F">
              <w:rPr>
                <w:rFonts w:ascii="Verdana" w:hAnsi="Verdana"/>
                <w:b/>
                <w:sz w:val="18"/>
                <w:szCs w:val="18"/>
              </w:rPr>
              <w:br/>
              <w:t>Documento 87</w:t>
            </w:r>
            <w:r w:rsidR="0090121B" w:rsidRPr="0050124F">
              <w:rPr>
                <w:rFonts w:ascii="Verdana" w:hAnsi="Verdana"/>
                <w:b/>
                <w:sz w:val="18"/>
                <w:szCs w:val="18"/>
              </w:rPr>
              <w:t>-</w:t>
            </w:r>
            <w:r w:rsidRPr="0050124F">
              <w:rPr>
                <w:rFonts w:ascii="Verdana" w:hAnsi="Verdana"/>
                <w:b/>
                <w:sz w:val="18"/>
                <w:szCs w:val="18"/>
              </w:rPr>
              <w:t>S</w:t>
            </w:r>
          </w:p>
        </w:tc>
      </w:tr>
      <w:bookmarkEnd w:id="1"/>
      <w:tr w:rsidR="000A5B9A" w:rsidRPr="0050124F" w14:paraId="0B9D934C" w14:textId="77777777" w:rsidTr="0090121B">
        <w:trPr>
          <w:cantSplit/>
        </w:trPr>
        <w:tc>
          <w:tcPr>
            <w:tcW w:w="6911" w:type="dxa"/>
            <w:gridSpan w:val="2"/>
          </w:tcPr>
          <w:p w14:paraId="4592A815" w14:textId="77777777" w:rsidR="000A5B9A" w:rsidRPr="0050124F" w:rsidRDefault="000A5B9A" w:rsidP="0045384C">
            <w:pPr>
              <w:spacing w:before="0" w:after="48"/>
              <w:rPr>
                <w:rFonts w:ascii="Verdana" w:hAnsi="Verdana"/>
                <w:b/>
                <w:smallCaps/>
                <w:sz w:val="18"/>
                <w:szCs w:val="18"/>
              </w:rPr>
            </w:pPr>
          </w:p>
        </w:tc>
        <w:tc>
          <w:tcPr>
            <w:tcW w:w="3120" w:type="dxa"/>
            <w:gridSpan w:val="2"/>
          </w:tcPr>
          <w:p w14:paraId="2646F7CF" w14:textId="77777777" w:rsidR="000A5B9A" w:rsidRPr="0050124F" w:rsidRDefault="000A5B9A" w:rsidP="0045384C">
            <w:pPr>
              <w:spacing w:before="0"/>
              <w:rPr>
                <w:rFonts w:ascii="Verdana" w:hAnsi="Verdana"/>
                <w:b/>
                <w:sz w:val="18"/>
                <w:szCs w:val="18"/>
              </w:rPr>
            </w:pPr>
            <w:r w:rsidRPr="0050124F">
              <w:rPr>
                <w:rFonts w:ascii="Verdana" w:hAnsi="Verdana"/>
                <w:b/>
                <w:sz w:val="18"/>
                <w:szCs w:val="18"/>
              </w:rPr>
              <w:t>23 de octubre de 2023</w:t>
            </w:r>
          </w:p>
        </w:tc>
      </w:tr>
      <w:tr w:rsidR="000A5B9A" w:rsidRPr="0050124F" w14:paraId="7602DB8B" w14:textId="77777777" w:rsidTr="0090121B">
        <w:trPr>
          <w:cantSplit/>
        </w:trPr>
        <w:tc>
          <w:tcPr>
            <w:tcW w:w="6911" w:type="dxa"/>
            <w:gridSpan w:val="2"/>
          </w:tcPr>
          <w:p w14:paraId="37288EF2" w14:textId="77777777" w:rsidR="000A5B9A" w:rsidRPr="0050124F" w:rsidRDefault="000A5B9A" w:rsidP="0045384C">
            <w:pPr>
              <w:spacing w:before="0" w:after="48"/>
              <w:rPr>
                <w:rFonts w:ascii="Verdana" w:hAnsi="Verdana"/>
                <w:b/>
                <w:smallCaps/>
                <w:sz w:val="18"/>
                <w:szCs w:val="18"/>
              </w:rPr>
            </w:pPr>
          </w:p>
        </w:tc>
        <w:tc>
          <w:tcPr>
            <w:tcW w:w="3120" w:type="dxa"/>
            <w:gridSpan w:val="2"/>
          </w:tcPr>
          <w:p w14:paraId="2A00A691" w14:textId="77777777" w:rsidR="000A5B9A" w:rsidRPr="0050124F" w:rsidRDefault="000A5B9A" w:rsidP="0045384C">
            <w:pPr>
              <w:spacing w:before="0"/>
              <w:rPr>
                <w:rFonts w:ascii="Verdana" w:hAnsi="Verdana"/>
                <w:b/>
                <w:sz w:val="18"/>
                <w:szCs w:val="18"/>
              </w:rPr>
            </w:pPr>
            <w:r w:rsidRPr="0050124F">
              <w:rPr>
                <w:rFonts w:ascii="Verdana" w:hAnsi="Verdana"/>
                <w:b/>
                <w:sz w:val="18"/>
                <w:szCs w:val="18"/>
              </w:rPr>
              <w:t>Original: inglés</w:t>
            </w:r>
          </w:p>
        </w:tc>
      </w:tr>
      <w:tr w:rsidR="000A5B9A" w:rsidRPr="0050124F" w14:paraId="243B62C2" w14:textId="77777777" w:rsidTr="006744FC">
        <w:trPr>
          <w:cantSplit/>
        </w:trPr>
        <w:tc>
          <w:tcPr>
            <w:tcW w:w="10031" w:type="dxa"/>
            <w:gridSpan w:val="4"/>
          </w:tcPr>
          <w:p w14:paraId="66AD5FA6" w14:textId="77777777" w:rsidR="000A5B9A" w:rsidRPr="0050124F" w:rsidRDefault="000A5B9A" w:rsidP="0045384C">
            <w:pPr>
              <w:spacing w:before="0"/>
              <w:rPr>
                <w:rFonts w:ascii="Verdana" w:hAnsi="Verdana"/>
                <w:b/>
                <w:sz w:val="18"/>
                <w:szCs w:val="22"/>
              </w:rPr>
            </w:pPr>
          </w:p>
        </w:tc>
      </w:tr>
      <w:tr w:rsidR="000A5B9A" w:rsidRPr="0050124F" w14:paraId="1A2A850A" w14:textId="77777777" w:rsidTr="0050008E">
        <w:trPr>
          <w:cantSplit/>
        </w:trPr>
        <w:tc>
          <w:tcPr>
            <w:tcW w:w="10031" w:type="dxa"/>
            <w:gridSpan w:val="4"/>
          </w:tcPr>
          <w:p w14:paraId="15488532" w14:textId="77777777" w:rsidR="000A5B9A" w:rsidRPr="0050124F" w:rsidRDefault="000A5B9A" w:rsidP="000A5B9A">
            <w:pPr>
              <w:pStyle w:val="Source"/>
            </w:pPr>
            <w:bookmarkStart w:id="2" w:name="dsource" w:colFirst="0" w:colLast="0"/>
            <w:r w:rsidRPr="0050124F">
              <w:t>Propuestas Comunes Africanas</w:t>
            </w:r>
          </w:p>
        </w:tc>
      </w:tr>
      <w:tr w:rsidR="004A5852" w:rsidRPr="0050124F" w14:paraId="38D17024" w14:textId="77777777" w:rsidTr="0050008E">
        <w:trPr>
          <w:cantSplit/>
        </w:trPr>
        <w:tc>
          <w:tcPr>
            <w:tcW w:w="10031" w:type="dxa"/>
            <w:gridSpan w:val="4"/>
          </w:tcPr>
          <w:p w14:paraId="6C3E9B1C" w14:textId="47F6935F" w:rsidR="004A5852" w:rsidRPr="0050124F" w:rsidRDefault="004A5852" w:rsidP="004A5852">
            <w:pPr>
              <w:pStyle w:val="Title1"/>
            </w:pPr>
            <w:bookmarkStart w:id="3" w:name="dtitle1" w:colFirst="0" w:colLast="0"/>
            <w:bookmarkEnd w:id="2"/>
            <w:r w:rsidRPr="0050124F">
              <w:t>Propuestas para los trabajos de la Conferencia</w:t>
            </w:r>
          </w:p>
        </w:tc>
      </w:tr>
      <w:tr w:rsidR="000A5B9A" w:rsidRPr="0050124F" w14:paraId="7236BE44" w14:textId="77777777" w:rsidTr="0050008E">
        <w:trPr>
          <w:cantSplit/>
        </w:trPr>
        <w:tc>
          <w:tcPr>
            <w:tcW w:w="10031" w:type="dxa"/>
            <w:gridSpan w:val="4"/>
          </w:tcPr>
          <w:p w14:paraId="55C7EF5E" w14:textId="77777777" w:rsidR="000A5B9A" w:rsidRPr="0050124F" w:rsidRDefault="000A5B9A" w:rsidP="000A5B9A">
            <w:pPr>
              <w:pStyle w:val="Title2"/>
            </w:pPr>
            <w:bookmarkStart w:id="4" w:name="dtitle2" w:colFirst="0" w:colLast="0"/>
            <w:bookmarkEnd w:id="3"/>
          </w:p>
        </w:tc>
      </w:tr>
      <w:tr w:rsidR="000A5B9A" w:rsidRPr="0050124F" w14:paraId="39375F7B" w14:textId="77777777" w:rsidTr="0050008E">
        <w:trPr>
          <w:cantSplit/>
        </w:trPr>
        <w:tc>
          <w:tcPr>
            <w:tcW w:w="10031" w:type="dxa"/>
            <w:gridSpan w:val="4"/>
          </w:tcPr>
          <w:p w14:paraId="392E1DBB" w14:textId="77777777" w:rsidR="000A5B9A" w:rsidRPr="0050124F" w:rsidRDefault="000A5B9A" w:rsidP="000A5B9A">
            <w:pPr>
              <w:pStyle w:val="Agendaitem"/>
            </w:pPr>
            <w:bookmarkStart w:id="5" w:name="dtitle3" w:colFirst="0" w:colLast="0"/>
            <w:bookmarkEnd w:id="4"/>
            <w:r w:rsidRPr="0050124F">
              <w:t>Punto 9.2 del orden del día</w:t>
            </w:r>
          </w:p>
        </w:tc>
      </w:tr>
    </w:tbl>
    <w:bookmarkEnd w:id="5"/>
    <w:p w14:paraId="1C56D5A4" w14:textId="77777777" w:rsidR="00F417B8" w:rsidRPr="0050124F" w:rsidRDefault="00F417B8" w:rsidP="002D64EA">
      <w:r w:rsidRPr="0050124F">
        <w:t>9</w:t>
      </w:r>
      <w:r w:rsidRPr="0050124F">
        <w:tab/>
        <w:t>examinar y aprobar el Informe del Director de la Oficina de Radiocomunicaciones, de conformidad con el Artículo 7 del Convenio de la UIT:</w:t>
      </w:r>
    </w:p>
    <w:p w14:paraId="4A4EB3E4" w14:textId="77777777" w:rsidR="00F417B8" w:rsidRPr="0050124F" w:rsidRDefault="00F417B8" w:rsidP="00822E96">
      <w:r w:rsidRPr="0050124F">
        <w:t>9.2</w:t>
      </w:r>
      <w:r w:rsidRPr="0050124F">
        <w:tab/>
        <w:t>sobre las dificultades o incoherencias observadas en la aplicación del Reglamento de Radiocomunicaciones;</w:t>
      </w:r>
      <w:r w:rsidRPr="0050124F">
        <w:rPr>
          <w:rStyle w:val="FootnoteReference"/>
        </w:rPr>
        <w:footnoteReference w:customMarkFollows="1" w:id="1"/>
        <w:t>1</w:t>
      </w:r>
      <w:r w:rsidRPr="0050124F">
        <w:t xml:space="preserve"> y</w:t>
      </w:r>
    </w:p>
    <w:p w14:paraId="77903096" w14:textId="77777777" w:rsidR="008750A8" w:rsidRPr="0050124F" w:rsidRDefault="008750A8" w:rsidP="008750A8">
      <w:pPr>
        <w:tabs>
          <w:tab w:val="clear" w:pos="1134"/>
          <w:tab w:val="clear" w:pos="1871"/>
          <w:tab w:val="clear" w:pos="2268"/>
        </w:tabs>
        <w:overflowPunct/>
        <w:autoSpaceDE/>
        <w:autoSpaceDN/>
        <w:adjustRightInd/>
        <w:spacing w:before="0"/>
        <w:textAlignment w:val="auto"/>
      </w:pPr>
      <w:r w:rsidRPr="0050124F">
        <w:br w:type="page"/>
      </w:r>
    </w:p>
    <w:p w14:paraId="623EDCFF" w14:textId="374073CE" w:rsidR="005F3317" w:rsidRPr="0050124F" w:rsidRDefault="00F417B8" w:rsidP="004A5852">
      <w:pPr>
        <w:pStyle w:val="Proposal"/>
      </w:pPr>
      <w:r w:rsidRPr="0050124F">
        <w:lastRenderedPageBreak/>
        <w:tab/>
        <w:t>AFCP/87A25/1</w:t>
      </w:r>
    </w:p>
    <w:p w14:paraId="1E9808FE" w14:textId="77777777" w:rsidR="004A5852" w:rsidRPr="0050124F" w:rsidRDefault="004A5852" w:rsidP="004A5852">
      <w:pPr>
        <w:pStyle w:val="Headingb"/>
        <w:spacing w:before="360"/>
        <w:rPr>
          <w:rFonts w:eastAsia="Times"/>
        </w:rPr>
      </w:pPr>
      <w:r w:rsidRPr="0050124F">
        <w:t>Propuestas relacionadas con la Sección 3.3.1 del Addéndum 2 al Documento 4</w:t>
      </w:r>
    </w:p>
    <w:p w14:paraId="499DAFCC" w14:textId="77777777" w:rsidR="004A5852" w:rsidRPr="0050124F" w:rsidRDefault="004A5852" w:rsidP="004A5852">
      <w:pPr>
        <w:pStyle w:val="Headingb"/>
        <w:rPr>
          <w:rFonts w:eastAsia="Times"/>
        </w:rPr>
      </w:pPr>
      <w:r w:rsidRPr="0050124F">
        <w:t>Introducción</w:t>
      </w:r>
    </w:p>
    <w:p w14:paraId="416DEF70" w14:textId="792164F0" w:rsidR="004A5852" w:rsidRPr="0050124F" w:rsidRDefault="004A5852" w:rsidP="004A5852">
      <w:r w:rsidRPr="0050124F">
        <w:t xml:space="preserve">La UAT ha examinado el Informe del Director y presenta en este documento propuestas y observaciones/opiniones relacionadas con la Parte 2, tal como se recoge en el Addéndum 2 al Documento 4. La Oficina de Radiocomunicaciones (BR), actuando bajo los auspicios del número </w:t>
      </w:r>
      <w:r w:rsidRPr="0050124F">
        <w:rPr>
          <w:rStyle w:val="Artdef"/>
        </w:rPr>
        <w:t>11.50</w:t>
      </w:r>
      <w:r w:rsidRPr="0050124F">
        <w:t xml:space="preserve"> del RR, y a fin de mejorar la exactitud de los datos inscritos en el Registro Internacional de Frecuencias, llevó a cabo un examen de las redes de satélites inscritas en el Registro.</w:t>
      </w:r>
    </w:p>
    <w:p w14:paraId="31877CB9" w14:textId="77777777" w:rsidR="004A5852" w:rsidRPr="0050124F" w:rsidRDefault="004A5852" w:rsidP="004A5852">
      <w:r w:rsidRPr="0050124F">
        <w:t>La Oficina observó que las asignaciones de frecuencias a algunas redes de satélites estaban inscritas en el Registro Internacional sin que se especificara ningún periodo de validez. Por consiguiente, la Oficina solicitó a las administraciones interesadas que indicaran el periodo de validez previsto para esas asignaciones de frecuencias.</w:t>
      </w:r>
    </w:p>
    <w:p w14:paraId="35C8814D" w14:textId="77777777" w:rsidR="004A5852" w:rsidRPr="0050124F" w:rsidRDefault="004A5852" w:rsidP="004A5852">
      <w:pPr>
        <w:pStyle w:val="Headingb"/>
      </w:pPr>
      <w:r w:rsidRPr="0050124F">
        <w:t>Propuesta</w:t>
      </w:r>
    </w:p>
    <w:p w14:paraId="6815345F" w14:textId="77777777" w:rsidR="004A5852" w:rsidRPr="0050124F" w:rsidRDefault="004A5852" w:rsidP="004A5852">
      <w:r w:rsidRPr="0050124F">
        <w:t>La UAT opina que el periodo de validez faltante de algunas redes de satélites de la administración de que se trate debe revisarse e incluirse en sus asignaciones de frecuencias, pues, si no, suscitará ambigüedad al tratar de comprender la vida operacional de los sistemas de satélites, incluidas las estaciones espaciales y terrenas, y el tipo de servicio prestado.</w:t>
      </w:r>
    </w:p>
    <w:p w14:paraId="108712B5" w14:textId="77777777" w:rsidR="004A5852" w:rsidRPr="0050124F" w:rsidRDefault="004A5852" w:rsidP="004A5852">
      <w:r w:rsidRPr="0050124F">
        <w:t xml:space="preserve">En virtud del número </w:t>
      </w:r>
      <w:r w:rsidRPr="0050124F">
        <w:rPr>
          <w:b/>
        </w:rPr>
        <w:t>11.50</w:t>
      </w:r>
      <w:r w:rsidRPr="0050124F">
        <w:t xml:space="preserve"> del RR, con el fin de mejorar la exactitud de los datos inscritos en el Registro, la Oficina procedió a examinar las redes de satélites inscritas. La Oficina observó que las asignaciones de frecuencias a algunas redes de satélites estaban inscritas en el Registro sin indicación del periodo de validez. Por consiguiente, la Oficina solicitó a las administraciones interesadas que indicaran el periodo de validez previsto para esas asignaciones de frecuencias.</w:t>
      </w:r>
    </w:p>
    <w:p w14:paraId="28E55657" w14:textId="77777777" w:rsidR="004A5852" w:rsidRPr="0050124F" w:rsidRDefault="004A5852" w:rsidP="004A5852">
      <w:r w:rsidRPr="0050124F">
        <w:t>Según la DURACIÓN DE LA TRAMITACIÓN DE NOTIFICACIONES DE REDES DE SATÉLITES (bandas no planificadas), se puede observar que el periodo de validez es una parte esencial del ciclo de vida en la tramitación de notificaciones de redes de satélites.</w:t>
      </w:r>
    </w:p>
    <w:p w14:paraId="012DFE02" w14:textId="77777777" w:rsidR="004A5852" w:rsidRPr="0050124F" w:rsidRDefault="004A5852" w:rsidP="004A5852">
      <w:pPr>
        <w:pStyle w:val="Figure"/>
      </w:pPr>
      <w:r w:rsidRPr="0050124F">
        <w:rPr>
          <w:noProof/>
        </w:rPr>
        <w:drawing>
          <wp:inline distT="0" distB="0" distL="0" distR="0" wp14:anchorId="0FFFCF30" wp14:editId="63BC24B9">
            <wp:extent cx="6120765" cy="1654810"/>
            <wp:effectExtent l="0" t="0" r="0" b="2540"/>
            <wp:docPr id="477262870" name="Picture 1" descr="A diagram of a computer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62870" name="Picture 1" descr="A diagram of a computer flowchart&#10;&#10;Description automatically generated"/>
                    <pic:cNvPicPr/>
                  </pic:nvPicPr>
                  <pic:blipFill>
                    <a:blip r:embed="rId14"/>
                    <a:stretch>
                      <a:fillRect/>
                    </a:stretch>
                  </pic:blipFill>
                  <pic:spPr>
                    <a:xfrm>
                      <a:off x="0" y="0"/>
                      <a:ext cx="6120765" cy="1654810"/>
                    </a:xfrm>
                    <a:prstGeom prst="rect">
                      <a:avLst/>
                    </a:prstGeom>
                  </pic:spPr>
                </pic:pic>
              </a:graphicData>
            </a:graphic>
          </wp:inline>
        </w:drawing>
      </w:r>
    </w:p>
    <w:p w14:paraId="508129EA" w14:textId="6E91033A" w:rsidR="001A6B8C" w:rsidRPr="001A6B8C" w:rsidRDefault="001A6B8C" w:rsidP="001A6B8C">
      <w:pPr>
        <w:pStyle w:val="Figurelegend"/>
      </w:pPr>
      <w:r w:rsidRPr="001A6B8C">
        <w:t>Leyenda:</w:t>
      </w:r>
    </w:p>
    <w:p w14:paraId="5C764141" w14:textId="6999E8B4" w:rsidR="004A5852" w:rsidRPr="001A6B8C" w:rsidRDefault="004A5852" w:rsidP="001A6B8C">
      <w:pPr>
        <w:pStyle w:val="Figurelegend"/>
      </w:pPr>
      <w:r w:rsidRPr="001A6B8C">
        <w:t>Límite de 7 años previsto en el número 11.44 del RR</w:t>
      </w:r>
    </w:p>
    <w:p w14:paraId="3FB25319" w14:textId="77777777" w:rsidR="004A5852" w:rsidRPr="001A6B8C" w:rsidRDefault="004A5852" w:rsidP="001A6B8C">
      <w:pPr>
        <w:pStyle w:val="Figurelegend"/>
      </w:pPr>
      <w:r w:rsidRPr="001A6B8C">
        <w:t>API/coordinación</w:t>
      </w:r>
    </w:p>
    <w:p w14:paraId="372ACE62" w14:textId="77777777" w:rsidR="004A5852" w:rsidRPr="001A6B8C" w:rsidRDefault="004A5852" w:rsidP="001A6B8C">
      <w:pPr>
        <w:pStyle w:val="Figurelegend"/>
      </w:pPr>
      <w:r w:rsidRPr="001A6B8C">
        <w:t>notificación</w:t>
      </w:r>
    </w:p>
    <w:p w14:paraId="003C5973" w14:textId="77777777" w:rsidR="004A5852" w:rsidRPr="001A6B8C" w:rsidRDefault="004A5852" w:rsidP="001A6B8C">
      <w:pPr>
        <w:pStyle w:val="Figurelegend"/>
      </w:pPr>
      <w:r w:rsidRPr="001A6B8C">
        <w:t>puesta en servicio</w:t>
      </w:r>
    </w:p>
    <w:p w14:paraId="26404E12" w14:textId="77777777" w:rsidR="004A5852" w:rsidRPr="001A6B8C" w:rsidRDefault="004A5852" w:rsidP="001A6B8C">
      <w:pPr>
        <w:pStyle w:val="Figurelegend"/>
      </w:pPr>
      <w:r w:rsidRPr="001A6B8C">
        <w:t>periodo de validez</w:t>
      </w:r>
    </w:p>
    <w:p w14:paraId="0BFFD259" w14:textId="77777777" w:rsidR="004A5852" w:rsidRPr="0050124F" w:rsidRDefault="004A5852" w:rsidP="001A6B8C">
      <w:pPr>
        <w:pStyle w:val="Figurelegend"/>
      </w:pPr>
      <w:r w:rsidRPr="001A6B8C">
        <w:t>Resolución 35</w:t>
      </w:r>
    </w:p>
    <w:p w14:paraId="70355EF8" w14:textId="77777777" w:rsidR="004A5852" w:rsidRPr="0050124F" w:rsidRDefault="004A5852" w:rsidP="004A5852">
      <w:r w:rsidRPr="0050124F">
        <w:t>Por lo tanto, es crucial solicitar a la administración correspondiente que indique el periodo de validez previsto para esas asignaciones de frecuencias.</w:t>
      </w:r>
    </w:p>
    <w:p w14:paraId="45CC0CB3" w14:textId="77777777" w:rsidR="005F3317" w:rsidRPr="0050124F" w:rsidRDefault="00F417B8">
      <w:pPr>
        <w:pStyle w:val="Proposal"/>
      </w:pPr>
      <w:r w:rsidRPr="0050124F">
        <w:lastRenderedPageBreak/>
        <w:tab/>
        <w:t>AFCP/87A25/2</w:t>
      </w:r>
    </w:p>
    <w:p w14:paraId="20EB1993" w14:textId="77777777" w:rsidR="00463B5F" w:rsidRPr="0050124F" w:rsidRDefault="00463B5F" w:rsidP="00463B5F">
      <w:pPr>
        <w:pStyle w:val="Headingb"/>
        <w:rPr>
          <w:rFonts w:eastAsia="Times"/>
        </w:rPr>
      </w:pPr>
      <w:r w:rsidRPr="0050124F">
        <w:t xml:space="preserve">Propuestas relacionadas con la Sección 3.3.3.2 del Addéndum 2 al Documento 4: Modificación de las características notificadas de conformidad con el </w:t>
      </w:r>
      <w:r w:rsidRPr="0050124F">
        <w:rPr>
          <w:i/>
        </w:rPr>
        <w:t>resuelve</w:t>
      </w:r>
      <w:r w:rsidRPr="0050124F">
        <w:t xml:space="preserve"> 11 de la Resolución 35 (CMR-19)</w:t>
      </w:r>
    </w:p>
    <w:p w14:paraId="7640DC63" w14:textId="77777777" w:rsidR="00463B5F" w:rsidRPr="007855D0" w:rsidRDefault="00463B5F" w:rsidP="007855D0">
      <w:pPr>
        <w:pStyle w:val="Headingb"/>
        <w:rPr>
          <w:rFonts w:eastAsia="Times"/>
        </w:rPr>
      </w:pPr>
      <w:r w:rsidRPr="007855D0">
        <w:t>Introducción</w:t>
      </w:r>
    </w:p>
    <w:p w14:paraId="3153C6D0" w14:textId="77777777" w:rsidR="00463B5F" w:rsidRPr="0050124F" w:rsidRDefault="00463B5F" w:rsidP="00463B5F">
      <w:r w:rsidRPr="0050124F">
        <w:t xml:space="preserve">La UAT ha examinado el Informe del Director y presenta en este documento propuestas y observaciones/opiniones relacionadas con la Parte 2, tal como recoge el Addéndum 2 al Documento 4. Respecto de los casos en que, en aplicación del </w:t>
      </w:r>
      <w:r w:rsidRPr="0050124F">
        <w:rPr>
          <w:i/>
        </w:rPr>
        <w:t>resuelve</w:t>
      </w:r>
      <w:r w:rsidRPr="0050124F">
        <w:t xml:space="preserve"> 11 de la Resolución </w:t>
      </w:r>
      <w:r w:rsidRPr="0050124F">
        <w:rPr>
          <w:b/>
        </w:rPr>
        <w:t>35 (CMR-19)</w:t>
      </w:r>
      <w:r w:rsidRPr="0050124F">
        <w:t xml:space="preserve">, la administración notificante comunique a la Oficina la modificación de las características de las asignaciones de frecuencias notificadas o inscritas del sistema de satélites no OSG para reducir el número máximo de satélites a los valores calculados de conformidad con el </w:t>
      </w:r>
      <w:r w:rsidRPr="0050124F">
        <w:rPr>
          <w:i/>
        </w:rPr>
        <w:t>resuelve</w:t>
      </w:r>
      <w:r w:rsidRPr="0050124F">
        <w:t xml:space="preserve"> 11 a), b) o c), se planteó la cuestión de si es necesario mantener entre los satélites pendientes al menos las características orbitales correspondientes al satélite o satélites que se hayan utilizado para la puesta en servicio de las asignaciones de frecuencias a ese sistema de satélites o para la finalización de una etapa anterior de la Resolución </w:t>
      </w:r>
      <w:r w:rsidRPr="0050124F">
        <w:rPr>
          <w:b/>
        </w:rPr>
        <w:t>35 (CMR-19)</w:t>
      </w:r>
      <w:r w:rsidRPr="0050124F">
        <w:t>.</w:t>
      </w:r>
    </w:p>
    <w:p w14:paraId="75FEF559" w14:textId="77777777" w:rsidR="00463B5F" w:rsidRPr="0050124F" w:rsidRDefault="00463B5F" w:rsidP="00463B5F">
      <w:r w:rsidRPr="0050124F">
        <w:t xml:space="preserve">La redacción actual de la Resolución </w:t>
      </w:r>
      <w:r w:rsidRPr="0050124F">
        <w:rPr>
          <w:b/>
        </w:rPr>
        <w:t>35 (CMR-19)</w:t>
      </w:r>
      <w:r w:rsidRPr="0050124F">
        <w:t xml:space="preserve"> no impone la obligación de conservar esas características: la modificación consistente en reducir el número máximo de satélites con arreglo al </w:t>
      </w:r>
      <w:r w:rsidRPr="0050124F">
        <w:rPr>
          <w:i/>
        </w:rPr>
        <w:t>resuelve</w:t>
      </w:r>
      <w:r w:rsidRPr="0050124F">
        <w:t xml:space="preserve"> 11 no exige conservar el plano o planos orbitales que se utilizaron para la puesta en servicio o la finalización de etapas anteriores. Sin embargo, los satélites previamente desplegados en un plano suprimido posteriormente por dicha modificación ya no podrán contabilizarse durante las siguientes etapas de la Resolución </w:t>
      </w:r>
      <w:r w:rsidRPr="0050124F">
        <w:rPr>
          <w:b/>
        </w:rPr>
        <w:t>35 (CMR-19)</w:t>
      </w:r>
      <w:r w:rsidRPr="0050124F">
        <w:t>.</w:t>
      </w:r>
    </w:p>
    <w:p w14:paraId="511744BA" w14:textId="77777777" w:rsidR="00463B5F" w:rsidRPr="0050124F" w:rsidRDefault="00463B5F" w:rsidP="00463B5F">
      <w:pPr>
        <w:pStyle w:val="Headingb"/>
      </w:pPr>
      <w:r w:rsidRPr="0050124F">
        <w:t>Propuesta</w:t>
      </w:r>
    </w:p>
    <w:p w14:paraId="04B474E8" w14:textId="77777777" w:rsidR="00463B5F" w:rsidRPr="0050124F" w:rsidRDefault="00463B5F" w:rsidP="00463B5F">
      <w:r w:rsidRPr="0050124F">
        <w:t>La UAT opina que se deben suprimir y no conservar los satélites pendientes que no estén incluidos en la modificación, para no inducir a error al adoptar la resolución y ciertas medidas posteriores como, por ejemplo, los cálculos del análisis de interferencias.</w:t>
      </w:r>
    </w:p>
    <w:p w14:paraId="19F599E3" w14:textId="77777777" w:rsidR="00463B5F" w:rsidRPr="0050124F" w:rsidRDefault="00463B5F" w:rsidP="00463B5F">
      <w:r w:rsidRPr="0050124F">
        <w:t xml:space="preserve">Una administración notificante comunica a la Oficina la modificación de las características de las asignaciones de frecuencias notificadas o inscritas del sistema de satélites no OSG para reducir el número máximo de satélites. A este respecto, se planteó la cuestión de si es necesario mantener entre los satélites pendientes al menos las características orbitales correspondientes al satélite o satélites que se hayan utilizado para la puesta en servicio de las asignaciones de frecuencias a ese sistema de satélites o para la finalización de una etapa anterior de la Resolución </w:t>
      </w:r>
      <w:r w:rsidRPr="0050124F">
        <w:rPr>
          <w:b/>
        </w:rPr>
        <w:t>35 (CMR-19)</w:t>
      </w:r>
      <w:r w:rsidRPr="0050124F">
        <w:t>.</w:t>
      </w:r>
    </w:p>
    <w:p w14:paraId="7E1D5661" w14:textId="77777777" w:rsidR="00463B5F" w:rsidRPr="0050124F" w:rsidRDefault="00463B5F" w:rsidP="00463B5F">
      <w:r w:rsidRPr="0050124F">
        <w:t xml:space="preserve">Como se muestra a continuación, se publica y se tiene en cuenta una lista en la que figuran los planos orbitales, junto con las medidas posteriores relacionadas con la BR, si es necesario adoptar cualquier medida relacionada con la Resolución </w:t>
      </w:r>
      <w:r w:rsidRPr="0050124F">
        <w:rPr>
          <w:b/>
        </w:rPr>
        <w:t>35 (CMR-19)</w:t>
      </w:r>
      <w:r w:rsidRPr="0050124F">
        <w:t>.</w:t>
      </w:r>
    </w:p>
    <w:p w14:paraId="4687BAED" w14:textId="40D1E7D4" w:rsidR="00463B5F" w:rsidRPr="0050124F" w:rsidRDefault="00463B5F" w:rsidP="00463B5F">
      <w:pPr>
        <w:pStyle w:val="Figure"/>
        <w:rPr>
          <w:b/>
          <w:u w:val="single"/>
        </w:rPr>
      </w:pPr>
    </w:p>
    <w:tbl>
      <w:tblPr>
        <w:tblOverlap w:val="never"/>
        <w:tblW w:w="5000" w:type="pct"/>
        <w:tblCellMar>
          <w:left w:w="10" w:type="dxa"/>
          <w:right w:w="10" w:type="dxa"/>
        </w:tblCellMar>
        <w:tblLook w:val="04A0" w:firstRow="1" w:lastRow="0" w:firstColumn="1" w:lastColumn="0" w:noHBand="0" w:noVBand="1"/>
      </w:tblPr>
      <w:tblGrid>
        <w:gridCol w:w="1168"/>
        <w:gridCol w:w="1256"/>
        <w:gridCol w:w="1163"/>
        <w:gridCol w:w="903"/>
        <w:gridCol w:w="894"/>
        <w:gridCol w:w="1271"/>
        <w:gridCol w:w="1254"/>
        <w:gridCol w:w="1720"/>
      </w:tblGrid>
      <w:tr w:rsidR="00463B5F" w:rsidRPr="0050124F" w14:paraId="51FF16F2" w14:textId="77777777" w:rsidTr="0013184B">
        <w:trPr>
          <w:trHeight w:val="275"/>
        </w:trPr>
        <w:tc>
          <w:tcPr>
            <w:tcW w:w="4107" w:type="pct"/>
            <w:gridSpan w:val="7"/>
            <w:tcBorders>
              <w:top w:val="single" w:sz="4" w:space="0" w:color="auto"/>
              <w:left w:val="single" w:sz="4" w:space="0" w:color="auto"/>
            </w:tcBorders>
            <w:shd w:val="clear" w:color="auto" w:fill="D9D9D9"/>
            <w:vAlign w:val="center"/>
          </w:tcPr>
          <w:p w14:paraId="601B0152" w14:textId="77777777" w:rsidR="00463B5F" w:rsidRPr="0050124F" w:rsidRDefault="00463B5F" w:rsidP="001A6B8C">
            <w:pPr>
              <w:pStyle w:val="Tablehead"/>
            </w:pPr>
            <w:r w:rsidRPr="0050124F">
              <w:t>PARÁMETROS ORBITALES EN LA NOTIFICACIÓN</w:t>
            </w:r>
          </w:p>
        </w:tc>
        <w:tc>
          <w:tcPr>
            <w:tcW w:w="893" w:type="pct"/>
            <w:tcBorders>
              <w:top w:val="single" w:sz="4" w:space="0" w:color="auto"/>
              <w:left w:val="single" w:sz="4" w:space="0" w:color="auto"/>
              <w:right w:val="single" w:sz="4" w:space="0" w:color="auto"/>
            </w:tcBorders>
            <w:shd w:val="clear" w:color="auto" w:fill="D9D9D9"/>
            <w:vAlign w:val="center"/>
          </w:tcPr>
          <w:p w14:paraId="070E7DDC" w14:textId="77777777" w:rsidR="00463B5F" w:rsidRPr="0050124F" w:rsidRDefault="00463B5F" w:rsidP="001A6B8C">
            <w:pPr>
              <w:pStyle w:val="Tablehead"/>
            </w:pPr>
            <w:r w:rsidRPr="0050124F">
              <w:t>DATOS DE LA NOTIFICACIÓN EN VIRTUD DE LA RES. 35</w:t>
            </w:r>
          </w:p>
        </w:tc>
      </w:tr>
      <w:tr w:rsidR="00463B5F" w:rsidRPr="0050124F" w14:paraId="04989321" w14:textId="77777777" w:rsidTr="0013184B">
        <w:trPr>
          <w:trHeight w:val="398"/>
        </w:trPr>
        <w:tc>
          <w:tcPr>
            <w:tcW w:w="607" w:type="pct"/>
            <w:tcBorders>
              <w:top w:val="single" w:sz="4" w:space="0" w:color="auto"/>
              <w:left w:val="single" w:sz="4" w:space="0" w:color="auto"/>
            </w:tcBorders>
            <w:shd w:val="clear" w:color="auto" w:fill="D9D9D9"/>
            <w:vAlign w:val="center"/>
          </w:tcPr>
          <w:p w14:paraId="42201A54" w14:textId="52FC0083" w:rsidR="00463B5F" w:rsidRPr="0050124F" w:rsidRDefault="00463B5F" w:rsidP="001A6B8C">
            <w:pPr>
              <w:pStyle w:val="Tablehead"/>
            </w:pPr>
            <w:r w:rsidRPr="0050124F">
              <w:t>BR6a/BR6b Nº</w:t>
            </w:r>
            <w:r w:rsidR="00DA5CAC" w:rsidRPr="0050124F">
              <w:t xml:space="preserve"> </w:t>
            </w:r>
            <w:r w:rsidRPr="0050124F">
              <w:t xml:space="preserve">ID </w:t>
            </w:r>
          </w:p>
        </w:tc>
        <w:tc>
          <w:tcPr>
            <w:tcW w:w="652" w:type="pct"/>
            <w:tcBorders>
              <w:top w:val="single" w:sz="4" w:space="0" w:color="auto"/>
              <w:left w:val="single" w:sz="4" w:space="0" w:color="auto"/>
            </w:tcBorders>
            <w:shd w:val="clear" w:color="auto" w:fill="D9D9D9"/>
            <w:vAlign w:val="center"/>
          </w:tcPr>
          <w:p w14:paraId="649EEF3E" w14:textId="77777777" w:rsidR="00463B5F" w:rsidRPr="0050124F" w:rsidRDefault="00463B5F" w:rsidP="001A6B8C">
            <w:pPr>
              <w:pStyle w:val="Tablehead"/>
            </w:pPr>
            <w:r w:rsidRPr="0050124F">
              <w:t>BR93</w:t>
            </w:r>
            <w:r w:rsidRPr="0050124F">
              <w:br/>
              <w:t>Nº ID plano orbital</w:t>
            </w:r>
            <w:r w:rsidRPr="0050124F">
              <w:br/>
            </w:r>
          </w:p>
          <w:p w14:paraId="404CF87D" w14:textId="77777777" w:rsidR="00463B5F" w:rsidRPr="0050124F" w:rsidRDefault="00463B5F" w:rsidP="001A6B8C">
            <w:pPr>
              <w:pStyle w:val="Tablehead"/>
            </w:pPr>
          </w:p>
        </w:tc>
        <w:tc>
          <w:tcPr>
            <w:tcW w:w="604" w:type="pct"/>
            <w:tcBorders>
              <w:top w:val="single" w:sz="4" w:space="0" w:color="auto"/>
              <w:left w:val="single" w:sz="4" w:space="0" w:color="auto"/>
            </w:tcBorders>
            <w:shd w:val="clear" w:color="auto" w:fill="D9D9D9"/>
            <w:vAlign w:val="center"/>
          </w:tcPr>
          <w:p w14:paraId="63E59A84" w14:textId="77777777" w:rsidR="00463B5F" w:rsidRPr="0050124F" w:rsidRDefault="00463B5F" w:rsidP="001A6B8C">
            <w:pPr>
              <w:pStyle w:val="Tablehead"/>
            </w:pPr>
            <w:r w:rsidRPr="0050124F">
              <w:t>A4b4a Ángulo de inclinación</w:t>
            </w:r>
            <w:r w:rsidRPr="0050124F">
              <w:br/>
            </w:r>
          </w:p>
        </w:tc>
        <w:tc>
          <w:tcPr>
            <w:tcW w:w="469" w:type="pct"/>
            <w:tcBorders>
              <w:top w:val="single" w:sz="4" w:space="0" w:color="auto"/>
              <w:left w:val="single" w:sz="4" w:space="0" w:color="auto"/>
            </w:tcBorders>
            <w:shd w:val="clear" w:color="auto" w:fill="D9D9D9"/>
            <w:vAlign w:val="center"/>
          </w:tcPr>
          <w:p w14:paraId="7A65A240" w14:textId="77777777" w:rsidR="00463B5F" w:rsidRPr="0050124F" w:rsidRDefault="00463B5F" w:rsidP="001A6B8C">
            <w:pPr>
              <w:pStyle w:val="Tablehead"/>
            </w:pPr>
            <w:r w:rsidRPr="0050124F">
              <w:t>A4b4d Apogeo</w:t>
            </w:r>
            <w:r w:rsidRPr="0050124F">
              <w:br/>
            </w:r>
          </w:p>
        </w:tc>
        <w:tc>
          <w:tcPr>
            <w:tcW w:w="464" w:type="pct"/>
            <w:tcBorders>
              <w:top w:val="single" w:sz="4" w:space="0" w:color="auto"/>
              <w:left w:val="single" w:sz="4" w:space="0" w:color="auto"/>
            </w:tcBorders>
            <w:shd w:val="clear" w:color="auto" w:fill="D9D9D9"/>
            <w:vAlign w:val="center"/>
          </w:tcPr>
          <w:p w14:paraId="280E6B76" w14:textId="77777777" w:rsidR="00463B5F" w:rsidRPr="0050124F" w:rsidRDefault="00463B5F" w:rsidP="001A6B8C">
            <w:pPr>
              <w:pStyle w:val="Tablehead"/>
            </w:pPr>
            <w:r w:rsidRPr="0050124F">
              <w:t xml:space="preserve">A4b4e Perigeo </w:t>
            </w:r>
          </w:p>
        </w:tc>
        <w:tc>
          <w:tcPr>
            <w:tcW w:w="660" w:type="pct"/>
            <w:tcBorders>
              <w:top w:val="single" w:sz="4" w:space="0" w:color="auto"/>
              <w:left w:val="single" w:sz="4" w:space="0" w:color="auto"/>
            </w:tcBorders>
            <w:shd w:val="clear" w:color="auto" w:fill="D9D9D9"/>
            <w:vAlign w:val="center"/>
          </w:tcPr>
          <w:p w14:paraId="4C3D4B3C" w14:textId="77777777" w:rsidR="00463B5F" w:rsidRPr="0050124F" w:rsidRDefault="00463B5F" w:rsidP="001A6B8C">
            <w:pPr>
              <w:pStyle w:val="Tablehead"/>
            </w:pPr>
            <w:r w:rsidRPr="0050124F">
              <w:t xml:space="preserve">A4b4i Argumento del perigeo </w:t>
            </w:r>
            <w:r w:rsidRPr="0050124F">
              <w:br/>
            </w:r>
          </w:p>
          <w:p w14:paraId="667C0D91" w14:textId="77777777" w:rsidR="00463B5F" w:rsidRPr="0050124F" w:rsidRDefault="00463B5F" w:rsidP="001A6B8C">
            <w:pPr>
              <w:pStyle w:val="Tablehead"/>
            </w:pPr>
          </w:p>
        </w:tc>
        <w:tc>
          <w:tcPr>
            <w:tcW w:w="650" w:type="pct"/>
            <w:tcBorders>
              <w:top w:val="single" w:sz="4" w:space="0" w:color="auto"/>
              <w:left w:val="single" w:sz="4" w:space="0" w:color="auto"/>
            </w:tcBorders>
            <w:shd w:val="clear" w:color="auto" w:fill="D9D9D9"/>
            <w:vAlign w:val="center"/>
          </w:tcPr>
          <w:p w14:paraId="40216C89" w14:textId="77777777" w:rsidR="00463B5F" w:rsidRPr="0050124F" w:rsidRDefault="00463B5F" w:rsidP="001A6B8C">
            <w:pPr>
              <w:pStyle w:val="Tablehead"/>
            </w:pPr>
            <w:r w:rsidRPr="0050124F">
              <w:t xml:space="preserve">A4b4b Número de estaciones espaciales en este plano </w:t>
            </w:r>
            <w:r w:rsidRPr="0050124F">
              <w:br/>
            </w:r>
          </w:p>
        </w:tc>
        <w:tc>
          <w:tcPr>
            <w:tcW w:w="893" w:type="pct"/>
            <w:tcBorders>
              <w:top w:val="single" w:sz="4" w:space="0" w:color="auto"/>
              <w:left w:val="single" w:sz="4" w:space="0" w:color="auto"/>
              <w:right w:val="single" w:sz="4" w:space="0" w:color="auto"/>
            </w:tcBorders>
            <w:shd w:val="clear" w:color="auto" w:fill="D9D9D9"/>
            <w:vAlign w:val="center"/>
          </w:tcPr>
          <w:p w14:paraId="5D4D9D15" w14:textId="77777777" w:rsidR="00463B5F" w:rsidRPr="0050124F" w:rsidRDefault="00463B5F" w:rsidP="001A6B8C">
            <w:pPr>
              <w:pStyle w:val="Tablehead"/>
            </w:pPr>
            <w:r w:rsidRPr="0050124F">
              <w:t>BR111</w:t>
            </w:r>
          </w:p>
          <w:p w14:paraId="05901C41" w14:textId="77777777" w:rsidR="00463B5F" w:rsidRPr="0050124F" w:rsidRDefault="00463B5F" w:rsidP="001A6B8C">
            <w:pPr>
              <w:pStyle w:val="Tablehead"/>
            </w:pPr>
            <w:r w:rsidRPr="0050124F">
              <w:t>Número de estaciones espaciales desplegadas en este plano</w:t>
            </w:r>
          </w:p>
        </w:tc>
      </w:tr>
      <w:tr w:rsidR="00463B5F" w:rsidRPr="0050124F" w14:paraId="67FB8FF3" w14:textId="77777777" w:rsidTr="0013184B">
        <w:trPr>
          <w:trHeight w:val="182"/>
        </w:trPr>
        <w:tc>
          <w:tcPr>
            <w:tcW w:w="607" w:type="pct"/>
            <w:tcBorders>
              <w:top w:val="single" w:sz="4" w:space="0" w:color="auto"/>
              <w:left w:val="single" w:sz="4" w:space="0" w:color="auto"/>
            </w:tcBorders>
            <w:shd w:val="clear" w:color="auto" w:fill="auto"/>
            <w:vAlign w:val="center"/>
          </w:tcPr>
          <w:p w14:paraId="6C50FE3A" w14:textId="77777777" w:rsidR="00463B5F" w:rsidRPr="0050124F" w:rsidRDefault="00463B5F" w:rsidP="001A6B8C">
            <w:pPr>
              <w:pStyle w:val="Tabletext"/>
              <w:jc w:val="center"/>
            </w:pPr>
            <w:r w:rsidRPr="0050124F">
              <w:t>118500298</w:t>
            </w:r>
          </w:p>
        </w:tc>
        <w:tc>
          <w:tcPr>
            <w:tcW w:w="652" w:type="pct"/>
            <w:tcBorders>
              <w:top w:val="single" w:sz="4" w:space="0" w:color="auto"/>
              <w:left w:val="single" w:sz="4" w:space="0" w:color="auto"/>
            </w:tcBorders>
            <w:shd w:val="clear" w:color="auto" w:fill="auto"/>
            <w:vAlign w:val="center"/>
          </w:tcPr>
          <w:p w14:paraId="7A35DB79" w14:textId="77777777" w:rsidR="00463B5F" w:rsidRPr="0050124F" w:rsidRDefault="00463B5F" w:rsidP="001A6B8C">
            <w:pPr>
              <w:pStyle w:val="Tabletext"/>
              <w:jc w:val="center"/>
            </w:pPr>
            <w:r w:rsidRPr="0050124F">
              <w:t>1</w:t>
            </w:r>
          </w:p>
        </w:tc>
        <w:tc>
          <w:tcPr>
            <w:tcW w:w="604" w:type="pct"/>
            <w:tcBorders>
              <w:top w:val="single" w:sz="4" w:space="0" w:color="auto"/>
              <w:left w:val="single" w:sz="4" w:space="0" w:color="auto"/>
            </w:tcBorders>
            <w:shd w:val="clear" w:color="auto" w:fill="auto"/>
            <w:vAlign w:val="center"/>
          </w:tcPr>
          <w:p w14:paraId="7F319A14" w14:textId="77777777" w:rsidR="00463B5F" w:rsidRPr="0050124F" w:rsidRDefault="00463B5F" w:rsidP="001A6B8C">
            <w:pPr>
              <w:pStyle w:val="Tabletext"/>
              <w:jc w:val="center"/>
            </w:pPr>
            <w:r w:rsidRPr="0050124F">
              <w:t>99.5</w:t>
            </w:r>
          </w:p>
        </w:tc>
        <w:tc>
          <w:tcPr>
            <w:tcW w:w="469" w:type="pct"/>
            <w:tcBorders>
              <w:top w:val="single" w:sz="4" w:space="0" w:color="auto"/>
              <w:left w:val="single" w:sz="4" w:space="0" w:color="auto"/>
            </w:tcBorders>
            <w:shd w:val="clear" w:color="auto" w:fill="auto"/>
            <w:vAlign w:val="center"/>
          </w:tcPr>
          <w:p w14:paraId="2CF0EB7A" w14:textId="77777777" w:rsidR="00463B5F" w:rsidRPr="0050124F" w:rsidRDefault="00463B5F" w:rsidP="001A6B8C">
            <w:pPr>
              <w:pStyle w:val="Tabletext"/>
              <w:jc w:val="center"/>
            </w:pPr>
            <w:r w:rsidRPr="0050124F">
              <w:t>1000</w:t>
            </w:r>
          </w:p>
        </w:tc>
        <w:tc>
          <w:tcPr>
            <w:tcW w:w="464" w:type="pct"/>
            <w:tcBorders>
              <w:top w:val="single" w:sz="4" w:space="0" w:color="auto"/>
              <w:left w:val="single" w:sz="4" w:space="0" w:color="auto"/>
            </w:tcBorders>
            <w:shd w:val="clear" w:color="auto" w:fill="auto"/>
            <w:vAlign w:val="center"/>
          </w:tcPr>
          <w:p w14:paraId="318664B0" w14:textId="77777777" w:rsidR="00463B5F" w:rsidRPr="0050124F" w:rsidRDefault="00463B5F" w:rsidP="001A6B8C">
            <w:pPr>
              <w:pStyle w:val="Tabletext"/>
              <w:jc w:val="center"/>
            </w:pPr>
            <w:r w:rsidRPr="0050124F">
              <w:t>1000</w:t>
            </w:r>
          </w:p>
        </w:tc>
        <w:tc>
          <w:tcPr>
            <w:tcW w:w="660" w:type="pct"/>
            <w:tcBorders>
              <w:top w:val="single" w:sz="4" w:space="0" w:color="auto"/>
              <w:left w:val="single" w:sz="4" w:space="0" w:color="auto"/>
            </w:tcBorders>
            <w:shd w:val="clear" w:color="auto" w:fill="auto"/>
            <w:vAlign w:val="center"/>
          </w:tcPr>
          <w:p w14:paraId="0BD184B7" w14:textId="77777777" w:rsidR="00463B5F" w:rsidRPr="0050124F" w:rsidRDefault="00463B5F" w:rsidP="001A6B8C">
            <w:pPr>
              <w:pStyle w:val="Tabletext"/>
              <w:jc w:val="center"/>
            </w:pPr>
            <w:r w:rsidRPr="0050124F">
              <w:t>0</w:t>
            </w:r>
          </w:p>
        </w:tc>
        <w:tc>
          <w:tcPr>
            <w:tcW w:w="650" w:type="pct"/>
            <w:tcBorders>
              <w:top w:val="single" w:sz="4" w:space="0" w:color="auto"/>
              <w:left w:val="single" w:sz="4" w:space="0" w:color="auto"/>
            </w:tcBorders>
            <w:shd w:val="clear" w:color="auto" w:fill="auto"/>
            <w:vAlign w:val="center"/>
          </w:tcPr>
          <w:p w14:paraId="7FDD0C9C" w14:textId="77777777" w:rsidR="00463B5F" w:rsidRPr="0050124F" w:rsidRDefault="00463B5F" w:rsidP="001A6B8C">
            <w:pPr>
              <w:pStyle w:val="Tabletext"/>
              <w:jc w:val="center"/>
            </w:pPr>
            <w:r w:rsidRPr="0050124F">
              <w:t>12</w:t>
            </w:r>
          </w:p>
        </w:tc>
        <w:tc>
          <w:tcPr>
            <w:tcW w:w="893" w:type="pct"/>
            <w:tcBorders>
              <w:top w:val="single" w:sz="4" w:space="0" w:color="auto"/>
              <w:left w:val="single" w:sz="4" w:space="0" w:color="auto"/>
              <w:right w:val="single" w:sz="4" w:space="0" w:color="auto"/>
            </w:tcBorders>
            <w:shd w:val="clear" w:color="auto" w:fill="auto"/>
            <w:vAlign w:val="center"/>
          </w:tcPr>
          <w:p w14:paraId="5E39BC59" w14:textId="77777777" w:rsidR="00463B5F" w:rsidRPr="0050124F" w:rsidRDefault="00463B5F" w:rsidP="001A6B8C">
            <w:pPr>
              <w:pStyle w:val="Tabletext"/>
              <w:jc w:val="center"/>
            </w:pPr>
            <w:r w:rsidRPr="0050124F">
              <w:t>0</w:t>
            </w:r>
          </w:p>
        </w:tc>
      </w:tr>
      <w:tr w:rsidR="00463B5F" w:rsidRPr="0050124F" w14:paraId="0332F3AC" w14:textId="77777777" w:rsidTr="0013184B">
        <w:trPr>
          <w:trHeight w:val="166"/>
        </w:trPr>
        <w:tc>
          <w:tcPr>
            <w:tcW w:w="607" w:type="pct"/>
            <w:tcBorders>
              <w:top w:val="single" w:sz="4" w:space="0" w:color="auto"/>
              <w:left w:val="single" w:sz="4" w:space="0" w:color="auto"/>
            </w:tcBorders>
            <w:shd w:val="clear" w:color="auto" w:fill="auto"/>
            <w:vAlign w:val="center"/>
          </w:tcPr>
          <w:p w14:paraId="38CE5384" w14:textId="77777777" w:rsidR="00463B5F" w:rsidRPr="0050124F" w:rsidRDefault="00463B5F" w:rsidP="001A6B8C">
            <w:pPr>
              <w:pStyle w:val="Tabletext"/>
              <w:jc w:val="center"/>
            </w:pPr>
            <w:r w:rsidRPr="0050124F">
              <w:lastRenderedPageBreak/>
              <w:t>118500298</w:t>
            </w:r>
          </w:p>
        </w:tc>
        <w:tc>
          <w:tcPr>
            <w:tcW w:w="652" w:type="pct"/>
            <w:tcBorders>
              <w:top w:val="single" w:sz="4" w:space="0" w:color="auto"/>
              <w:left w:val="single" w:sz="4" w:space="0" w:color="auto"/>
            </w:tcBorders>
            <w:shd w:val="clear" w:color="auto" w:fill="auto"/>
            <w:vAlign w:val="center"/>
          </w:tcPr>
          <w:p w14:paraId="5E66BA8E" w14:textId="77777777" w:rsidR="00463B5F" w:rsidRPr="0050124F" w:rsidRDefault="00463B5F" w:rsidP="001A6B8C">
            <w:pPr>
              <w:pStyle w:val="Tabletext"/>
              <w:jc w:val="center"/>
            </w:pPr>
            <w:r w:rsidRPr="0050124F">
              <w:t>2</w:t>
            </w:r>
          </w:p>
        </w:tc>
        <w:tc>
          <w:tcPr>
            <w:tcW w:w="604" w:type="pct"/>
            <w:tcBorders>
              <w:top w:val="single" w:sz="4" w:space="0" w:color="auto"/>
              <w:left w:val="single" w:sz="4" w:space="0" w:color="auto"/>
            </w:tcBorders>
            <w:shd w:val="clear" w:color="auto" w:fill="auto"/>
            <w:vAlign w:val="center"/>
          </w:tcPr>
          <w:p w14:paraId="260FBDFE" w14:textId="77777777" w:rsidR="00463B5F" w:rsidRPr="0050124F" w:rsidRDefault="00463B5F" w:rsidP="001A6B8C">
            <w:pPr>
              <w:pStyle w:val="Tabletext"/>
              <w:jc w:val="center"/>
            </w:pPr>
            <w:r w:rsidRPr="0050124F">
              <w:t>99.5</w:t>
            </w:r>
          </w:p>
        </w:tc>
        <w:tc>
          <w:tcPr>
            <w:tcW w:w="469" w:type="pct"/>
            <w:tcBorders>
              <w:top w:val="single" w:sz="4" w:space="0" w:color="auto"/>
              <w:left w:val="single" w:sz="4" w:space="0" w:color="auto"/>
            </w:tcBorders>
            <w:shd w:val="clear" w:color="auto" w:fill="auto"/>
            <w:vAlign w:val="center"/>
          </w:tcPr>
          <w:p w14:paraId="44F87C09" w14:textId="77777777" w:rsidR="00463B5F" w:rsidRPr="0050124F" w:rsidRDefault="00463B5F" w:rsidP="001A6B8C">
            <w:pPr>
              <w:pStyle w:val="Tabletext"/>
              <w:jc w:val="center"/>
            </w:pPr>
            <w:r w:rsidRPr="0050124F">
              <w:t>1000</w:t>
            </w:r>
          </w:p>
        </w:tc>
        <w:tc>
          <w:tcPr>
            <w:tcW w:w="464" w:type="pct"/>
            <w:tcBorders>
              <w:top w:val="single" w:sz="4" w:space="0" w:color="auto"/>
              <w:left w:val="single" w:sz="4" w:space="0" w:color="auto"/>
            </w:tcBorders>
            <w:shd w:val="clear" w:color="auto" w:fill="auto"/>
            <w:vAlign w:val="center"/>
          </w:tcPr>
          <w:p w14:paraId="0BBB390B" w14:textId="77777777" w:rsidR="00463B5F" w:rsidRPr="0050124F" w:rsidRDefault="00463B5F" w:rsidP="001A6B8C">
            <w:pPr>
              <w:pStyle w:val="Tabletext"/>
              <w:jc w:val="center"/>
            </w:pPr>
            <w:r w:rsidRPr="0050124F">
              <w:t>1000</w:t>
            </w:r>
          </w:p>
        </w:tc>
        <w:tc>
          <w:tcPr>
            <w:tcW w:w="660" w:type="pct"/>
            <w:tcBorders>
              <w:top w:val="single" w:sz="4" w:space="0" w:color="auto"/>
              <w:left w:val="single" w:sz="4" w:space="0" w:color="auto"/>
            </w:tcBorders>
            <w:shd w:val="clear" w:color="auto" w:fill="auto"/>
            <w:vAlign w:val="center"/>
          </w:tcPr>
          <w:p w14:paraId="28881152" w14:textId="77777777" w:rsidR="00463B5F" w:rsidRPr="0050124F" w:rsidRDefault="00463B5F" w:rsidP="001A6B8C">
            <w:pPr>
              <w:pStyle w:val="Tabletext"/>
              <w:jc w:val="center"/>
            </w:pPr>
            <w:r w:rsidRPr="0050124F">
              <w:t>0</w:t>
            </w:r>
          </w:p>
        </w:tc>
        <w:tc>
          <w:tcPr>
            <w:tcW w:w="650" w:type="pct"/>
            <w:tcBorders>
              <w:top w:val="single" w:sz="4" w:space="0" w:color="auto"/>
              <w:left w:val="single" w:sz="4" w:space="0" w:color="auto"/>
            </w:tcBorders>
            <w:shd w:val="clear" w:color="auto" w:fill="auto"/>
            <w:vAlign w:val="center"/>
          </w:tcPr>
          <w:p w14:paraId="070D44B8" w14:textId="77777777" w:rsidR="00463B5F" w:rsidRPr="0050124F" w:rsidRDefault="00463B5F" w:rsidP="001A6B8C">
            <w:pPr>
              <w:pStyle w:val="Tabletext"/>
              <w:jc w:val="center"/>
            </w:pPr>
            <w:r w:rsidRPr="0050124F">
              <w:t>12</w:t>
            </w:r>
          </w:p>
        </w:tc>
        <w:tc>
          <w:tcPr>
            <w:tcW w:w="893" w:type="pct"/>
            <w:tcBorders>
              <w:top w:val="single" w:sz="4" w:space="0" w:color="auto"/>
              <w:left w:val="single" w:sz="4" w:space="0" w:color="auto"/>
              <w:right w:val="single" w:sz="4" w:space="0" w:color="auto"/>
            </w:tcBorders>
            <w:shd w:val="clear" w:color="auto" w:fill="auto"/>
            <w:vAlign w:val="center"/>
          </w:tcPr>
          <w:p w14:paraId="2311F6BA" w14:textId="77777777" w:rsidR="00463B5F" w:rsidRPr="0050124F" w:rsidRDefault="00463B5F" w:rsidP="001A6B8C">
            <w:pPr>
              <w:pStyle w:val="Tabletext"/>
              <w:jc w:val="center"/>
            </w:pPr>
            <w:r w:rsidRPr="0050124F">
              <w:t>0</w:t>
            </w:r>
          </w:p>
        </w:tc>
      </w:tr>
      <w:tr w:rsidR="00463B5F" w:rsidRPr="0050124F" w14:paraId="4E964B69" w14:textId="77777777" w:rsidTr="0013184B">
        <w:trPr>
          <w:trHeight w:val="177"/>
        </w:trPr>
        <w:tc>
          <w:tcPr>
            <w:tcW w:w="607" w:type="pct"/>
            <w:tcBorders>
              <w:top w:val="single" w:sz="4" w:space="0" w:color="auto"/>
              <w:left w:val="single" w:sz="4" w:space="0" w:color="auto"/>
            </w:tcBorders>
            <w:shd w:val="clear" w:color="auto" w:fill="auto"/>
            <w:vAlign w:val="center"/>
          </w:tcPr>
          <w:p w14:paraId="54BAC681" w14:textId="77777777" w:rsidR="00463B5F" w:rsidRPr="0050124F" w:rsidRDefault="00463B5F" w:rsidP="001A6B8C">
            <w:pPr>
              <w:pStyle w:val="Tabletext"/>
              <w:jc w:val="center"/>
            </w:pPr>
            <w:r w:rsidRPr="0050124F">
              <w:t>118500298</w:t>
            </w:r>
          </w:p>
        </w:tc>
        <w:tc>
          <w:tcPr>
            <w:tcW w:w="652" w:type="pct"/>
            <w:tcBorders>
              <w:top w:val="single" w:sz="4" w:space="0" w:color="auto"/>
              <w:left w:val="single" w:sz="4" w:space="0" w:color="auto"/>
            </w:tcBorders>
            <w:shd w:val="clear" w:color="auto" w:fill="auto"/>
            <w:vAlign w:val="center"/>
          </w:tcPr>
          <w:p w14:paraId="1C5E2579" w14:textId="77777777" w:rsidR="00463B5F" w:rsidRPr="0050124F" w:rsidRDefault="00463B5F" w:rsidP="001A6B8C">
            <w:pPr>
              <w:pStyle w:val="Tabletext"/>
              <w:jc w:val="center"/>
            </w:pPr>
            <w:r w:rsidRPr="0050124F">
              <w:t>3</w:t>
            </w:r>
          </w:p>
        </w:tc>
        <w:tc>
          <w:tcPr>
            <w:tcW w:w="604" w:type="pct"/>
            <w:tcBorders>
              <w:top w:val="single" w:sz="4" w:space="0" w:color="auto"/>
              <w:left w:val="single" w:sz="4" w:space="0" w:color="auto"/>
            </w:tcBorders>
            <w:shd w:val="clear" w:color="auto" w:fill="auto"/>
            <w:vAlign w:val="center"/>
          </w:tcPr>
          <w:p w14:paraId="62D05EEF" w14:textId="77777777" w:rsidR="00463B5F" w:rsidRPr="0050124F" w:rsidRDefault="00463B5F" w:rsidP="001A6B8C">
            <w:pPr>
              <w:pStyle w:val="Tabletext"/>
              <w:jc w:val="center"/>
            </w:pPr>
            <w:r w:rsidRPr="0050124F">
              <w:t>99.5</w:t>
            </w:r>
          </w:p>
        </w:tc>
        <w:tc>
          <w:tcPr>
            <w:tcW w:w="469" w:type="pct"/>
            <w:tcBorders>
              <w:top w:val="single" w:sz="4" w:space="0" w:color="auto"/>
              <w:left w:val="single" w:sz="4" w:space="0" w:color="auto"/>
            </w:tcBorders>
            <w:shd w:val="clear" w:color="auto" w:fill="auto"/>
            <w:vAlign w:val="center"/>
          </w:tcPr>
          <w:p w14:paraId="6ED6D7B4" w14:textId="77777777" w:rsidR="00463B5F" w:rsidRPr="0050124F" w:rsidRDefault="00463B5F" w:rsidP="001A6B8C">
            <w:pPr>
              <w:pStyle w:val="Tabletext"/>
              <w:jc w:val="center"/>
            </w:pPr>
            <w:r w:rsidRPr="0050124F">
              <w:t>1000</w:t>
            </w:r>
          </w:p>
        </w:tc>
        <w:tc>
          <w:tcPr>
            <w:tcW w:w="464" w:type="pct"/>
            <w:tcBorders>
              <w:top w:val="single" w:sz="4" w:space="0" w:color="auto"/>
              <w:left w:val="single" w:sz="4" w:space="0" w:color="auto"/>
            </w:tcBorders>
            <w:shd w:val="clear" w:color="auto" w:fill="auto"/>
            <w:vAlign w:val="center"/>
          </w:tcPr>
          <w:p w14:paraId="431E0F46" w14:textId="77777777" w:rsidR="00463B5F" w:rsidRPr="0050124F" w:rsidRDefault="00463B5F" w:rsidP="001A6B8C">
            <w:pPr>
              <w:pStyle w:val="Tabletext"/>
              <w:jc w:val="center"/>
            </w:pPr>
            <w:r w:rsidRPr="0050124F">
              <w:t>1000</w:t>
            </w:r>
          </w:p>
        </w:tc>
        <w:tc>
          <w:tcPr>
            <w:tcW w:w="660" w:type="pct"/>
            <w:tcBorders>
              <w:top w:val="single" w:sz="4" w:space="0" w:color="auto"/>
              <w:left w:val="single" w:sz="4" w:space="0" w:color="auto"/>
            </w:tcBorders>
            <w:shd w:val="clear" w:color="auto" w:fill="auto"/>
            <w:vAlign w:val="center"/>
          </w:tcPr>
          <w:p w14:paraId="733CC612" w14:textId="77777777" w:rsidR="00463B5F" w:rsidRPr="0050124F" w:rsidRDefault="00463B5F" w:rsidP="001A6B8C">
            <w:pPr>
              <w:pStyle w:val="Tabletext"/>
              <w:jc w:val="center"/>
            </w:pPr>
            <w:r w:rsidRPr="0050124F">
              <w:t>0</w:t>
            </w:r>
          </w:p>
        </w:tc>
        <w:tc>
          <w:tcPr>
            <w:tcW w:w="650" w:type="pct"/>
            <w:tcBorders>
              <w:top w:val="single" w:sz="4" w:space="0" w:color="auto"/>
              <w:left w:val="single" w:sz="4" w:space="0" w:color="auto"/>
            </w:tcBorders>
            <w:shd w:val="clear" w:color="auto" w:fill="auto"/>
            <w:vAlign w:val="center"/>
          </w:tcPr>
          <w:p w14:paraId="7D8791FA" w14:textId="77777777" w:rsidR="00463B5F" w:rsidRPr="0050124F" w:rsidRDefault="00463B5F" w:rsidP="001A6B8C">
            <w:pPr>
              <w:pStyle w:val="Tabletext"/>
              <w:jc w:val="center"/>
            </w:pPr>
            <w:r w:rsidRPr="0050124F">
              <w:t>12</w:t>
            </w:r>
          </w:p>
        </w:tc>
        <w:tc>
          <w:tcPr>
            <w:tcW w:w="893" w:type="pct"/>
            <w:tcBorders>
              <w:top w:val="single" w:sz="4" w:space="0" w:color="auto"/>
              <w:left w:val="single" w:sz="4" w:space="0" w:color="auto"/>
              <w:right w:val="single" w:sz="4" w:space="0" w:color="auto"/>
            </w:tcBorders>
            <w:shd w:val="clear" w:color="auto" w:fill="auto"/>
            <w:vAlign w:val="center"/>
          </w:tcPr>
          <w:p w14:paraId="54F82452" w14:textId="77777777" w:rsidR="00463B5F" w:rsidRPr="0050124F" w:rsidRDefault="00463B5F" w:rsidP="001A6B8C">
            <w:pPr>
              <w:pStyle w:val="Tabletext"/>
              <w:jc w:val="center"/>
            </w:pPr>
            <w:r w:rsidRPr="0050124F">
              <w:t>0</w:t>
            </w:r>
          </w:p>
        </w:tc>
      </w:tr>
      <w:tr w:rsidR="00463B5F" w:rsidRPr="0050124F" w14:paraId="2D360428" w14:textId="77777777" w:rsidTr="0013184B">
        <w:trPr>
          <w:trHeight w:val="171"/>
        </w:trPr>
        <w:tc>
          <w:tcPr>
            <w:tcW w:w="607" w:type="pct"/>
            <w:tcBorders>
              <w:top w:val="single" w:sz="4" w:space="0" w:color="auto"/>
              <w:left w:val="single" w:sz="4" w:space="0" w:color="auto"/>
            </w:tcBorders>
            <w:shd w:val="clear" w:color="auto" w:fill="auto"/>
            <w:vAlign w:val="center"/>
          </w:tcPr>
          <w:p w14:paraId="76D7CB04" w14:textId="77777777" w:rsidR="00463B5F" w:rsidRPr="0050124F" w:rsidRDefault="00463B5F" w:rsidP="001A6B8C">
            <w:pPr>
              <w:pStyle w:val="Tabletext"/>
              <w:jc w:val="center"/>
            </w:pPr>
            <w:r w:rsidRPr="0050124F">
              <w:t>118500298</w:t>
            </w:r>
          </w:p>
        </w:tc>
        <w:tc>
          <w:tcPr>
            <w:tcW w:w="652" w:type="pct"/>
            <w:tcBorders>
              <w:top w:val="single" w:sz="4" w:space="0" w:color="auto"/>
              <w:left w:val="single" w:sz="4" w:space="0" w:color="auto"/>
            </w:tcBorders>
            <w:shd w:val="clear" w:color="auto" w:fill="auto"/>
            <w:vAlign w:val="center"/>
          </w:tcPr>
          <w:p w14:paraId="4F944A6B" w14:textId="77777777" w:rsidR="00463B5F" w:rsidRPr="0050124F" w:rsidRDefault="00463B5F" w:rsidP="001A6B8C">
            <w:pPr>
              <w:pStyle w:val="Tabletext"/>
              <w:jc w:val="center"/>
            </w:pPr>
            <w:r w:rsidRPr="0050124F">
              <w:t>4</w:t>
            </w:r>
          </w:p>
        </w:tc>
        <w:tc>
          <w:tcPr>
            <w:tcW w:w="604" w:type="pct"/>
            <w:tcBorders>
              <w:top w:val="single" w:sz="4" w:space="0" w:color="auto"/>
              <w:left w:val="single" w:sz="4" w:space="0" w:color="auto"/>
            </w:tcBorders>
            <w:shd w:val="clear" w:color="auto" w:fill="auto"/>
            <w:vAlign w:val="center"/>
          </w:tcPr>
          <w:p w14:paraId="06F7CF5B" w14:textId="77777777" w:rsidR="00463B5F" w:rsidRPr="0050124F" w:rsidRDefault="00463B5F" w:rsidP="001A6B8C">
            <w:pPr>
              <w:pStyle w:val="Tabletext"/>
              <w:jc w:val="center"/>
            </w:pPr>
            <w:r w:rsidRPr="0050124F">
              <w:t>99.5</w:t>
            </w:r>
          </w:p>
        </w:tc>
        <w:tc>
          <w:tcPr>
            <w:tcW w:w="469" w:type="pct"/>
            <w:tcBorders>
              <w:top w:val="single" w:sz="4" w:space="0" w:color="auto"/>
              <w:left w:val="single" w:sz="4" w:space="0" w:color="auto"/>
            </w:tcBorders>
            <w:shd w:val="clear" w:color="auto" w:fill="auto"/>
            <w:vAlign w:val="center"/>
          </w:tcPr>
          <w:p w14:paraId="6BDA796C" w14:textId="77777777" w:rsidR="00463B5F" w:rsidRPr="0050124F" w:rsidRDefault="00463B5F" w:rsidP="001A6B8C">
            <w:pPr>
              <w:pStyle w:val="Tabletext"/>
              <w:jc w:val="center"/>
            </w:pPr>
            <w:r w:rsidRPr="0050124F">
              <w:t>1000</w:t>
            </w:r>
          </w:p>
        </w:tc>
        <w:tc>
          <w:tcPr>
            <w:tcW w:w="464" w:type="pct"/>
            <w:tcBorders>
              <w:top w:val="single" w:sz="4" w:space="0" w:color="auto"/>
              <w:left w:val="single" w:sz="4" w:space="0" w:color="auto"/>
            </w:tcBorders>
            <w:shd w:val="clear" w:color="auto" w:fill="auto"/>
            <w:vAlign w:val="center"/>
          </w:tcPr>
          <w:p w14:paraId="37711A3F" w14:textId="77777777" w:rsidR="00463B5F" w:rsidRPr="0050124F" w:rsidRDefault="00463B5F" w:rsidP="001A6B8C">
            <w:pPr>
              <w:pStyle w:val="Tabletext"/>
              <w:jc w:val="center"/>
            </w:pPr>
            <w:r w:rsidRPr="0050124F">
              <w:t>1000</w:t>
            </w:r>
          </w:p>
        </w:tc>
        <w:tc>
          <w:tcPr>
            <w:tcW w:w="660" w:type="pct"/>
            <w:tcBorders>
              <w:top w:val="single" w:sz="4" w:space="0" w:color="auto"/>
              <w:left w:val="single" w:sz="4" w:space="0" w:color="auto"/>
            </w:tcBorders>
            <w:shd w:val="clear" w:color="auto" w:fill="auto"/>
            <w:vAlign w:val="center"/>
          </w:tcPr>
          <w:p w14:paraId="0908C007" w14:textId="77777777" w:rsidR="00463B5F" w:rsidRPr="0050124F" w:rsidRDefault="00463B5F" w:rsidP="001A6B8C">
            <w:pPr>
              <w:pStyle w:val="Tabletext"/>
              <w:jc w:val="center"/>
            </w:pPr>
            <w:r w:rsidRPr="0050124F">
              <w:t>0</w:t>
            </w:r>
          </w:p>
        </w:tc>
        <w:tc>
          <w:tcPr>
            <w:tcW w:w="650" w:type="pct"/>
            <w:tcBorders>
              <w:top w:val="single" w:sz="4" w:space="0" w:color="auto"/>
              <w:left w:val="single" w:sz="4" w:space="0" w:color="auto"/>
            </w:tcBorders>
            <w:shd w:val="clear" w:color="auto" w:fill="auto"/>
            <w:vAlign w:val="center"/>
          </w:tcPr>
          <w:p w14:paraId="2FBB778E" w14:textId="77777777" w:rsidR="00463B5F" w:rsidRPr="0050124F" w:rsidRDefault="00463B5F" w:rsidP="001A6B8C">
            <w:pPr>
              <w:pStyle w:val="Tabletext"/>
              <w:jc w:val="center"/>
            </w:pPr>
            <w:r w:rsidRPr="0050124F">
              <w:t>12</w:t>
            </w:r>
          </w:p>
        </w:tc>
        <w:tc>
          <w:tcPr>
            <w:tcW w:w="893" w:type="pct"/>
            <w:tcBorders>
              <w:top w:val="single" w:sz="4" w:space="0" w:color="auto"/>
              <w:left w:val="single" w:sz="4" w:space="0" w:color="auto"/>
              <w:right w:val="single" w:sz="4" w:space="0" w:color="auto"/>
            </w:tcBorders>
            <w:shd w:val="clear" w:color="auto" w:fill="auto"/>
            <w:vAlign w:val="center"/>
          </w:tcPr>
          <w:p w14:paraId="45E6401A" w14:textId="77777777" w:rsidR="00463B5F" w:rsidRPr="0050124F" w:rsidRDefault="00463B5F" w:rsidP="001A6B8C">
            <w:pPr>
              <w:pStyle w:val="Tabletext"/>
              <w:jc w:val="center"/>
            </w:pPr>
            <w:r w:rsidRPr="0050124F">
              <w:t>0</w:t>
            </w:r>
          </w:p>
        </w:tc>
      </w:tr>
      <w:tr w:rsidR="00463B5F" w:rsidRPr="0050124F" w14:paraId="1BC1553A" w14:textId="77777777" w:rsidTr="0013184B">
        <w:trPr>
          <w:trHeight w:val="166"/>
        </w:trPr>
        <w:tc>
          <w:tcPr>
            <w:tcW w:w="607" w:type="pct"/>
            <w:tcBorders>
              <w:top w:val="single" w:sz="4" w:space="0" w:color="auto"/>
              <w:left w:val="single" w:sz="4" w:space="0" w:color="auto"/>
            </w:tcBorders>
            <w:shd w:val="clear" w:color="auto" w:fill="auto"/>
            <w:vAlign w:val="center"/>
          </w:tcPr>
          <w:p w14:paraId="0C4A3CCA" w14:textId="77777777" w:rsidR="00463B5F" w:rsidRPr="0050124F" w:rsidRDefault="00463B5F" w:rsidP="001A6B8C">
            <w:pPr>
              <w:pStyle w:val="Tabletext"/>
              <w:jc w:val="center"/>
            </w:pPr>
            <w:r w:rsidRPr="0050124F">
              <w:t>118500298</w:t>
            </w:r>
          </w:p>
        </w:tc>
        <w:tc>
          <w:tcPr>
            <w:tcW w:w="652" w:type="pct"/>
            <w:tcBorders>
              <w:top w:val="single" w:sz="4" w:space="0" w:color="auto"/>
              <w:left w:val="single" w:sz="4" w:space="0" w:color="auto"/>
            </w:tcBorders>
            <w:shd w:val="clear" w:color="auto" w:fill="auto"/>
            <w:vAlign w:val="center"/>
          </w:tcPr>
          <w:p w14:paraId="170AC516" w14:textId="77777777" w:rsidR="00463B5F" w:rsidRPr="0050124F" w:rsidRDefault="00463B5F" w:rsidP="001A6B8C">
            <w:pPr>
              <w:pStyle w:val="Tabletext"/>
              <w:jc w:val="center"/>
            </w:pPr>
            <w:r w:rsidRPr="0050124F">
              <w:t>5</w:t>
            </w:r>
          </w:p>
        </w:tc>
        <w:tc>
          <w:tcPr>
            <w:tcW w:w="604" w:type="pct"/>
            <w:tcBorders>
              <w:top w:val="single" w:sz="4" w:space="0" w:color="auto"/>
              <w:left w:val="single" w:sz="4" w:space="0" w:color="auto"/>
            </w:tcBorders>
            <w:shd w:val="clear" w:color="auto" w:fill="auto"/>
            <w:vAlign w:val="center"/>
          </w:tcPr>
          <w:p w14:paraId="13379D35" w14:textId="77777777" w:rsidR="00463B5F" w:rsidRPr="0050124F" w:rsidRDefault="00463B5F" w:rsidP="001A6B8C">
            <w:pPr>
              <w:pStyle w:val="Tabletext"/>
              <w:jc w:val="center"/>
            </w:pPr>
            <w:r w:rsidRPr="0050124F">
              <w:t>99.5</w:t>
            </w:r>
          </w:p>
        </w:tc>
        <w:tc>
          <w:tcPr>
            <w:tcW w:w="469" w:type="pct"/>
            <w:tcBorders>
              <w:top w:val="single" w:sz="4" w:space="0" w:color="auto"/>
              <w:left w:val="single" w:sz="4" w:space="0" w:color="auto"/>
            </w:tcBorders>
            <w:shd w:val="clear" w:color="auto" w:fill="auto"/>
            <w:vAlign w:val="center"/>
          </w:tcPr>
          <w:p w14:paraId="5796C747" w14:textId="77777777" w:rsidR="00463B5F" w:rsidRPr="0050124F" w:rsidRDefault="00463B5F" w:rsidP="001A6B8C">
            <w:pPr>
              <w:pStyle w:val="Tabletext"/>
              <w:jc w:val="center"/>
            </w:pPr>
            <w:r w:rsidRPr="0050124F">
              <w:t>1000</w:t>
            </w:r>
          </w:p>
        </w:tc>
        <w:tc>
          <w:tcPr>
            <w:tcW w:w="464" w:type="pct"/>
            <w:tcBorders>
              <w:top w:val="single" w:sz="4" w:space="0" w:color="auto"/>
              <w:left w:val="single" w:sz="4" w:space="0" w:color="auto"/>
            </w:tcBorders>
            <w:shd w:val="clear" w:color="auto" w:fill="auto"/>
            <w:vAlign w:val="center"/>
          </w:tcPr>
          <w:p w14:paraId="4E67E481" w14:textId="77777777" w:rsidR="00463B5F" w:rsidRPr="0050124F" w:rsidRDefault="00463B5F" w:rsidP="001A6B8C">
            <w:pPr>
              <w:pStyle w:val="Tabletext"/>
              <w:jc w:val="center"/>
            </w:pPr>
            <w:r w:rsidRPr="0050124F">
              <w:t>1000</w:t>
            </w:r>
          </w:p>
        </w:tc>
        <w:tc>
          <w:tcPr>
            <w:tcW w:w="660" w:type="pct"/>
            <w:tcBorders>
              <w:top w:val="single" w:sz="4" w:space="0" w:color="auto"/>
              <w:left w:val="single" w:sz="4" w:space="0" w:color="auto"/>
            </w:tcBorders>
            <w:shd w:val="clear" w:color="auto" w:fill="auto"/>
            <w:vAlign w:val="center"/>
          </w:tcPr>
          <w:p w14:paraId="02B6106B" w14:textId="77777777" w:rsidR="00463B5F" w:rsidRPr="0050124F" w:rsidRDefault="00463B5F" w:rsidP="001A6B8C">
            <w:pPr>
              <w:pStyle w:val="Tabletext"/>
              <w:jc w:val="center"/>
            </w:pPr>
            <w:r w:rsidRPr="0050124F">
              <w:t>0</w:t>
            </w:r>
          </w:p>
        </w:tc>
        <w:tc>
          <w:tcPr>
            <w:tcW w:w="650" w:type="pct"/>
            <w:tcBorders>
              <w:top w:val="single" w:sz="4" w:space="0" w:color="auto"/>
              <w:left w:val="single" w:sz="4" w:space="0" w:color="auto"/>
            </w:tcBorders>
            <w:shd w:val="clear" w:color="auto" w:fill="auto"/>
            <w:vAlign w:val="center"/>
          </w:tcPr>
          <w:p w14:paraId="1DA08D66" w14:textId="77777777" w:rsidR="00463B5F" w:rsidRPr="0050124F" w:rsidRDefault="00463B5F" w:rsidP="001A6B8C">
            <w:pPr>
              <w:pStyle w:val="Tabletext"/>
              <w:jc w:val="center"/>
            </w:pPr>
            <w:r w:rsidRPr="0050124F">
              <w:t>12</w:t>
            </w:r>
          </w:p>
        </w:tc>
        <w:tc>
          <w:tcPr>
            <w:tcW w:w="893" w:type="pct"/>
            <w:tcBorders>
              <w:top w:val="single" w:sz="4" w:space="0" w:color="auto"/>
              <w:left w:val="single" w:sz="4" w:space="0" w:color="auto"/>
              <w:right w:val="single" w:sz="4" w:space="0" w:color="auto"/>
            </w:tcBorders>
            <w:shd w:val="clear" w:color="auto" w:fill="auto"/>
            <w:vAlign w:val="center"/>
          </w:tcPr>
          <w:p w14:paraId="335D4232" w14:textId="77777777" w:rsidR="00463B5F" w:rsidRPr="0050124F" w:rsidRDefault="00463B5F" w:rsidP="001A6B8C">
            <w:pPr>
              <w:pStyle w:val="Tabletext"/>
              <w:jc w:val="center"/>
            </w:pPr>
            <w:r w:rsidRPr="0050124F">
              <w:t>0</w:t>
            </w:r>
          </w:p>
        </w:tc>
      </w:tr>
      <w:tr w:rsidR="00463B5F" w:rsidRPr="0050124F" w14:paraId="49EA4F9B" w14:textId="77777777" w:rsidTr="0013184B">
        <w:trPr>
          <w:trHeight w:val="177"/>
        </w:trPr>
        <w:tc>
          <w:tcPr>
            <w:tcW w:w="607" w:type="pct"/>
            <w:tcBorders>
              <w:top w:val="single" w:sz="4" w:space="0" w:color="auto"/>
              <w:left w:val="single" w:sz="4" w:space="0" w:color="auto"/>
            </w:tcBorders>
            <w:shd w:val="clear" w:color="auto" w:fill="auto"/>
            <w:vAlign w:val="center"/>
          </w:tcPr>
          <w:p w14:paraId="62EF5C79" w14:textId="77777777" w:rsidR="00463B5F" w:rsidRPr="0050124F" w:rsidRDefault="00463B5F" w:rsidP="001A6B8C">
            <w:pPr>
              <w:pStyle w:val="Tabletext"/>
              <w:jc w:val="center"/>
            </w:pPr>
            <w:r w:rsidRPr="0050124F">
              <w:t>118500298</w:t>
            </w:r>
          </w:p>
        </w:tc>
        <w:tc>
          <w:tcPr>
            <w:tcW w:w="652" w:type="pct"/>
            <w:tcBorders>
              <w:top w:val="single" w:sz="4" w:space="0" w:color="auto"/>
              <w:left w:val="single" w:sz="4" w:space="0" w:color="auto"/>
            </w:tcBorders>
            <w:shd w:val="clear" w:color="auto" w:fill="auto"/>
            <w:vAlign w:val="center"/>
          </w:tcPr>
          <w:p w14:paraId="13BB75F6" w14:textId="77777777" w:rsidR="00463B5F" w:rsidRPr="0050124F" w:rsidRDefault="00463B5F" w:rsidP="001A6B8C">
            <w:pPr>
              <w:pStyle w:val="Tabletext"/>
              <w:jc w:val="center"/>
            </w:pPr>
            <w:r w:rsidRPr="0050124F">
              <w:t>6</w:t>
            </w:r>
          </w:p>
        </w:tc>
        <w:tc>
          <w:tcPr>
            <w:tcW w:w="604" w:type="pct"/>
            <w:tcBorders>
              <w:top w:val="single" w:sz="4" w:space="0" w:color="auto"/>
              <w:left w:val="single" w:sz="4" w:space="0" w:color="auto"/>
            </w:tcBorders>
            <w:shd w:val="clear" w:color="auto" w:fill="auto"/>
            <w:vAlign w:val="center"/>
          </w:tcPr>
          <w:p w14:paraId="19A91657" w14:textId="77777777" w:rsidR="00463B5F" w:rsidRPr="0050124F" w:rsidRDefault="00463B5F" w:rsidP="001A6B8C">
            <w:pPr>
              <w:pStyle w:val="Tabletext"/>
              <w:jc w:val="center"/>
            </w:pPr>
            <w:r w:rsidRPr="0050124F">
              <w:t>99.5</w:t>
            </w:r>
          </w:p>
        </w:tc>
        <w:tc>
          <w:tcPr>
            <w:tcW w:w="469" w:type="pct"/>
            <w:tcBorders>
              <w:top w:val="single" w:sz="4" w:space="0" w:color="auto"/>
              <w:left w:val="single" w:sz="4" w:space="0" w:color="auto"/>
            </w:tcBorders>
            <w:shd w:val="clear" w:color="auto" w:fill="auto"/>
            <w:vAlign w:val="center"/>
          </w:tcPr>
          <w:p w14:paraId="06CAD563" w14:textId="77777777" w:rsidR="00463B5F" w:rsidRPr="0050124F" w:rsidRDefault="00463B5F" w:rsidP="001A6B8C">
            <w:pPr>
              <w:pStyle w:val="Tabletext"/>
              <w:jc w:val="center"/>
            </w:pPr>
            <w:r w:rsidRPr="0050124F">
              <w:t>1000</w:t>
            </w:r>
          </w:p>
        </w:tc>
        <w:tc>
          <w:tcPr>
            <w:tcW w:w="464" w:type="pct"/>
            <w:tcBorders>
              <w:top w:val="single" w:sz="4" w:space="0" w:color="auto"/>
              <w:left w:val="single" w:sz="4" w:space="0" w:color="auto"/>
            </w:tcBorders>
            <w:shd w:val="clear" w:color="auto" w:fill="auto"/>
            <w:vAlign w:val="center"/>
          </w:tcPr>
          <w:p w14:paraId="2E68D8E9" w14:textId="77777777" w:rsidR="00463B5F" w:rsidRPr="0050124F" w:rsidRDefault="00463B5F" w:rsidP="001A6B8C">
            <w:pPr>
              <w:pStyle w:val="Tabletext"/>
              <w:jc w:val="center"/>
            </w:pPr>
            <w:r w:rsidRPr="0050124F">
              <w:t>1000</w:t>
            </w:r>
          </w:p>
        </w:tc>
        <w:tc>
          <w:tcPr>
            <w:tcW w:w="660" w:type="pct"/>
            <w:tcBorders>
              <w:top w:val="single" w:sz="4" w:space="0" w:color="auto"/>
              <w:left w:val="single" w:sz="4" w:space="0" w:color="auto"/>
            </w:tcBorders>
            <w:shd w:val="clear" w:color="auto" w:fill="auto"/>
            <w:vAlign w:val="center"/>
          </w:tcPr>
          <w:p w14:paraId="075620FD" w14:textId="77777777" w:rsidR="00463B5F" w:rsidRPr="0050124F" w:rsidRDefault="00463B5F" w:rsidP="001A6B8C">
            <w:pPr>
              <w:pStyle w:val="Tabletext"/>
              <w:jc w:val="center"/>
            </w:pPr>
            <w:r w:rsidRPr="0050124F">
              <w:t>0</w:t>
            </w:r>
          </w:p>
        </w:tc>
        <w:tc>
          <w:tcPr>
            <w:tcW w:w="650" w:type="pct"/>
            <w:tcBorders>
              <w:top w:val="single" w:sz="4" w:space="0" w:color="auto"/>
              <w:left w:val="single" w:sz="4" w:space="0" w:color="auto"/>
            </w:tcBorders>
            <w:shd w:val="clear" w:color="auto" w:fill="auto"/>
            <w:vAlign w:val="center"/>
          </w:tcPr>
          <w:p w14:paraId="0E3C422F" w14:textId="77777777" w:rsidR="00463B5F" w:rsidRPr="0050124F" w:rsidRDefault="00463B5F" w:rsidP="001A6B8C">
            <w:pPr>
              <w:pStyle w:val="Tabletext"/>
              <w:jc w:val="center"/>
            </w:pPr>
            <w:r w:rsidRPr="0050124F">
              <w:t>12</w:t>
            </w:r>
          </w:p>
        </w:tc>
        <w:tc>
          <w:tcPr>
            <w:tcW w:w="893" w:type="pct"/>
            <w:tcBorders>
              <w:top w:val="single" w:sz="4" w:space="0" w:color="auto"/>
              <w:left w:val="single" w:sz="4" w:space="0" w:color="auto"/>
              <w:right w:val="single" w:sz="4" w:space="0" w:color="auto"/>
            </w:tcBorders>
            <w:shd w:val="clear" w:color="auto" w:fill="auto"/>
            <w:vAlign w:val="center"/>
          </w:tcPr>
          <w:p w14:paraId="38C3C85C" w14:textId="77777777" w:rsidR="00463B5F" w:rsidRPr="0050124F" w:rsidRDefault="00463B5F" w:rsidP="001A6B8C">
            <w:pPr>
              <w:pStyle w:val="Tabletext"/>
              <w:jc w:val="center"/>
            </w:pPr>
            <w:r w:rsidRPr="0050124F">
              <w:t>0</w:t>
            </w:r>
          </w:p>
        </w:tc>
      </w:tr>
      <w:tr w:rsidR="00463B5F" w:rsidRPr="0050124F" w14:paraId="096899DC" w14:textId="77777777" w:rsidTr="0013184B">
        <w:trPr>
          <w:trHeight w:val="166"/>
        </w:trPr>
        <w:tc>
          <w:tcPr>
            <w:tcW w:w="607" w:type="pct"/>
            <w:tcBorders>
              <w:top w:val="single" w:sz="4" w:space="0" w:color="auto"/>
              <w:left w:val="single" w:sz="4" w:space="0" w:color="auto"/>
            </w:tcBorders>
            <w:shd w:val="clear" w:color="auto" w:fill="auto"/>
            <w:vAlign w:val="center"/>
          </w:tcPr>
          <w:p w14:paraId="3CFCD383" w14:textId="77777777" w:rsidR="00463B5F" w:rsidRPr="0050124F" w:rsidRDefault="00463B5F" w:rsidP="001A6B8C">
            <w:pPr>
              <w:pStyle w:val="Tabletext"/>
              <w:jc w:val="center"/>
            </w:pPr>
            <w:r w:rsidRPr="0050124F">
              <w:t>118500298</w:t>
            </w:r>
          </w:p>
        </w:tc>
        <w:tc>
          <w:tcPr>
            <w:tcW w:w="652" w:type="pct"/>
            <w:tcBorders>
              <w:top w:val="single" w:sz="4" w:space="0" w:color="auto"/>
              <w:left w:val="single" w:sz="4" w:space="0" w:color="auto"/>
            </w:tcBorders>
            <w:shd w:val="clear" w:color="auto" w:fill="auto"/>
            <w:vAlign w:val="center"/>
          </w:tcPr>
          <w:p w14:paraId="4A4B1923" w14:textId="77777777" w:rsidR="00463B5F" w:rsidRPr="0050124F" w:rsidRDefault="00463B5F" w:rsidP="001A6B8C">
            <w:pPr>
              <w:pStyle w:val="Tabletext"/>
              <w:jc w:val="center"/>
            </w:pPr>
            <w:r w:rsidRPr="0050124F">
              <w:t>7</w:t>
            </w:r>
          </w:p>
        </w:tc>
        <w:tc>
          <w:tcPr>
            <w:tcW w:w="604" w:type="pct"/>
            <w:tcBorders>
              <w:top w:val="single" w:sz="4" w:space="0" w:color="auto"/>
              <w:left w:val="single" w:sz="4" w:space="0" w:color="auto"/>
            </w:tcBorders>
            <w:shd w:val="clear" w:color="auto" w:fill="auto"/>
            <w:vAlign w:val="center"/>
          </w:tcPr>
          <w:p w14:paraId="3E1037AB" w14:textId="77777777" w:rsidR="00463B5F" w:rsidRPr="0050124F" w:rsidRDefault="00463B5F" w:rsidP="001A6B8C">
            <w:pPr>
              <w:pStyle w:val="Tabletext"/>
              <w:jc w:val="center"/>
            </w:pPr>
            <w:r w:rsidRPr="0050124F">
              <w:t>37.4</w:t>
            </w:r>
          </w:p>
        </w:tc>
        <w:tc>
          <w:tcPr>
            <w:tcW w:w="469" w:type="pct"/>
            <w:tcBorders>
              <w:top w:val="single" w:sz="4" w:space="0" w:color="auto"/>
              <w:left w:val="single" w:sz="4" w:space="0" w:color="auto"/>
            </w:tcBorders>
            <w:shd w:val="clear" w:color="auto" w:fill="auto"/>
            <w:vAlign w:val="center"/>
          </w:tcPr>
          <w:p w14:paraId="0F3480CD" w14:textId="77777777" w:rsidR="00463B5F" w:rsidRPr="0050124F" w:rsidRDefault="00463B5F" w:rsidP="001A6B8C">
            <w:pPr>
              <w:pStyle w:val="Tabletext"/>
              <w:jc w:val="center"/>
            </w:pPr>
            <w:r w:rsidRPr="0050124F">
              <w:t>1248</w:t>
            </w:r>
          </w:p>
        </w:tc>
        <w:tc>
          <w:tcPr>
            <w:tcW w:w="464" w:type="pct"/>
            <w:tcBorders>
              <w:top w:val="single" w:sz="4" w:space="0" w:color="auto"/>
              <w:left w:val="single" w:sz="4" w:space="0" w:color="auto"/>
            </w:tcBorders>
            <w:shd w:val="clear" w:color="auto" w:fill="auto"/>
            <w:vAlign w:val="center"/>
          </w:tcPr>
          <w:p w14:paraId="6C3DFE9A" w14:textId="77777777" w:rsidR="00463B5F" w:rsidRPr="0050124F" w:rsidRDefault="00463B5F" w:rsidP="001A6B8C">
            <w:pPr>
              <w:pStyle w:val="Tabletext"/>
              <w:jc w:val="center"/>
            </w:pPr>
            <w:r w:rsidRPr="0050124F">
              <w:t>1248</w:t>
            </w:r>
          </w:p>
        </w:tc>
        <w:tc>
          <w:tcPr>
            <w:tcW w:w="660" w:type="pct"/>
            <w:tcBorders>
              <w:top w:val="single" w:sz="4" w:space="0" w:color="auto"/>
              <w:left w:val="single" w:sz="4" w:space="0" w:color="auto"/>
            </w:tcBorders>
            <w:shd w:val="clear" w:color="auto" w:fill="auto"/>
            <w:vAlign w:val="center"/>
          </w:tcPr>
          <w:p w14:paraId="215D5AC0" w14:textId="77777777" w:rsidR="00463B5F" w:rsidRPr="0050124F" w:rsidRDefault="00463B5F" w:rsidP="001A6B8C">
            <w:pPr>
              <w:pStyle w:val="Tabletext"/>
              <w:jc w:val="center"/>
            </w:pPr>
            <w:r w:rsidRPr="0050124F">
              <w:t>0</w:t>
            </w:r>
          </w:p>
        </w:tc>
        <w:tc>
          <w:tcPr>
            <w:tcW w:w="650" w:type="pct"/>
            <w:tcBorders>
              <w:top w:val="single" w:sz="4" w:space="0" w:color="auto"/>
              <w:left w:val="single" w:sz="4" w:space="0" w:color="auto"/>
            </w:tcBorders>
            <w:shd w:val="clear" w:color="auto" w:fill="auto"/>
            <w:vAlign w:val="center"/>
          </w:tcPr>
          <w:p w14:paraId="156F3485" w14:textId="77777777" w:rsidR="00463B5F" w:rsidRPr="0050124F" w:rsidRDefault="00463B5F" w:rsidP="001A6B8C">
            <w:pPr>
              <w:pStyle w:val="Tabletext"/>
              <w:jc w:val="center"/>
            </w:pPr>
            <w:r w:rsidRPr="0050124F">
              <w:t>9</w:t>
            </w:r>
          </w:p>
        </w:tc>
        <w:tc>
          <w:tcPr>
            <w:tcW w:w="893" w:type="pct"/>
            <w:tcBorders>
              <w:top w:val="single" w:sz="4" w:space="0" w:color="auto"/>
              <w:left w:val="single" w:sz="4" w:space="0" w:color="auto"/>
              <w:right w:val="single" w:sz="4" w:space="0" w:color="auto"/>
            </w:tcBorders>
            <w:shd w:val="clear" w:color="auto" w:fill="auto"/>
            <w:vAlign w:val="center"/>
          </w:tcPr>
          <w:p w14:paraId="663E91B4" w14:textId="77777777" w:rsidR="00463B5F" w:rsidRPr="0050124F" w:rsidRDefault="00463B5F" w:rsidP="001A6B8C">
            <w:pPr>
              <w:pStyle w:val="Tabletext"/>
              <w:jc w:val="center"/>
            </w:pPr>
            <w:r w:rsidRPr="0050124F">
              <w:t>0</w:t>
            </w:r>
          </w:p>
        </w:tc>
      </w:tr>
      <w:tr w:rsidR="00463B5F" w:rsidRPr="0050124F" w14:paraId="0BB42414" w14:textId="77777777" w:rsidTr="0013184B">
        <w:trPr>
          <w:trHeight w:val="182"/>
        </w:trPr>
        <w:tc>
          <w:tcPr>
            <w:tcW w:w="607" w:type="pct"/>
            <w:tcBorders>
              <w:top w:val="single" w:sz="4" w:space="0" w:color="auto"/>
              <w:left w:val="single" w:sz="4" w:space="0" w:color="auto"/>
            </w:tcBorders>
            <w:shd w:val="clear" w:color="auto" w:fill="auto"/>
            <w:vAlign w:val="center"/>
          </w:tcPr>
          <w:p w14:paraId="0CE33CE1" w14:textId="77777777" w:rsidR="00463B5F" w:rsidRPr="0050124F" w:rsidRDefault="00463B5F" w:rsidP="001A6B8C">
            <w:pPr>
              <w:pStyle w:val="Tabletext"/>
              <w:jc w:val="center"/>
            </w:pPr>
            <w:r w:rsidRPr="0050124F">
              <w:t>118500298</w:t>
            </w:r>
          </w:p>
        </w:tc>
        <w:tc>
          <w:tcPr>
            <w:tcW w:w="652" w:type="pct"/>
            <w:tcBorders>
              <w:top w:val="single" w:sz="4" w:space="0" w:color="auto"/>
              <w:left w:val="single" w:sz="4" w:space="0" w:color="auto"/>
            </w:tcBorders>
            <w:shd w:val="clear" w:color="auto" w:fill="auto"/>
            <w:vAlign w:val="center"/>
          </w:tcPr>
          <w:p w14:paraId="04A340CF" w14:textId="77777777" w:rsidR="00463B5F" w:rsidRPr="0050124F" w:rsidRDefault="00463B5F" w:rsidP="001A6B8C">
            <w:pPr>
              <w:pStyle w:val="Tabletext"/>
              <w:jc w:val="center"/>
            </w:pPr>
            <w:r w:rsidRPr="0050124F">
              <w:t>8</w:t>
            </w:r>
          </w:p>
        </w:tc>
        <w:tc>
          <w:tcPr>
            <w:tcW w:w="604" w:type="pct"/>
            <w:tcBorders>
              <w:top w:val="single" w:sz="4" w:space="0" w:color="auto"/>
              <w:left w:val="single" w:sz="4" w:space="0" w:color="auto"/>
            </w:tcBorders>
            <w:shd w:val="clear" w:color="auto" w:fill="auto"/>
            <w:vAlign w:val="center"/>
          </w:tcPr>
          <w:p w14:paraId="05F9FA1A" w14:textId="77777777" w:rsidR="00463B5F" w:rsidRPr="0050124F" w:rsidRDefault="00463B5F" w:rsidP="001A6B8C">
            <w:pPr>
              <w:pStyle w:val="Tabletext"/>
              <w:jc w:val="center"/>
            </w:pPr>
            <w:r w:rsidRPr="0050124F">
              <w:t>374</w:t>
            </w:r>
          </w:p>
        </w:tc>
        <w:tc>
          <w:tcPr>
            <w:tcW w:w="469" w:type="pct"/>
            <w:tcBorders>
              <w:top w:val="single" w:sz="4" w:space="0" w:color="auto"/>
              <w:left w:val="single" w:sz="4" w:space="0" w:color="auto"/>
            </w:tcBorders>
            <w:shd w:val="clear" w:color="auto" w:fill="auto"/>
            <w:vAlign w:val="center"/>
          </w:tcPr>
          <w:p w14:paraId="61FC7410" w14:textId="77777777" w:rsidR="00463B5F" w:rsidRPr="0050124F" w:rsidRDefault="00463B5F" w:rsidP="001A6B8C">
            <w:pPr>
              <w:pStyle w:val="Tabletext"/>
              <w:jc w:val="center"/>
            </w:pPr>
            <w:r w:rsidRPr="0050124F">
              <w:t>1248</w:t>
            </w:r>
          </w:p>
        </w:tc>
        <w:tc>
          <w:tcPr>
            <w:tcW w:w="464" w:type="pct"/>
            <w:tcBorders>
              <w:top w:val="single" w:sz="4" w:space="0" w:color="auto"/>
              <w:left w:val="single" w:sz="4" w:space="0" w:color="auto"/>
            </w:tcBorders>
            <w:shd w:val="clear" w:color="auto" w:fill="auto"/>
            <w:vAlign w:val="center"/>
          </w:tcPr>
          <w:p w14:paraId="2CFD61A1" w14:textId="77777777" w:rsidR="00463B5F" w:rsidRPr="0050124F" w:rsidRDefault="00463B5F" w:rsidP="001A6B8C">
            <w:pPr>
              <w:pStyle w:val="Tabletext"/>
              <w:jc w:val="center"/>
            </w:pPr>
            <w:r w:rsidRPr="0050124F">
              <w:t>1248</w:t>
            </w:r>
          </w:p>
        </w:tc>
        <w:tc>
          <w:tcPr>
            <w:tcW w:w="660" w:type="pct"/>
            <w:tcBorders>
              <w:top w:val="single" w:sz="4" w:space="0" w:color="auto"/>
              <w:left w:val="single" w:sz="4" w:space="0" w:color="auto"/>
            </w:tcBorders>
            <w:shd w:val="clear" w:color="auto" w:fill="auto"/>
            <w:vAlign w:val="center"/>
          </w:tcPr>
          <w:p w14:paraId="0F9732D6" w14:textId="77777777" w:rsidR="00463B5F" w:rsidRPr="0050124F" w:rsidRDefault="00463B5F" w:rsidP="001A6B8C">
            <w:pPr>
              <w:pStyle w:val="Tabletext"/>
              <w:jc w:val="center"/>
            </w:pPr>
            <w:r w:rsidRPr="0050124F">
              <w:t>0</w:t>
            </w:r>
          </w:p>
        </w:tc>
        <w:tc>
          <w:tcPr>
            <w:tcW w:w="650" w:type="pct"/>
            <w:tcBorders>
              <w:top w:val="single" w:sz="4" w:space="0" w:color="auto"/>
              <w:left w:val="single" w:sz="4" w:space="0" w:color="auto"/>
            </w:tcBorders>
            <w:shd w:val="clear" w:color="auto" w:fill="auto"/>
            <w:vAlign w:val="center"/>
          </w:tcPr>
          <w:p w14:paraId="3685EAF3" w14:textId="77777777" w:rsidR="00463B5F" w:rsidRPr="0050124F" w:rsidRDefault="00463B5F" w:rsidP="001A6B8C">
            <w:pPr>
              <w:pStyle w:val="Tabletext"/>
              <w:jc w:val="center"/>
            </w:pPr>
            <w:r w:rsidRPr="0050124F">
              <w:t>9</w:t>
            </w:r>
          </w:p>
        </w:tc>
        <w:tc>
          <w:tcPr>
            <w:tcW w:w="893" w:type="pct"/>
            <w:tcBorders>
              <w:top w:val="single" w:sz="4" w:space="0" w:color="auto"/>
              <w:left w:val="single" w:sz="4" w:space="0" w:color="auto"/>
              <w:right w:val="single" w:sz="4" w:space="0" w:color="auto"/>
            </w:tcBorders>
            <w:shd w:val="clear" w:color="auto" w:fill="auto"/>
            <w:vAlign w:val="center"/>
          </w:tcPr>
          <w:p w14:paraId="4A933063" w14:textId="77777777" w:rsidR="00463B5F" w:rsidRPr="0050124F" w:rsidRDefault="00463B5F" w:rsidP="001A6B8C">
            <w:pPr>
              <w:pStyle w:val="Tabletext"/>
              <w:jc w:val="center"/>
            </w:pPr>
            <w:r w:rsidRPr="0050124F">
              <w:t>0</w:t>
            </w:r>
          </w:p>
        </w:tc>
      </w:tr>
      <w:tr w:rsidR="00463B5F" w:rsidRPr="0050124F" w14:paraId="6A3EB35C" w14:textId="77777777" w:rsidTr="0013184B">
        <w:trPr>
          <w:trHeight w:val="166"/>
        </w:trPr>
        <w:tc>
          <w:tcPr>
            <w:tcW w:w="607" w:type="pct"/>
            <w:tcBorders>
              <w:top w:val="single" w:sz="4" w:space="0" w:color="auto"/>
              <w:left w:val="single" w:sz="4" w:space="0" w:color="auto"/>
            </w:tcBorders>
            <w:shd w:val="clear" w:color="auto" w:fill="auto"/>
            <w:vAlign w:val="center"/>
          </w:tcPr>
          <w:p w14:paraId="18D8CC24" w14:textId="77777777" w:rsidR="00463B5F" w:rsidRPr="0050124F" w:rsidRDefault="00463B5F" w:rsidP="001A6B8C">
            <w:pPr>
              <w:pStyle w:val="Tabletext"/>
              <w:jc w:val="center"/>
            </w:pPr>
            <w:r w:rsidRPr="0050124F">
              <w:t>118500298</w:t>
            </w:r>
          </w:p>
        </w:tc>
        <w:tc>
          <w:tcPr>
            <w:tcW w:w="652" w:type="pct"/>
            <w:tcBorders>
              <w:top w:val="single" w:sz="4" w:space="0" w:color="auto"/>
              <w:left w:val="single" w:sz="4" w:space="0" w:color="auto"/>
            </w:tcBorders>
            <w:shd w:val="clear" w:color="auto" w:fill="auto"/>
            <w:vAlign w:val="center"/>
          </w:tcPr>
          <w:p w14:paraId="501C2F62" w14:textId="77777777" w:rsidR="00463B5F" w:rsidRPr="0050124F" w:rsidRDefault="00463B5F" w:rsidP="001A6B8C">
            <w:pPr>
              <w:pStyle w:val="Tabletext"/>
              <w:jc w:val="center"/>
            </w:pPr>
            <w:r w:rsidRPr="0050124F">
              <w:t>9</w:t>
            </w:r>
          </w:p>
        </w:tc>
        <w:tc>
          <w:tcPr>
            <w:tcW w:w="604" w:type="pct"/>
            <w:tcBorders>
              <w:top w:val="single" w:sz="4" w:space="0" w:color="auto"/>
              <w:left w:val="single" w:sz="4" w:space="0" w:color="auto"/>
            </w:tcBorders>
            <w:shd w:val="clear" w:color="auto" w:fill="auto"/>
            <w:vAlign w:val="center"/>
          </w:tcPr>
          <w:p w14:paraId="6452A62E" w14:textId="77777777" w:rsidR="00463B5F" w:rsidRPr="0050124F" w:rsidRDefault="00463B5F" w:rsidP="001A6B8C">
            <w:pPr>
              <w:pStyle w:val="Tabletext"/>
              <w:jc w:val="center"/>
            </w:pPr>
            <w:r w:rsidRPr="0050124F">
              <w:t>374</w:t>
            </w:r>
          </w:p>
        </w:tc>
        <w:tc>
          <w:tcPr>
            <w:tcW w:w="469" w:type="pct"/>
            <w:tcBorders>
              <w:top w:val="single" w:sz="4" w:space="0" w:color="auto"/>
              <w:left w:val="single" w:sz="4" w:space="0" w:color="auto"/>
            </w:tcBorders>
            <w:shd w:val="clear" w:color="auto" w:fill="auto"/>
            <w:vAlign w:val="center"/>
          </w:tcPr>
          <w:p w14:paraId="51BE1BE9" w14:textId="77777777" w:rsidR="00463B5F" w:rsidRPr="0050124F" w:rsidRDefault="00463B5F" w:rsidP="001A6B8C">
            <w:pPr>
              <w:pStyle w:val="Tabletext"/>
              <w:jc w:val="center"/>
            </w:pPr>
            <w:r w:rsidRPr="0050124F">
              <w:t>1248</w:t>
            </w:r>
          </w:p>
        </w:tc>
        <w:tc>
          <w:tcPr>
            <w:tcW w:w="464" w:type="pct"/>
            <w:tcBorders>
              <w:top w:val="single" w:sz="4" w:space="0" w:color="auto"/>
              <w:left w:val="single" w:sz="4" w:space="0" w:color="auto"/>
            </w:tcBorders>
            <w:shd w:val="clear" w:color="auto" w:fill="auto"/>
            <w:vAlign w:val="center"/>
          </w:tcPr>
          <w:p w14:paraId="05419463" w14:textId="77777777" w:rsidR="00463B5F" w:rsidRPr="0050124F" w:rsidRDefault="00463B5F" w:rsidP="001A6B8C">
            <w:pPr>
              <w:pStyle w:val="Tabletext"/>
              <w:jc w:val="center"/>
            </w:pPr>
            <w:r w:rsidRPr="0050124F">
              <w:t>1248</w:t>
            </w:r>
          </w:p>
        </w:tc>
        <w:tc>
          <w:tcPr>
            <w:tcW w:w="660" w:type="pct"/>
            <w:tcBorders>
              <w:top w:val="single" w:sz="4" w:space="0" w:color="auto"/>
              <w:left w:val="single" w:sz="4" w:space="0" w:color="auto"/>
            </w:tcBorders>
            <w:shd w:val="clear" w:color="auto" w:fill="auto"/>
            <w:vAlign w:val="center"/>
          </w:tcPr>
          <w:p w14:paraId="3FE64C2B" w14:textId="77777777" w:rsidR="00463B5F" w:rsidRPr="0050124F" w:rsidRDefault="00463B5F" w:rsidP="001A6B8C">
            <w:pPr>
              <w:pStyle w:val="Tabletext"/>
              <w:jc w:val="center"/>
            </w:pPr>
            <w:r w:rsidRPr="0050124F">
              <w:t>0</w:t>
            </w:r>
          </w:p>
        </w:tc>
        <w:tc>
          <w:tcPr>
            <w:tcW w:w="650" w:type="pct"/>
            <w:tcBorders>
              <w:top w:val="single" w:sz="4" w:space="0" w:color="auto"/>
              <w:left w:val="single" w:sz="4" w:space="0" w:color="auto"/>
            </w:tcBorders>
            <w:shd w:val="clear" w:color="auto" w:fill="auto"/>
            <w:vAlign w:val="center"/>
          </w:tcPr>
          <w:p w14:paraId="0104DBED" w14:textId="77777777" w:rsidR="00463B5F" w:rsidRPr="0050124F" w:rsidRDefault="00463B5F" w:rsidP="001A6B8C">
            <w:pPr>
              <w:pStyle w:val="Tabletext"/>
              <w:jc w:val="center"/>
            </w:pPr>
            <w:r w:rsidRPr="0050124F">
              <w:t>9</w:t>
            </w:r>
          </w:p>
        </w:tc>
        <w:tc>
          <w:tcPr>
            <w:tcW w:w="893" w:type="pct"/>
            <w:tcBorders>
              <w:top w:val="single" w:sz="4" w:space="0" w:color="auto"/>
              <w:left w:val="single" w:sz="4" w:space="0" w:color="auto"/>
              <w:right w:val="single" w:sz="4" w:space="0" w:color="auto"/>
            </w:tcBorders>
            <w:shd w:val="clear" w:color="auto" w:fill="auto"/>
            <w:vAlign w:val="center"/>
          </w:tcPr>
          <w:p w14:paraId="3275BF75" w14:textId="77777777" w:rsidR="00463B5F" w:rsidRPr="0050124F" w:rsidRDefault="00463B5F" w:rsidP="001A6B8C">
            <w:pPr>
              <w:pStyle w:val="Tabletext"/>
              <w:jc w:val="center"/>
            </w:pPr>
            <w:r w:rsidRPr="0050124F">
              <w:t>0</w:t>
            </w:r>
          </w:p>
        </w:tc>
      </w:tr>
      <w:tr w:rsidR="00463B5F" w:rsidRPr="0050124F" w14:paraId="11EB4AB6" w14:textId="77777777" w:rsidTr="0013184B">
        <w:trPr>
          <w:trHeight w:val="177"/>
        </w:trPr>
        <w:tc>
          <w:tcPr>
            <w:tcW w:w="607" w:type="pct"/>
            <w:tcBorders>
              <w:top w:val="single" w:sz="4" w:space="0" w:color="auto"/>
              <w:left w:val="single" w:sz="4" w:space="0" w:color="auto"/>
            </w:tcBorders>
            <w:shd w:val="clear" w:color="auto" w:fill="auto"/>
            <w:vAlign w:val="center"/>
          </w:tcPr>
          <w:p w14:paraId="0273BD2F" w14:textId="77777777" w:rsidR="00463B5F" w:rsidRPr="0050124F" w:rsidRDefault="00463B5F" w:rsidP="001A6B8C">
            <w:pPr>
              <w:pStyle w:val="Tabletext"/>
              <w:jc w:val="center"/>
            </w:pPr>
            <w:r w:rsidRPr="0050124F">
              <w:t>118500298</w:t>
            </w:r>
          </w:p>
        </w:tc>
        <w:tc>
          <w:tcPr>
            <w:tcW w:w="652" w:type="pct"/>
            <w:tcBorders>
              <w:top w:val="single" w:sz="4" w:space="0" w:color="auto"/>
              <w:left w:val="single" w:sz="4" w:space="0" w:color="auto"/>
            </w:tcBorders>
            <w:shd w:val="clear" w:color="auto" w:fill="auto"/>
            <w:vAlign w:val="center"/>
          </w:tcPr>
          <w:p w14:paraId="2D2D6D52" w14:textId="77777777" w:rsidR="00463B5F" w:rsidRPr="0050124F" w:rsidRDefault="00463B5F" w:rsidP="001A6B8C">
            <w:pPr>
              <w:pStyle w:val="Tabletext"/>
              <w:jc w:val="center"/>
            </w:pPr>
            <w:r w:rsidRPr="0050124F">
              <w:t>10</w:t>
            </w:r>
          </w:p>
        </w:tc>
        <w:tc>
          <w:tcPr>
            <w:tcW w:w="604" w:type="pct"/>
            <w:tcBorders>
              <w:top w:val="single" w:sz="4" w:space="0" w:color="auto"/>
              <w:left w:val="single" w:sz="4" w:space="0" w:color="auto"/>
            </w:tcBorders>
            <w:shd w:val="clear" w:color="auto" w:fill="auto"/>
            <w:vAlign w:val="center"/>
          </w:tcPr>
          <w:p w14:paraId="42C7B3F0" w14:textId="77777777" w:rsidR="00463B5F" w:rsidRPr="0050124F" w:rsidRDefault="00463B5F" w:rsidP="001A6B8C">
            <w:pPr>
              <w:pStyle w:val="Tabletext"/>
              <w:jc w:val="center"/>
            </w:pPr>
            <w:r w:rsidRPr="0050124F">
              <w:t>374</w:t>
            </w:r>
          </w:p>
        </w:tc>
        <w:tc>
          <w:tcPr>
            <w:tcW w:w="469" w:type="pct"/>
            <w:tcBorders>
              <w:top w:val="single" w:sz="4" w:space="0" w:color="auto"/>
              <w:left w:val="single" w:sz="4" w:space="0" w:color="auto"/>
            </w:tcBorders>
            <w:shd w:val="clear" w:color="auto" w:fill="auto"/>
            <w:vAlign w:val="center"/>
          </w:tcPr>
          <w:p w14:paraId="024EE42B" w14:textId="77777777" w:rsidR="00463B5F" w:rsidRPr="0050124F" w:rsidRDefault="00463B5F" w:rsidP="001A6B8C">
            <w:pPr>
              <w:pStyle w:val="Tabletext"/>
              <w:jc w:val="center"/>
            </w:pPr>
            <w:r w:rsidRPr="0050124F">
              <w:t>1248</w:t>
            </w:r>
          </w:p>
        </w:tc>
        <w:tc>
          <w:tcPr>
            <w:tcW w:w="464" w:type="pct"/>
            <w:tcBorders>
              <w:top w:val="single" w:sz="4" w:space="0" w:color="auto"/>
              <w:left w:val="single" w:sz="4" w:space="0" w:color="auto"/>
            </w:tcBorders>
            <w:shd w:val="clear" w:color="auto" w:fill="auto"/>
            <w:vAlign w:val="center"/>
          </w:tcPr>
          <w:p w14:paraId="27940144" w14:textId="77777777" w:rsidR="00463B5F" w:rsidRPr="0050124F" w:rsidRDefault="00463B5F" w:rsidP="001A6B8C">
            <w:pPr>
              <w:pStyle w:val="Tabletext"/>
              <w:jc w:val="center"/>
            </w:pPr>
            <w:r w:rsidRPr="0050124F">
              <w:t>1248</w:t>
            </w:r>
          </w:p>
        </w:tc>
        <w:tc>
          <w:tcPr>
            <w:tcW w:w="660" w:type="pct"/>
            <w:tcBorders>
              <w:top w:val="single" w:sz="4" w:space="0" w:color="auto"/>
              <w:left w:val="single" w:sz="4" w:space="0" w:color="auto"/>
            </w:tcBorders>
            <w:shd w:val="clear" w:color="auto" w:fill="auto"/>
            <w:vAlign w:val="center"/>
          </w:tcPr>
          <w:p w14:paraId="740157A8" w14:textId="77777777" w:rsidR="00463B5F" w:rsidRPr="0050124F" w:rsidRDefault="00463B5F" w:rsidP="001A6B8C">
            <w:pPr>
              <w:pStyle w:val="Tabletext"/>
              <w:jc w:val="center"/>
            </w:pPr>
            <w:r w:rsidRPr="0050124F">
              <w:t>0</w:t>
            </w:r>
          </w:p>
        </w:tc>
        <w:tc>
          <w:tcPr>
            <w:tcW w:w="650" w:type="pct"/>
            <w:tcBorders>
              <w:top w:val="single" w:sz="4" w:space="0" w:color="auto"/>
              <w:left w:val="single" w:sz="4" w:space="0" w:color="auto"/>
            </w:tcBorders>
            <w:shd w:val="clear" w:color="auto" w:fill="auto"/>
            <w:vAlign w:val="center"/>
          </w:tcPr>
          <w:p w14:paraId="728CC396" w14:textId="77777777" w:rsidR="00463B5F" w:rsidRPr="0050124F" w:rsidRDefault="00463B5F" w:rsidP="001A6B8C">
            <w:pPr>
              <w:pStyle w:val="Tabletext"/>
              <w:jc w:val="center"/>
            </w:pPr>
            <w:r w:rsidRPr="0050124F">
              <w:t>9</w:t>
            </w:r>
          </w:p>
        </w:tc>
        <w:tc>
          <w:tcPr>
            <w:tcW w:w="893" w:type="pct"/>
            <w:tcBorders>
              <w:top w:val="single" w:sz="4" w:space="0" w:color="auto"/>
              <w:left w:val="single" w:sz="4" w:space="0" w:color="auto"/>
              <w:right w:val="single" w:sz="4" w:space="0" w:color="auto"/>
            </w:tcBorders>
            <w:shd w:val="clear" w:color="auto" w:fill="auto"/>
            <w:vAlign w:val="center"/>
          </w:tcPr>
          <w:p w14:paraId="1D383F90" w14:textId="77777777" w:rsidR="00463B5F" w:rsidRPr="0050124F" w:rsidRDefault="00463B5F" w:rsidP="001A6B8C">
            <w:pPr>
              <w:pStyle w:val="Tabletext"/>
              <w:jc w:val="center"/>
            </w:pPr>
            <w:r w:rsidRPr="0050124F">
              <w:t>0</w:t>
            </w:r>
          </w:p>
        </w:tc>
      </w:tr>
      <w:tr w:rsidR="00463B5F" w:rsidRPr="0050124F" w14:paraId="250390FE" w14:textId="77777777" w:rsidTr="0013184B">
        <w:trPr>
          <w:trHeight w:val="171"/>
        </w:trPr>
        <w:tc>
          <w:tcPr>
            <w:tcW w:w="607" w:type="pct"/>
            <w:tcBorders>
              <w:top w:val="single" w:sz="4" w:space="0" w:color="auto"/>
              <w:left w:val="single" w:sz="4" w:space="0" w:color="auto"/>
            </w:tcBorders>
            <w:shd w:val="clear" w:color="auto" w:fill="auto"/>
            <w:vAlign w:val="center"/>
          </w:tcPr>
          <w:p w14:paraId="0A9DE1F7" w14:textId="77777777" w:rsidR="00463B5F" w:rsidRPr="0050124F" w:rsidRDefault="00463B5F" w:rsidP="001A6B8C">
            <w:pPr>
              <w:pStyle w:val="Tabletext"/>
              <w:jc w:val="center"/>
            </w:pPr>
            <w:r w:rsidRPr="0050124F">
              <w:t>118500298</w:t>
            </w:r>
          </w:p>
        </w:tc>
        <w:tc>
          <w:tcPr>
            <w:tcW w:w="652" w:type="pct"/>
            <w:tcBorders>
              <w:top w:val="single" w:sz="4" w:space="0" w:color="auto"/>
              <w:left w:val="single" w:sz="4" w:space="0" w:color="auto"/>
            </w:tcBorders>
            <w:shd w:val="clear" w:color="auto" w:fill="auto"/>
            <w:vAlign w:val="center"/>
          </w:tcPr>
          <w:p w14:paraId="65F27CE5" w14:textId="77777777" w:rsidR="00463B5F" w:rsidRPr="0050124F" w:rsidRDefault="00463B5F" w:rsidP="001A6B8C">
            <w:pPr>
              <w:pStyle w:val="Tabletext"/>
              <w:jc w:val="center"/>
            </w:pPr>
            <w:r w:rsidRPr="0050124F">
              <w:t>11</w:t>
            </w:r>
          </w:p>
        </w:tc>
        <w:tc>
          <w:tcPr>
            <w:tcW w:w="604" w:type="pct"/>
            <w:tcBorders>
              <w:top w:val="single" w:sz="4" w:space="0" w:color="auto"/>
              <w:left w:val="single" w:sz="4" w:space="0" w:color="auto"/>
            </w:tcBorders>
            <w:shd w:val="clear" w:color="auto" w:fill="auto"/>
            <w:vAlign w:val="center"/>
          </w:tcPr>
          <w:p w14:paraId="22AE57ED" w14:textId="77777777" w:rsidR="00463B5F" w:rsidRPr="0050124F" w:rsidRDefault="00463B5F" w:rsidP="001A6B8C">
            <w:pPr>
              <w:pStyle w:val="Tabletext"/>
              <w:jc w:val="center"/>
            </w:pPr>
            <w:r w:rsidRPr="0050124F">
              <w:t>37.4</w:t>
            </w:r>
          </w:p>
        </w:tc>
        <w:tc>
          <w:tcPr>
            <w:tcW w:w="469" w:type="pct"/>
            <w:tcBorders>
              <w:top w:val="single" w:sz="4" w:space="0" w:color="auto"/>
              <w:left w:val="single" w:sz="4" w:space="0" w:color="auto"/>
            </w:tcBorders>
            <w:shd w:val="clear" w:color="auto" w:fill="auto"/>
            <w:vAlign w:val="center"/>
          </w:tcPr>
          <w:p w14:paraId="156FE6CF" w14:textId="77777777" w:rsidR="00463B5F" w:rsidRPr="0050124F" w:rsidRDefault="00463B5F" w:rsidP="001A6B8C">
            <w:pPr>
              <w:pStyle w:val="Tabletext"/>
              <w:jc w:val="center"/>
            </w:pPr>
            <w:r w:rsidRPr="0050124F">
              <w:t>1248</w:t>
            </w:r>
          </w:p>
        </w:tc>
        <w:tc>
          <w:tcPr>
            <w:tcW w:w="464" w:type="pct"/>
            <w:tcBorders>
              <w:top w:val="single" w:sz="4" w:space="0" w:color="auto"/>
              <w:left w:val="single" w:sz="4" w:space="0" w:color="auto"/>
            </w:tcBorders>
            <w:shd w:val="clear" w:color="auto" w:fill="auto"/>
            <w:vAlign w:val="center"/>
          </w:tcPr>
          <w:p w14:paraId="00F64029" w14:textId="77777777" w:rsidR="00463B5F" w:rsidRPr="0050124F" w:rsidRDefault="00463B5F" w:rsidP="001A6B8C">
            <w:pPr>
              <w:pStyle w:val="Tabletext"/>
              <w:jc w:val="center"/>
            </w:pPr>
            <w:r w:rsidRPr="0050124F">
              <w:t>1248</w:t>
            </w:r>
          </w:p>
        </w:tc>
        <w:tc>
          <w:tcPr>
            <w:tcW w:w="660" w:type="pct"/>
            <w:tcBorders>
              <w:top w:val="single" w:sz="4" w:space="0" w:color="auto"/>
              <w:left w:val="single" w:sz="4" w:space="0" w:color="auto"/>
            </w:tcBorders>
            <w:shd w:val="clear" w:color="auto" w:fill="auto"/>
            <w:vAlign w:val="center"/>
          </w:tcPr>
          <w:p w14:paraId="020817C6" w14:textId="77777777" w:rsidR="00463B5F" w:rsidRPr="0050124F" w:rsidRDefault="00463B5F" w:rsidP="001A6B8C">
            <w:pPr>
              <w:pStyle w:val="Tabletext"/>
              <w:jc w:val="center"/>
            </w:pPr>
            <w:r w:rsidRPr="0050124F">
              <w:t>0</w:t>
            </w:r>
          </w:p>
        </w:tc>
        <w:tc>
          <w:tcPr>
            <w:tcW w:w="650" w:type="pct"/>
            <w:tcBorders>
              <w:top w:val="single" w:sz="4" w:space="0" w:color="auto"/>
              <w:left w:val="single" w:sz="4" w:space="0" w:color="auto"/>
            </w:tcBorders>
            <w:shd w:val="clear" w:color="auto" w:fill="auto"/>
            <w:vAlign w:val="center"/>
          </w:tcPr>
          <w:p w14:paraId="0B84C739" w14:textId="77777777" w:rsidR="00463B5F" w:rsidRPr="0050124F" w:rsidRDefault="00463B5F" w:rsidP="001A6B8C">
            <w:pPr>
              <w:pStyle w:val="Tabletext"/>
              <w:jc w:val="center"/>
            </w:pPr>
            <w:r w:rsidRPr="0050124F">
              <w:t>9</w:t>
            </w:r>
          </w:p>
        </w:tc>
        <w:tc>
          <w:tcPr>
            <w:tcW w:w="893" w:type="pct"/>
            <w:tcBorders>
              <w:top w:val="single" w:sz="4" w:space="0" w:color="auto"/>
              <w:left w:val="single" w:sz="4" w:space="0" w:color="auto"/>
              <w:right w:val="single" w:sz="4" w:space="0" w:color="auto"/>
            </w:tcBorders>
            <w:shd w:val="clear" w:color="auto" w:fill="auto"/>
            <w:vAlign w:val="center"/>
          </w:tcPr>
          <w:p w14:paraId="7FDB8ED5" w14:textId="77777777" w:rsidR="00463B5F" w:rsidRPr="0050124F" w:rsidRDefault="00463B5F" w:rsidP="001A6B8C">
            <w:pPr>
              <w:pStyle w:val="Tabletext"/>
              <w:jc w:val="center"/>
            </w:pPr>
            <w:r w:rsidRPr="0050124F">
              <w:t>0</w:t>
            </w:r>
          </w:p>
        </w:tc>
      </w:tr>
      <w:tr w:rsidR="00463B5F" w:rsidRPr="0050124F" w14:paraId="4F065E8E" w14:textId="77777777" w:rsidTr="0013184B">
        <w:trPr>
          <w:trHeight w:val="177"/>
        </w:trPr>
        <w:tc>
          <w:tcPr>
            <w:tcW w:w="607" w:type="pct"/>
            <w:tcBorders>
              <w:top w:val="single" w:sz="4" w:space="0" w:color="auto"/>
              <w:left w:val="single" w:sz="4" w:space="0" w:color="auto"/>
            </w:tcBorders>
            <w:shd w:val="clear" w:color="auto" w:fill="auto"/>
            <w:vAlign w:val="center"/>
          </w:tcPr>
          <w:p w14:paraId="14DE145A" w14:textId="77777777" w:rsidR="00463B5F" w:rsidRPr="0050124F" w:rsidRDefault="00463B5F" w:rsidP="001A6B8C">
            <w:pPr>
              <w:pStyle w:val="Tabletext"/>
              <w:jc w:val="center"/>
            </w:pPr>
            <w:r w:rsidRPr="0050124F">
              <w:t>118500298</w:t>
            </w:r>
          </w:p>
        </w:tc>
        <w:tc>
          <w:tcPr>
            <w:tcW w:w="652" w:type="pct"/>
            <w:tcBorders>
              <w:top w:val="single" w:sz="4" w:space="0" w:color="auto"/>
              <w:left w:val="single" w:sz="4" w:space="0" w:color="auto"/>
            </w:tcBorders>
            <w:shd w:val="clear" w:color="auto" w:fill="auto"/>
            <w:vAlign w:val="center"/>
          </w:tcPr>
          <w:p w14:paraId="26BF7D64" w14:textId="77777777" w:rsidR="00463B5F" w:rsidRPr="0050124F" w:rsidRDefault="00463B5F" w:rsidP="001A6B8C">
            <w:pPr>
              <w:pStyle w:val="Tabletext"/>
              <w:jc w:val="center"/>
            </w:pPr>
            <w:r w:rsidRPr="0050124F">
              <w:t>12</w:t>
            </w:r>
          </w:p>
        </w:tc>
        <w:tc>
          <w:tcPr>
            <w:tcW w:w="604" w:type="pct"/>
            <w:tcBorders>
              <w:top w:val="single" w:sz="4" w:space="0" w:color="auto"/>
              <w:left w:val="single" w:sz="4" w:space="0" w:color="auto"/>
            </w:tcBorders>
            <w:shd w:val="clear" w:color="auto" w:fill="auto"/>
            <w:vAlign w:val="center"/>
          </w:tcPr>
          <w:p w14:paraId="1B3A1DC0" w14:textId="77777777" w:rsidR="00463B5F" w:rsidRPr="0050124F" w:rsidRDefault="00463B5F" w:rsidP="001A6B8C">
            <w:pPr>
              <w:pStyle w:val="Tabletext"/>
              <w:jc w:val="center"/>
            </w:pPr>
            <w:r w:rsidRPr="0050124F">
              <w:t>99.5</w:t>
            </w:r>
          </w:p>
        </w:tc>
        <w:tc>
          <w:tcPr>
            <w:tcW w:w="469" w:type="pct"/>
            <w:tcBorders>
              <w:top w:val="single" w:sz="4" w:space="0" w:color="auto"/>
              <w:left w:val="single" w:sz="4" w:space="0" w:color="auto"/>
            </w:tcBorders>
            <w:shd w:val="clear" w:color="auto" w:fill="auto"/>
            <w:vAlign w:val="center"/>
          </w:tcPr>
          <w:p w14:paraId="1F941FF9" w14:textId="77777777" w:rsidR="00463B5F" w:rsidRPr="0050124F" w:rsidRDefault="00463B5F" w:rsidP="001A6B8C">
            <w:pPr>
              <w:pStyle w:val="Tabletext"/>
              <w:jc w:val="center"/>
            </w:pPr>
            <w:r w:rsidRPr="0050124F">
              <w:t>1003.8</w:t>
            </w:r>
          </w:p>
        </w:tc>
        <w:tc>
          <w:tcPr>
            <w:tcW w:w="464" w:type="pct"/>
            <w:tcBorders>
              <w:top w:val="single" w:sz="4" w:space="0" w:color="auto"/>
              <w:left w:val="single" w:sz="4" w:space="0" w:color="auto"/>
            </w:tcBorders>
            <w:shd w:val="clear" w:color="auto" w:fill="auto"/>
            <w:vAlign w:val="center"/>
          </w:tcPr>
          <w:p w14:paraId="109B6967" w14:textId="77777777" w:rsidR="00463B5F" w:rsidRPr="0050124F" w:rsidRDefault="00463B5F" w:rsidP="001A6B8C">
            <w:pPr>
              <w:pStyle w:val="Tabletext"/>
              <w:jc w:val="center"/>
            </w:pPr>
            <w:r w:rsidRPr="0050124F">
              <w:t>996.4</w:t>
            </w:r>
          </w:p>
        </w:tc>
        <w:tc>
          <w:tcPr>
            <w:tcW w:w="660" w:type="pct"/>
            <w:tcBorders>
              <w:top w:val="single" w:sz="4" w:space="0" w:color="auto"/>
              <w:left w:val="single" w:sz="4" w:space="0" w:color="auto"/>
            </w:tcBorders>
            <w:shd w:val="clear" w:color="auto" w:fill="auto"/>
            <w:vAlign w:val="center"/>
          </w:tcPr>
          <w:p w14:paraId="35275502" w14:textId="77777777" w:rsidR="00463B5F" w:rsidRPr="0050124F" w:rsidRDefault="00463B5F" w:rsidP="001A6B8C">
            <w:pPr>
              <w:pStyle w:val="Tabletext"/>
              <w:jc w:val="center"/>
            </w:pPr>
            <w:r w:rsidRPr="0050124F">
              <w:t>344.6</w:t>
            </w:r>
          </w:p>
        </w:tc>
        <w:tc>
          <w:tcPr>
            <w:tcW w:w="650" w:type="pct"/>
            <w:tcBorders>
              <w:top w:val="single" w:sz="4" w:space="0" w:color="auto"/>
              <w:left w:val="single" w:sz="4" w:space="0" w:color="auto"/>
            </w:tcBorders>
            <w:shd w:val="clear" w:color="auto" w:fill="auto"/>
            <w:vAlign w:val="center"/>
          </w:tcPr>
          <w:p w14:paraId="40F4F73B" w14:textId="77777777" w:rsidR="00463B5F" w:rsidRPr="0050124F" w:rsidRDefault="00463B5F" w:rsidP="001A6B8C">
            <w:pPr>
              <w:pStyle w:val="Tabletext"/>
              <w:jc w:val="center"/>
            </w:pPr>
            <w:r w:rsidRPr="0050124F">
              <w:t>1</w:t>
            </w:r>
          </w:p>
        </w:tc>
        <w:tc>
          <w:tcPr>
            <w:tcW w:w="893" w:type="pct"/>
            <w:tcBorders>
              <w:top w:val="single" w:sz="4" w:space="0" w:color="auto"/>
              <w:left w:val="single" w:sz="4" w:space="0" w:color="auto"/>
              <w:right w:val="single" w:sz="4" w:space="0" w:color="auto"/>
            </w:tcBorders>
            <w:shd w:val="clear" w:color="auto" w:fill="auto"/>
            <w:vAlign w:val="center"/>
          </w:tcPr>
          <w:p w14:paraId="10BD738B" w14:textId="77777777" w:rsidR="00463B5F" w:rsidRPr="0050124F" w:rsidRDefault="00463B5F" w:rsidP="001A6B8C">
            <w:pPr>
              <w:pStyle w:val="Tabletext"/>
              <w:jc w:val="center"/>
            </w:pPr>
            <w:r w:rsidRPr="0050124F">
              <w:t>1</w:t>
            </w:r>
          </w:p>
        </w:tc>
      </w:tr>
      <w:tr w:rsidR="00463B5F" w:rsidRPr="0050124F" w14:paraId="448FF3BC" w14:textId="77777777" w:rsidTr="0013184B">
        <w:trPr>
          <w:trHeight w:val="191"/>
        </w:trPr>
        <w:tc>
          <w:tcPr>
            <w:tcW w:w="3456" w:type="pct"/>
            <w:gridSpan w:val="6"/>
            <w:tcBorders>
              <w:top w:val="single" w:sz="4" w:space="0" w:color="auto"/>
              <w:left w:val="single" w:sz="4" w:space="0" w:color="auto"/>
              <w:bottom w:val="single" w:sz="4" w:space="0" w:color="auto"/>
            </w:tcBorders>
            <w:shd w:val="clear" w:color="auto" w:fill="auto"/>
            <w:vAlign w:val="center"/>
          </w:tcPr>
          <w:p w14:paraId="42665D3B" w14:textId="77777777" w:rsidR="00463B5F" w:rsidRPr="001A6B8C" w:rsidRDefault="00463B5F" w:rsidP="001A6B8C">
            <w:pPr>
              <w:pStyle w:val="Tabletext"/>
              <w:rPr>
                <w:b/>
                <w:bCs/>
              </w:rPr>
            </w:pPr>
            <w:r w:rsidRPr="001A6B8C">
              <w:rPr>
                <w:b/>
                <w:bCs/>
              </w:rPr>
              <w:t xml:space="preserve">BR112 Número total de estaciones espaciales notificadas / BR113 Número total de estaciones espaciales desplegadas </w:t>
            </w:r>
          </w:p>
        </w:tc>
        <w:tc>
          <w:tcPr>
            <w:tcW w:w="650" w:type="pct"/>
            <w:tcBorders>
              <w:top w:val="single" w:sz="4" w:space="0" w:color="auto"/>
              <w:left w:val="single" w:sz="4" w:space="0" w:color="auto"/>
              <w:bottom w:val="single" w:sz="4" w:space="0" w:color="auto"/>
            </w:tcBorders>
            <w:shd w:val="clear" w:color="auto" w:fill="auto"/>
            <w:vAlign w:val="center"/>
          </w:tcPr>
          <w:p w14:paraId="6C136CA2" w14:textId="77777777" w:rsidR="00463B5F" w:rsidRPr="001A6B8C" w:rsidRDefault="00463B5F" w:rsidP="001A6B8C">
            <w:pPr>
              <w:pStyle w:val="Tabletext"/>
              <w:jc w:val="center"/>
              <w:rPr>
                <w:b/>
                <w:bCs/>
                <w:sz w:val="22"/>
                <w:szCs w:val="22"/>
              </w:rPr>
            </w:pPr>
            <w:r w:rsidRPr="001A6B8C">
              <w:rPr>
                <w:b/>
                <w:bCs/>
                <w:color w:val="3E3332"/>
                <w:sz w:val="22"/>
                <w:szCs w:val="22"/>
              </w:rPr>
              <w:t>118</w:t>
            </w: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14:paraId="403B78A4" w14:textId="77777777" w:rsidR="00463B5F" w:rsidRPr="001A6B8C" w:rsidRDefault="00463B5F" w:rsidP="001A6B8C">
            <w:pPr>
              <w:pStyle w:val="Tabletext"/>
              <w:jc w:val="center"/>
              <w:rPr>
                <w:b/>
                <w:bCs/>
                <w:sz w:val="22"/>
                <w:szCs w:val="22"/>
              </w:rPr>
            </w:pPr>
            <w:r w:rsidRPr="001A6B8C">
              <w:rPr>
                <w:b/>
                <w:bCs/>
                <w:color w:val="3D5079"/>
                <w:sz w:val="22"/>
                <w:szCs w:val="22"/>
              </w:rPr>
              <w:t>1</w:t>
            </w:r>
          </w:p>
        </w:tc>
      </w:tr>
    </w:tbl>
    <w:p w14:paraId="61864A10" w14:textId="77777777" w:rsidR="00463B5F" w:rsidRPr="0050124F" w:rsidRDefault="00463B5F" w:rsidP="00463B5F"/>
    <w:p w14:paraId="77D42EB0" w14:textId="77777777" w:rsidR="00463B5F" w:rsidRPr="0050124F" w:rsidRDefault="00463B5F" w:rsidP="00463B5F">
      <w:r w:rsidRPr="0050124F">
        <w:t xml:space="preserve">A tenor de lo que antecede, debe modificarse la lista suprimiendo los planos orbitales no utilizados, para no inducir a error durante el análisis de interferencias o cualquier resolución posterior relacionada con la Resolución </w:t>
      </w:r>
      <w:r w:rsidRPr="0050124F">
        <w:rPr>
          <w:b/>
        </w:rPr>
        <w:t>35 (CMR-19)</w:t>
      </w:r>
      <w:r w:rsidRPr="0050124F">
        <w:t>.</w:t>
      </w:r>
    </w:p>
    <w:p w14:paraId="3AFC34C4" w14:textId="77777777" w:rsidR="005F3317" w:rsidRPr="0050124F" w:rsidRDefault="00F417B8">
      <w:pPr>
        <w:pStyle w:val="Proposal"/>
      </w:pPr>
      <w:r w:rsidRPr="0050124F">
        <w:tab/>
        <w:t>AFCP/87A25/3</w:t>
      </w:r>
    </w:p>
    <w:p w14:paraId="322ACD12" w14:textId="77777777" w:rsidR="00463B5F" w:rsidRPr="0050124F" w:rsidRDefault="00463B5F" w:rsidP="00463B5F">
      <w:pPr>
        <w:pStyle w:val="Headingb"/>
      </w:pPr>
      <w:r w:rsidRPr="0050124F">
        <w:t>Introducción</w:t>
      </w:r>
    </w:p>
    <w:p w14:paraId="2F09F904" w14:textId="77777777" w:rsidR="00463B5F" w:rsidRPr="0050124F" w:rsidRDefault="00463B5F" w:rsidP="00463B5F">
      <w:r w:rsidRPr="0050124F">
        <w:t xml:space="preserve">De conformidad con la Resolución </w:t>
      </w:r>
      <w:r w:rsidRPr="0050124F">
        <w:rPr>
          <w:b/>
          <w:bCs/>
        </w:rPr>
        <w:t>559 (CMR-19)</w:t>
      </w:r>
      <w:r w:rsidRPr="0050124F">
        <w:t xml:space="preserve"> y las correspondientes instrucciones de la CMR</w:t>
      </w:r>
      <w:r w:rsidRPr="0050124F">
        <w:noBreakHyphen/>
        <w:t xml:space="preserve">19 a la Oficina, la Oficina identificó 55 administraciones que podían optar a solicitar el procedimiento especial contenido en esa Resolución. Esas 55 administraciones figuran en la Carta Circular CR/455, de 21 de febrero de 2020, sobre la aplicación de la Resolución </w:t>
      </w:r>
      <w:r w:rsidRPr="0050124F">
        <w:rPr>
          <w:b/>
          <w:bCs/>
        </w:rPr>
        <w:t>559 (CMR-19)</w:t>
      </w:r>
      <w:r w:rsidRPr="0050124F">
        <w:t>.</w:t>
      </w:r>
    </w:p>
    <w:p w14:paraId="2CA2E140" w14:textId="77777777" w:rsidR="00463B5F" w:rsidRPr="0050124F" w:rsidRDefault="00463B5F" w:rsidP="00463B5F">
      <w:r w:rsidRPr="0050124F">
        <w:t>Un total de 45 administraciones, de las 55 que cumplían los requisitos, aplicaron el antedicho procedimiento especial enviando sus correspondientes solicitudes acompañadas de una notificación</w:t>
      </w:r>
      <w:r w:rsidRPr="0050124F">
        <w:rPr>
          <w:rStyle w:val="FootnoteReference"/>
        </w:rPr>
        <w:footnoteReference w:id="2"/>
      </w:r>
      <w:r w:rsidRPr="0050124F">
        <w:t>, formada por una notificación de enlace descendente y una notificación de enlace de conexión.</w:t>
      </w:r>
    </w:p>
    <w:p w14:paraId="7FA82312" w14:textId="77777777" w:rsidR="00463B5F" w:rsidRPr="0050124F" w:rsidRDefault="00463B5F" w:rsidP="00463B5F">
      <w:r w:rsidRPr="0050124F">
        <w:t xml:space="preserve">La Oficina publicó 90 Secciones Especiales de la Parte A correspondientes a las 45 notificaciones de la Resolución </w:t>
      </w:r>
      <w:r w:rsidRPr="0050124F">
        <w:rPr>
          <w:b/>
        </w:rPr>
        <w:t>559 (CMR-19)</w:t>
      </w:r>
      <w:r w:rsidRPr="0050124F">
        <w:t xml:space="preserve"> en la BR IFIC 2932 de 27 de octubre de 2020.</w:t>
      </w:r>
    </w:p>
    <w:p w14:paraId="70566D09" w14:textId="77777777" w:rsidR="00463B5F" w:rsidRPr="0050124F" w:rsidRDefault="00463B5F" w:rsidP="00463B5F">
      <w:r w:rsidRPr="0050124F">
        <w:t>El proceso de coordinación con las administraciones afectadas comenzó el 27 de febrero de 2021, una vez finalizado el periodo de cuatro meses de formulación de observaciones.</w:t>
      </w:r>
    </w:p>
    <w:p w14:paraId="3EA1EA15" w14:textId="77777777" w:rsidR="00463B5F" w:rsidRPr="0050124F" w:rsidRDefault="00463B5F" w:rsidP="00463B5F">
      <w:r w:rsidRPr="0050124F">
        <w:t xml:space="preserve">Para llegar a tiempo para su consideración por la CMR-23, 41 de las 45 administraciones han presentado la Parte B de sus notificaciones en virtud de la Resolución </w:t>
      </w:r>
      <w:r w:rsidRPr="0050124F">
        <w:rPr>
          <w:b/>
        </w:rPr>
        <w:t>559 (CMR-19)</w:t>
      </w:r>
      <w:r w:rsidRPr="0050124F">
        <w:t xml:space="preserve"> antes de finales de enero de 2023. La Oficina publicó las 82 Secciones especiales de la Parte B en la BR IFIC 2993 de 4 de abril de 2023, para la inclusión de las asignaciones de frecuencias de esas notificaciones de la Resolución </w:t>
      </w:r>
      <w:r w:rsidRPr="0050124F">
        <w:rPr>
          <w:b/>
          <w:bCs/>
        </w:rPr>
        <w:t>559</w:t>
      </w:r>
      <w:r w:rsidRPr="0050124F">
        <w:t xml:space="preserve"> en la Lista de usos adicionales de los Apéndices </w:t>
      </w:r>
      <w:r w:rsidRPr="0050124F">
        <w:rPr>
          <w:b/>
        </w:rPr>
        <w:t>30</w:t>
      </w:r>
      <w:r w:rsidRPr="0050124F">
        <w:t xml:space="preserve"> y </w:t>
      </w:r>
      <w:r w:rsidRPr="0050124F">
        <w:rPr>
          <w:b/>
        </w:rPr>
        <w:t>30A</w:t>
      </w:r>
      <w:r w:rsidRPr="0050124F">
        <w:t xml:space="preserve"> del RR.</w:t>
      </w:r>
    </w:p>
    <w:p w14:paraId="649DEC30" w14:textId="77777777" w:rsidR="00463B5F" w:rsidRPr="0050124F" w:rsidRDefault="00463B5F" w:rsidP="00463B5F">
      <w:pPr>
        <w:pStyle w:val="Headingb"/>
      </w:pPr>
      <w:r w:rsidRPr="0050124F">
        <w:lastRenderedPageBreak/>
        <w:t>Coordinación de frecuencias de las notificaciones de la Resolución 559 (CMR-19)</w:t>
      </w:r>
    </w:p>
    <w:p w14:paraId="197ACEFF" w14:textId="77777777" w:rsidR="00463B5F" w:rsidRPr="0050124F" w:rsidRDefault="00463B5F" w:rsidP="00463B5F">
      <w:r w:rsidRPr="0050124F">
        <w:t>Sobre la base del examen técnico de la Oficina publicado en las Secciones Especiales de la Parte A de la BR IFIC 2932 de 27 de octubre de 2020, hay un total de 100 administraciones potencialmente afectadas en 1 459 casos de coordinación de frecuencias.</w:t>
      </w:r>
    </w:p>
    <w:p w14:paraId="1763D326" w14:textId="662B4391" w:rsidR="00463B5F" w:rsidRPr="0050124F" w:rsidRDefault="00463B5F" w:rsidP="00463B5F">
      <w:r w:rsidRPr="0050124F">
        <w:t xml:space="preserve">Las administraciones de la Resolución </w:t>
      </w:r>
      <w:r w:rsidRPr="0050124F">
        <w:rPr>
          <w:b/>
        </w:rPr>
        <w:t>559 (CMR-19)</w:t>
      </w:r>
      <w:r w:rsidRPr="0050124F">
        <w:t xml:space="preserve"> no </w:t>
      </w:r>
      <w:r w:rsidR="00DA5CAC" w:rsidRPr="0050124F">
        <w:t>sólo</w:t>
      </w:r>
      <w:r w:rsidRPr="0050124F">
        <w:t xml:space="preserve"> han llevado a cabo activamente la coordinación de frecuencias, sino que también han presentado varias propuestas a la Junta del Reglamento de Radiocomunicaciones (RRB) y al Grupo de Trabajo (GT) 4A del UIT-R para facilitar la coordinación de frecuencias necesaria.</w:t>
      </w:r>
    </w:p>
    <w:p w14:paraId="6BA8095B" w14:textId="77777777" w:rsidR="00463B5F" w:rsidRPr="0050124F" w:rsidRDefault="00463B5F" w:rsidP="00463B5F">
      <w:pPr>
        <w:spacing w:after="120"/>
      </w:pPr>
      <w:r w:rsidRPr="0050124F">
        <w:t xml:space="preserve">Las 41 notificaciones de la Resolución </w:t>
      </w:r>
      <w:r w:rsidRPr="0050124F">
        <w:rPr>
          <w:b/>
        </w:rPr>
        <w:t>559 (CMR-19)</w:t>
      </w:r>
      <w:r w:rsidRPr="0050124F">
        <w:t xml:space="preserve"> en que se ha presentado la Parte B entrañan en total 1 393 casos de coordinación de frecuencias. Gracias a las decisiones adoptadas por la RRB, al asesoramiento técnico del GT 4A, a la activa participación de las administraciones de la Resolución </w:t>
      </w:r>
      <w:r w:rsidRPr="0050124F">
        <w:rPr>
          <w:b/>
        </w:rPr>
        <w:t>559 (CMR-19)</w:t>
      </w:r>
      <w:r w:rsidRPr="0050124F">
        <w:t xml:space="preserve"> y a la asistencia de la Oficina, se han completado el 87,08% de los casos de coordinación de frecuencias. Sin embargo, aún deben completarse otros 180 casos. A continuación, se presentan las estadísticas en relación con los casos de coordinación restantes:</w:t>
      </w:r>
    </w:p>
    <w:tbl>
      <w:tblPr>
        <w:tblStyle w:val="TableGrid"/>
        <w:tblW w:w="0" w:type="auto"/>
        <w:jc w:val="center"/>
        <w:tblLayout w:type="fixed"/>
        <w:tblLook w:val="04A0" w:firstRow="1" w:lastRow="0" w:firstColumn="1" w:lastColumn="0" w:noHBand="0" w:noVBand="1"/>
      </w:tblPr>
      <w:tblGrid>
        <w:gridCol w:w="1269"/>
        <w:gridCol w:w="2393"/>
        <w:gridCol w:w="2393"/>
        <w:gridCol w:w="2393"/>
      </w:tblGrid>
      <w:tr w:rsidR="00463B5F" w:rsidRPr="0050124F" w14:paraId="0D9C5284" w14:textId="77777777" w:rsidTr="0013184B">
        <w:trPr>
          <w:jc w:val="center"/>
        </w:trPr>
        <w:tc>
          <w:tcPr>
            <w:tcW w:w="1269" w:type="dxa"/>
            <w:vAlign w:val="center"/>
          </w:tcPr>
          <w:p w14:paraId="287BDCE0" w14:textId="77777777" w:rsidR="00463B5F" w:rsidRPr="0050124F" w:rsidRDefault="00463B5F" w:rsidP="0013184B">
            <w:pPr>
              <w:pStyle w:val="Tablehead"/>
            </w:pPr>
            <w:r w:rsidRPr="0050124F">
              <w:t>Total</w:t>
            </w:r>
          </w:p>
        </w:tc>
        <w:tc>
          <w:tcPr>
            <w:tcW w:w="2393" w:type="dxa"/>
            <w:vAlign w:val="center"/>
          </w:tcPr>
          <w:p w14:paraId="32D537BF" w14:textId="77777777" w:rsidR="00463B5F" w:rsidRPr="0050124F" w:rsidRDefault="00463B5F" w:rsidP="0013184B">
            <w:pPr>
              <w:pStyle w:val="Tablehead"/>
            </w:pPr>
            <w:r w:rsidRPr="0050124F">
              <w:t>Coordinación en virtud del</w:t>
            </w:r>
            <w:r w:rsidRPr="0050124F">
              <w:br/>
              <w:t>A30#4.1.1b)</w:t>
            </w:r>
          </w:p>
        </w:tc>
        <w:tc>
          <w:tcPr>
            <w:tcW w:w="2393" w:type="dxa"/>
            <w:vAlign w:val="center"/>
          </w:tcPr>
          <w:p w14:paraId="38C860F8" w14:textId="77777777" w:rsidR="00463B5F" w:rsidRPr="0050124F" w:rsidRDefault="00463B5F" w:rsidP="0013184B">
            <w:pPr>
              <w:pStyle w:val="Tablehead"/>
            </w:pPr>
            <w:r w:rsidRPr="0050124F">
              <w:t>Coordinación en virtud del</w:t>
            </w:r>
            <w:r w:rsidRPr="0050124F">
              <w:br/>
              <w:t>A30#4.1.1e)</w:t>
            </w:r>
          </w:p>
        </w:tc>
        <w:tc>
          <w:tcPr>
            <w:tcW w:w="2393" w:type="dxa"/>
            <w:vAlign w:val="center"/>
          </w:tcPr>
          <w:p w14:paraId="7A3CE7FA" w14:textId="77777777" w:rsidR="00463B5F" w:rsidRPr="0050124F" w:rsidRDefault="00463B5F" w:rsidP="0013184B">
            <w:pPr>
              <w:pStyle w:val="Tablehead"/>
            </w:pPr>
            <w:r w:rsidRPr="0050124F">
              <w:t>Coordinación en virtud del</w:t>
            </w:r>
            <w:r w:rsidRPr="0050124F">
              <w:br/>
              <w:t>A30A#4.1.1b)</w:t>
            </w:r>
          </w:p>
        </w:tc>
      </w:tr>
      <w:tr w:rsidR="00463B5F" w:rsidRPr="0050124F" w14:paraId="6A8302EC" w14:textId="77777777" w:rsidTr="0013184B">
        <w:trPr>
          <w:jc w:val="center"/>
        </w:trPr>
        <w:tc>
          <w:tcPr>
            <w:tcW w:w="1269" w:type="dxa"/>
          </w:tcPr>
          <w:p w14:paraId="41164C9F" w14:textId="77777777" w:rsidR="00463B5F" w:rsidRPr="0050124F" w:rsidRDefault="00463B5F" w:rsidP="0013184B">
            <w:pPr>
              <w:pStyle w:val="Tabletext"/>
              <w:jc w:val="center"/>
            </w:pPr>
            <w:r w:rsidRPr="0050124F">
              <w:t>180</w:t>
            </w:r>
          </w:p>
        </w:tc>
        <w:tc>
          <w:tcPr>
            <w:tcW w:w="2393" w:type="dxa"/>
          </w:tcPr>
          <w:p w14:paraId="0F865239" w14:textId="77777777" w:rsidR="00463B5F" w:rsidRPr="0050124F" w:rsidRDefault="00463B5F" w:rsidP="0013184B">
            <w:pPr>
              <w:pStyle w:val="Tabletext"/>
              <w:jc w:val="center"/>
            </w:pPr>
            <w:r w:rsidRPr="0050124F">
              <w:t>87</w:t>
            </w:r>
          </w:p>
        </w:tc>
        <w:tc>
          <w:tcPr>
            <w:tcW w:w="2393" w:type="dxa"/>
          </w:tcPr>
          <w:p w14:paraId="2F0CFBBF" w14:textId="77777777" w:rsidR="00463B5F" w:rsidRPr="0050124F" w:rsidRDefault="00463B5F" w:rsidP="0013184B">
            <w:pPr>
              <w:pStyle w:val="Tabletext"/>
              <w:jc w:val="center"/>
            </w:pPr>
            <w:r w:rsidRPr="0050124F">
              <w:t>60</w:t>
            </w:r>
          </w:p>
        </w:tc>
        <w:tc>
          <w:tcPr>
            <w:tcW w:w="2393" w:type="dxa"/>
          </w:tcPr>
          <w:p w14:paraId="20229A37" w14:textId="77777777" w:rsidR="00463B5F" w:rsidRPr="0050124F" w:rsidRDefault="00463B5F" w:rsidP="0013184B">
            <w:pPr>
              <w:pStyle w:val="Tabletext"/>
              <w:jc w:val="center"/>
            </w:pPr>
            <w:r w:rsidRPr="0050124F">
              <w:t>26</w:t>
            </w:r>
          </w:p>
        </w:tc>
      </w:tr>
      <w:tr w:rsidR="00463B5F" w:rsidRPr="0050124F" w14:paraId="2DDE4487" w14:textId="77777777" w:rsidTr="0013184B">
        <w:trPr>
          <w:jc w:val="center"/>
        </w:trPr>
        <w:tc>
          <w:tcPr>
            <w:tcW w:w="1269" w:type="dxa"/>
          </w:tcPr>
          <w:p w14:paraId="3F141ADC" w14:textId="77777777" w:rsidR="00463B5F" w:rsidRPr="0050124F" w:rsidRDefault="00463B5F" w:rsidP="0013184B">
            <w:pPr>
              <w:pStyle w:val="Tabletext"/>
              <w:jc w:val="center"/>
            </w:pPr>
            <w:r w:rsidRPr="0050124F">
              <w:t>Porcentaje</w:t>
            </w:r>
          </w:p>
        </w:tc>
        <w:tc>
          <w:tcPr>
            <w:tcW w:w="2393" w:type="dxa"/>
          </w:tcPr>
          <w:p w14:paraId="01573ED2" w14:textId="77777777" w:rsidR="00463B5F" w:rsidRPr="0050124F" w:rsidRDefault="00463B5F" w:rsidP="0013184B">
            <w:pPr>
              <w:pStyle w:val="Tabletext"/>
              <w:jc w:val="center"/>
            </w:pPr>
            <w:r w:rsidRPr="0050124F">
              <w:t>48,3%</w:t>
            </w:r>
          </w:p>
        </w:tc>
        <w:tc>
          <w:tcPr>
            <w:tcW w:w="2393" w:type="dxa"/>
          </w:tcPr>
          <w:p w14:paraId="0B11AA0D" w14:textId="77777777" w:rsidR="00463B5F" w:rsidRPr="0050124F" w:rsidRDefault="00463B5F" w:rsidP="0013184B">
            <w:pPr>
              <w:pStyle w:val="Tabletext"/>
              <w:jc w:val="center"/>
            </w:pPr>
            <w:r w:rsidRPr="0050124F">
              <w:t>33,3%</w:t>
            </w:r>
          </w:p>
        </w:tc>
        <w:tc>
          <w:tcPr>
            <w:tcW w:w="2393" w:type="dxa"/>
          </w:tcPr>
          <w:p w14:paraId="3FB56B32" w14:textId="77777777" w:rsidR="00463B5F" w:rsidRPr="0050124F" w:rsidRDefault="00463B5F" w:rsidP="0013184B">
            <w:pPr>
              <w:pStyle w:val="Tabletext"/>
              <w:jc w:val="center"/>
            </w:pPr>
            <w:r w:rsidRPr="0050124F">
              <w:t>14,4%</w:t>
            </w:r>
          </w:p>
        </w:tc>
      </w:tr>
    </w:tbl>
    <w:p w14:paraId="42F7CBA8" w14:textId="77777777" w:rsidR="00463B5F" w:rsidRPr="0050124F" w:rsidRDefault="00463B5F" w:rsidP="00463B5F">
      <w:pPr>
        <w:pStyle w:val="Tablefin"/>
        <w:rPr>
          <w:lang w:val="es-ES_tradnl" w:eastAsia="zh-CN"/>
        </w:rPr>
      </w:pPr>
    </w:p>
    <w:p w14:paraId="374CB2FD" w14:textId="77777777" w:rsidR="00463B5F" w:rsidRPr="0050124F" w:rsidRDefault="00463B5F" w:rsidP="00463B5F">
      <w:r w:rsidRPr="0050124F">
        <w:t xml:space="preserve">Con respecto a los casos de coordinación en virtud del número 4.1.1b) del Apéndice </w:t>
      </w:r>
      <w:r w:rsidRPr="0050124F">
        <w:rPr>
          <w:b/>
          <w:bCs/>
        </w:rPr>
        <w:t>30A</w:t>
      </w:r>
      <w:r w:rsidRPr="0050124F">
        <w:t xml:space="preserve"> pendientes, el problema se debe a que las notificaciones del Artículo 4 del Apéndice </w:t>
      </w:r>
      <w:r w:rsidRPr="0050124F">
        <w:rPr>
          <w:b/>
          <w:bCs/>
        </w:rPr>
        <w:t>30A</w:t>
      </w:r>
      <w:r w:rsidRPr="0050124F">
        <w:t xml:space="preserve"> potencialmente afectadas tienen una cobertura mundial que da lugar a una sensibilidad en recepción muy alta en los territorios nacionales de las administraciones interesadas en el marco de la Resolución </w:t>
      </w:r>
      <w:r w:rsidRPr="0050124F">
        <w:rPr>
          <w:b/>
        </w:rPr>
        <w:t>559 (CMR-19)</w:t>
      </w:r>
      <w:r w:rsidRPr="0050124F">
        <w:t>. Esta cuestión se aborda en el punto 7, Tema F, del orden del día de la CMR-23.</w:t>
      </w:r>
    </w:p>
    <w:p w14:paraId="147B6E47" w14:textId="77777777" w:rsidR="00463B5F" w:rsidRPr="0050124F" w:rsidRDefault="00463B5F" w:rsidP="00463B5F">
      <w:r w:rsidRPr="0050124F">
        <w:t>En cuanto a los casos de coordinación en virtud de los números 4.1.1b) y 4.1.1e) del Apéndice 30 pendientes, el principal problema atañe a dos administraciones, que suman el 64,4% del número total de casos de coordinación de frecuencias.</w:t>
      </w:r>
    </w:p>
    <w:p w14:paraId="5E424F84" w14:textId="77777777" w:rsidR="00463B5F" w:rsidRPr="0050124F" w:rsidRDefault="00463B5F" w:rsidP="00463B5F">
      <w:pPr>
        <w:pStyle w:val="Headingb"/>
      </w:pPr>
      <w:r w:rsidRPr="0050124F">
        <w:t>Propuestas</w:t>
      </w:r>
    </w:p>
    <w:p w14:paraId="30F15DDC" w14:textId="77777777" w:rsidR="00463B5F" w:rsidRPr="0050124F" w:rsidRDefault="00463B5F" w:rsidP="00463B5F">
      <w:r w:rsidRPr="0050124F">
        <w:t xml:space="preserve">Habida cuenta de lo que antecede y de la intención de la CMR-19 al adoptar la Resolución </w:t>
      </w:r>
      <w:r w:rsidRPr="0050124F">
        <w:rPr>
          <w:b/>
        </w:rPr>
        <w:t>559 (CMR</w:t>
      </w:r>
      <w:r w:rsidRPr="0050124F">
        <w:rPr>
          <w:b/>
        </w:rPr>
        <w:noBreakHyphen/>
        <w:t>19)</w:t>
      </w:r>
      <w:r w:rsidRPr="0050124F">
        <w:t>, se someten las siguientes propuestas a la consideración de la CMR-23.</w:t>
      </w:r>
    </w:p>
    <w:p w14:paraId="36AA91C5" w14:textId="77777777" w:rsidR="00463B5F" w:rsidRPr="0050124F" w:rsidRDefault="00463B5F" w:rsidP="00463B5F">
      <w:pPr>
        <w:pStyle w:val="enumlev1"/>
      </w:pPr>
      <w:r w:rsidRPr="0050124F">
        <w:t>1</w:t>
      </w:r>
      <w:r w:rsidRPr="0050124F">
        <w:tab/>
        <w:t xml:space="preserve">Las administraciones notificantes proponen a la CMR-23 que refrende todas las sugerencias formuladas por la RRB y la BR en relación con la aplicación de la Resolución </w:t>
      </w:r>
      <w:r w:rsidRPr="0050124F">
        <w:rPr>
          <w:b/>
        </w:rPr>
        <w:t>559 (CMR-19)</w:t>
      </w:r>
      <w:r w:rsidRPr="0050124F">
        <w:t>, tal como figuran en sus informes a la CMR-23.</w:t>
      </w:r>
    </w:p>
    <w:p w14:paraId="48A70C08" w14:textId="77777777" w:rsidR="00463B5F" w:rsidRPr="0050124F" w:rsidRDefault="00463B5F" w:rsidP="00463B5F">
      <w:pPr>
        <w:pStyle w:val="enumlev1"/>
      </w:pPr>
      <w:r w:rsidRPr="0050124F">
        <w:t>2</w:t>
      </w:r>
      <w:r w:rsidRPr="0050124F">
        <w:tab/>
        <w:t xml:space="preserve">Con respecto a los casos de coordinación en virtud del § 4.1.1 b) del Apéndice </w:t>
      </w:r>
      <w:r w:rsidRPr="0050124F">
        <w:rPr>
          <w:b/>
          <w:bCs/>
        </w:rPr>
        <w:t>30</w:t>
      </w:r>
      <w:r w:rsidRPr="0050124F">
        <w:t xml:space="preserve"> del RR pendientes, las administraciones notificantes proponen a la CMR-23 que apruebe las siguientes medidas/propuestas:</w:t>
      </w:r>
    </w:p>
    <w:p w14:paraId="4B856419" w14:textId="77777777" w:rsidR="00463B5F" w:rsidRPr="0050124F" w:rsidRDefault="00463B5F" w:rsidP="00463B5F">
      <w:pPr>
        <w:pStyle w:val="enumlev2"/>
      </w:pPr>
      <w:r w:rsidRPr="001A6B8C">
        <w:t>a)</w:t>
      </w:r>
      <w:r w:rsidRPr="0050124F">
        <w:tab/>
        <w:t xml:space="preserve">que la administración notificante de un uso adicional (es decir, asignaciones de la Lista y/o redes pendientes del Artículo 4) acepte la posible interferencia causada a sus puntos de prueba ubicados dentro del contorno de ganancia de antena de –3 dB de la notificación correspondiente en virtud de la Resolución </w:t>
      </w:r>
      <w:r w:rsidRPr="0050124F">
        <w:rPr>
          <w:b/>
        </w:rPr>
        <w:t>559 (CMR-19)</w:t>
      </w:r>
      <w:r w:rsidRPr="0050124F">
        <w:t>, debido a que se trata ya de la elipse mínima validada por la Oficina;</w:t>
      </w:r>
    </w:p>
    <w:p w14:paraId="575E0113" w14:textId="77777777" w:rsidR="00463B5F" w:rsidRPr="0050124F" w:rsidRDefault="00463B5F" w:rsidP="00463B5F">
      <w:pPr>
        <w:pStyle w:val="enumlev2"/>
      </w:pPr>
      <w:r w:rsidRPr="0050124F">
        <w:lastRenderedPageBreak/>
        <w:t>b)</w:t>
      </w:r>
      <w:r w:rsidRPr="0050124F">
        <w:tab/>
        <w:t xml:space="preserve">que la administración notificante de un uso adicional (es decir, asignaciones de la Lista y/o redes pendientes del Artículo 4) acepte la posible interferencia causada a sus puntos de prueba ubicados más allá del contorno de ganancia de antena de –20 dB de la notificación correspondiente en virtud de la Resolución </w:t>
      </w:r>
      <w:r w:rsidRPr="0050124F">
        <w:rPr>
          <w:b/>
        </w:rPr>
        <w:t>559 (CMR-19)</w:t>
      </w:r>
      <w:r w:rsidRPr="0050124F">
        <w:t>;</w:t>
      </w:r>
    </w:p>
    <w:p w14:paraId="4C5C289E" w14:textId="77777777" w:rsidR="00463B5F" w:rsidRPr="0050124F" w:rsidRDefault="00463B5F" w:rsidP="00463B5F">
      <w:pPr>
        <w:pStyle w:val="enumlev2"/>
      </w:pPr>
      <w:r w:rsidRPr="0050124F">
        <w:t>c)</w:t>
      </w:r>
      <w:r w:rsidRPr="0050124F">
        <w:tab/>
        <w:t xml:space="preserve">si el margen de protección equivalente (MPE) de un punto de prueba de una red de uso adicional es inferior a −10 dB en el momento en que la Oficina examine la Parte A de las notificaciones en virtud de la Resolución </w:t>
      </w:r>
      <w:r w:rsidRPr="0050124F">
        <w:rPr>
          <w:b/>
        </w:rPr>
        <w:t>559 (CMR-19)</w:t>
      </w:r>
      <w:r w:rsidRPr="0050124F">
        <w:t xml:space="preserve">, la Oficina no deberá tener en cuenta ese punto de prueba al examinar la conclusión de la notificación en virtud de la Resolución </w:t>
      </w:r>
      <w:r w:rsidRPr="0050124F">
        <w:rPr>
          <w:b/>
        </w:rPr>
        <w:t>559 (CMR</w:t>
      </w:r>
      <w:r w:rsidRPr="0050124F">
        <w:rPr>
          <w:b/>
        </w:rPr>
        <w:noBreakHyphen/>
        <w:t>19)</w:t>
      </w:r>
      <w:r w:rsidRPr="0050124F">
        <w:t xml:space="preserve"> de que se trate;</w:t>
      </w:r>
    </w:p>
    <w:p w14:paraId="068F12C3" w14:textId="77777777" w:rsidR="00463B5F" w:rsidRPr="0050124F" w:rsidRDefault="00463B5F" w:rsidP="00463B5F">
      <w:pPr>
        <w:pStyle w:val="enumlev2"/>
      </w:pPr>
      <w:r w:rsidRPr="0050124F">
        <w:t>d)</w:t>
      </w:r>
      <w:r w:rsidRPr="0050124F">
        <w:tab/>
        <w:t xml:space="preserve">se considera que se ha completado una coordinación si la separación orbital nominal entre una notificación en virtud de la Resolución </w:t>
      </w:r>
      <w:r w:rsidRPr="0050124F">
        <w:rPr>
          <w:b/>
        </w:rPr>
        <w:t>559 (CMR-19)</w:t>
      </w:r>
      <w:r w:rsidRPr="0050124F">
        <w:t xml:space="preserve"> y una red de uso adicional es igual o superior a 6 grados.</w:t>
      </w:r>
    </w:p>
    <w:p w14:paraId="39CF82C1" w14:textId="77777777" w:rsidR="00463B5F" w:rsidRPr="0050124F" w:rsidRDefault="00463B5F" w:rsidP="00463B5F">
      <w:pPr>
        <w:pStyle w:val="enumlev1"/>
      </w:pPr>
      <w:r w:rsidRPr="0050124F">
        <w:t>3</w:t>
      </w:r>
      <w:r w:rsidRPr="0050124F">
        <w:tab/>
        <w:t xml:space="preserve">Con respecto a los casos de coordinación en virtud del § 4.1.1 e) del Apéndice </w:t>
      </w:r>
      <w:r w:rsidRPr="0050124F">
        <w:rPr>
          <w:b/>
          <w:bCs/>
        </w:rPr>
        <w:t>30</w:t>
      </w:r>
      <w:r w:rsidRPr="0050124F">
        <w:t xml:space="preserve"> pendientes, las administraciones notificantes proponen a la CMR-23 que apruebe las siguientes medidas/propuestas:</w:t>
      </w:r>
    </w:p>
    <w:p w14:paraId="68D7FDA1" w14:textId="77777777" w:rsidR="00463B5F" w:rsidRPr="0050124F" w:rsidRDefault="00463B5F" w:rsidP="00463B5F">
      <w:pPr>
        <w:pStyle w:val="enumlev2"/>
      </w:pPr>
      <w:r w:rsidRPr="0050124F">
        <w:t>a)</w:t>
      </w:r>
      <w:r w:rsidRPr="0050124F">
        <w:tab/>
        <w:t xml:space="preserve">se considera que se ha completado una coordinación si la separación orbital nominal entre una notificación en virtud de la Resolución </w:t>
      </w:r>
      <w:r w:rsidRPr="0050124F">
        <w:rPr>
          <w:b/>
        </w:rPr>
        <w:t>559 (CMR-19)</w:t>
      </w:r>
      <w:r w:rsidRPr="0050124F">
        <w:t xml:space="preserve"> y la red de satélites no planificada de que se trate es igual o superior a 6 grados;</w:t>
      </w:r>
    </w:p>
    <w:p w14:paraId="4129E952" w14:textId="2BB61286" w:rsidR="00463B5F" w:rsidRPr="0050124F" w:rsidRDefault="00463B5F" w:rsidP="00463B5F">
      <w:pPr>
        <w:pStyle w:val="enumlev2"/>
      </w:pPr>
      <w:r w:rsidRPr="0050124F">
        <w:t>b)</w:t>
      </w:r>
      <w:r w:rsidRPr="0050124F">
        <w:tab/>
        <w:t xml:space="preserve">la zona de servicio de una red de satélites no planificada que se tendrá en cuenta deberá estar en tierra y ubicada dentro del contorno de ganancia de antena de –3 dB de esa red de satélites no planificada, en lugar de la zona de servicio notificada, que puede incluir la zona con un contorno de ganancia de antena relativa muy baja. Se hace constar que la red de satélites no planificada </w:t>
      </w:r>
      <w:r w:rsidR="00DA5CAC" w:rsidRPr="0050124F">
        <w:t>sólo</w:t>
      </w:r>
      <w:r w:rsidRPr="0050124F">
        <w:t xml:space="preserve"> protege una notificación en virtud de la Resolución </w:t>
      </w:r>
      <w:r w:rsidRPr="0050124F">
        <w:rPr>
          <w:b/>
        </w:rPr>
        <w:t>559 (CMR-19)</w:t>
      </w:r>
      <w:r w:rsidRPr="0050124F">
        <w:t xml:space="preserve"> en una zona de servicio que esté situada en tierra y dentro del contorno de ganancia de antena de –3 dB;</w:t>
      </w:r>
    </w:p>
    <w:p w14:paraId="7FE8D4D6" w14:textId="77777777" w:rsidR="00463B5F" w:rsidRPr="0050124F" w:rsidRDefault="00463B5F" w:rsidP="00463B5F">
      <w:pPr>
        <w:pStyle w:val="enumlev2"/>
      </w:pPr>
      <w:r w:rsidRPr="0050124F">
        <w:t>c)</w:t>
      </w:r>
      <w:r w:rsidRPr="0050124F">
        <w:tab/>
        <w:t xml:space="preserve">si una administración acuerda no proteger la zona en la que se rebasa el límite de dfp (densidad de flujo de potencia), situada dentro de su territorio nacional, la Oficina no tendrá en cuenta esa parte de la zona de servicio al examinar los requisitos de coordinación restantes de una notificación en virtud de la Resolución </w:t>
      </w:r>
      <w:r w:rsidRPr="0050124F">
        <w:rPr>
          <w:b/>
        </w:rPr>
        <w:t>559 (CMR-19)</w:t>
      </w:r>
      <w:r w:rsidRPr="0050124F">
        <w:t>;</w:t>
      </w:r>
    </w:p>
    <w:p w14:paraId="223A2515" w14:textId="77777777" w:rsidR="00463B5F" w:rsidRPr="0050124F" w:rsidRDefault="00463B5F" w:rsidP="00463B5F">
      <w:pPr>
        <w:pStyle w:val="enumlev2"/>
      </w:pPr>
      <w:r w:rsidRPr="0050124F">
        <w:t>d)</w:t>
      </w:r>
      <w:r w:rsidRPr="0050124F">
        <w:tab/>
        <w:t xml:space="preserve">la administración notificante de una red de satélites no planificada aceptará las posibles interferencias causadas a su zona de servicio ubicada más allá del contorno de ganancia de antena de −20 dB de la notificación en virtud de la Resolución </w:t>
      </w:r>
      <w:r w:rsidRPr="0050124F">
        <w:rPr>
          <w:b/>
        </w:rPr>
        <w:t>559 (CMR-19)</w:t>
      </w:r>
      <w:r w:rsidRPr="0050124F">
        <w:t xml:space="preserve"> de que se trate.</w:t>
      </w:r>
    </w:p>
    <w:p w14:paraId="2BAD5C8A" w14:textId="77777777" w:rsidR="00463B5F" w:rsidRPr="0050124F" w:rsidRDefault="00463B5F" w:rsidP="00463B5F">
      <w:pPr>
        <w:pStyle w:val="enumlev1"/>
      </w:pPr>
      <w:r w:rsidRPr="0050124F">
        <w:t>4</w:t>
      </w:r>
      <w:r w:rsidRPr="0050124F">
        <w:tab/>
        <w:t xml:space="preserve">Con respecto a los casos de coordinación en virtud del § 4.1.1 b) del Apéndice </w:t>
      </w:r>
      <w:r w:rsidRPr="0050124F">
        <w:rPr>
          <w:b/>
        </w:rPr>
        <w:t>30A</w:t>
      </w:r>
      <w:r w:rsidRPr="0050124F">
        <w:t xml:space="preserve"> del RR pendientes, las administraciones notificantes proponen a la CMR-23 que apruebe que los casos de coordinación pendientes se consideren completados debido a que:</w:t>
      </w:r>
    </w:p>
    <w:p w14:paraId="34C3DFAB" w14:textId="77777777" w:rsidR="00463B5F" w:rsidRPr="0050124F" w:rsidRDefault="00463B5F" w:rsidP="00463B5F">
      <w:pPr>
        <w:pStyle w:val="enumlev2"/>
      </w:pPr>
      <w:r w:rsidRPr="0050124F">
        <w:t>a)</w:t>
      </w:r>
      <w:r w:rsidRPr="0050124F">
        <w:tab/>
        <w:t xml:space="preserve">las redes de satélites del artículo 4 tienen una cobertura muy amplia con una sensibilidad en recepción muy alta en el territorio nacional de la administración de que se trate en el marco de la Resolución </w:t>
      </w:r>
      <w:r w:rsidRPr="0050124F">
        <w:rPr>
          <w:b/>
        </w:rPr>
        <w:t>559 (CMR-19)</w:t>
      </w:r>
      <w:r w:rsidRPr="0050124F">
        <w:t>;</w:t>
      </w:r>
    </w:p>
    <w:p w14:paraId="59686C2D" w14:textId="00E0A393" w:rsidR="00463B5F" w:rsidRPr="0050124F" w:rsidRDefault="00463B5F" w:rsidP="00463B5F">
      <w:pPr>
        <w:pStyle w:val="enumlev2"/>
      </w:pPr>
      <w:r w:rsidRPr="0050124F">
        <w:t>b)</w:t>
      </w:r>
      <w:r w:rsidRPr="0050124F">
        <w:tab/>
        <w:t xml:space="preserve">las zonas de cobertura de esas redes de satélites del artículo 4 se extienden mucho más allá del territorio nacional de las administraciones notificantes, mientras que las estaciones terrenas de enlace de conexión de la notificación en virtud de la Resolución </w:t>
      </w:r>
      <w:r w:rsidRPr="0050124F">
        <w:rPr>
          <w:b/>
        </w:rPr>
        <w:t>559 (CMR-19)</w:t>
      </w:r>
      <w:r w:rsidRPr="0050124F">
        <w:t xml:space="preserve"> de que se trate </w:t>
      </w:r>
      <w:r w:rsidR="00DA5CAC" w:rsidRPr="0050124F">
        <w:t>sólo</w:t>
      </w:r>
      <w:r w:rsidRPr="0050124F">
        <w:t xml:space="preserve"> están ubicadas dentro del territorio nacional, y esa zona no puede reducirse más;</w:t>
      </w:r>
    </w:p>
    <w:p w14:paraId="160AD803" w14:textId="77777777" w:rsidR="00463B5F" w:rsidRPr="0050124F" w:rsidRDefault="00463B5F" w:rsidP="00463B5F">
      <w:pPr>
        <w:pStyle w:val="enumlev2"/>
      </w:pPr>
      <w:r w:rsidRPr="0050124F">
        <w:lastRenderedPageBreak/>
        <w:t>c)</w:t>
      </w:r>
      <w:r w:rsidRPr="0050124F">
        <w:tab/>
        <w:t xml:space="preserve">el objetivo de la Resolución </w:t>
      </w:r>
      <w:r w:rsidRPr="0050124F">
        <w:rPr>
          <w:b/>
        </w:rPr>
        <w:t>2 (Rev.CMR-03)</w:t>
      </w:r>
      <w:r w:rsidRPr="0050124F">
        <w:t xml:space="preserve"> y el punto 7 del orden del día de la CMR-23, tema F.</w:t>
      </w:r>
    </w:p>
    <w:p w14:paraId="390DA084" w14:textId="77777777" w:rsidR="00463B5F" w:rsidRPr="0050124F" w:rsidRDefault="00463B5F" w:rsidP="00463B5F">
      <w:pPr>
        <w:pStyle w:val="enumlev1"/>
      </w:pPr>
      <w:r w:rsidRPr="0050124F">
        <w:t>5</w:t>
      </w:r>
      <w:r w:rsidRPr="0050124F">
        <w:tab/>
        <w:t xml:space="preserve">Con respecto a los casos de coordinación en virtud del § 4.1.1 a) de los Apéndices </w:t>
      </w:r>
      <w:r w:rsidRPr="0050124F">
        <w:rPr>
          <w:b/>
        </w:rPr>
        <w:t>30</w:t>
      </w:r>
      <w:r w:rsidRPr="0050124F">
        <w:t xml:space="preserve"> y </w:t>
      </w:r>
      <w:r w:rsidRPr="0050124F">
        <w:rPr>
          <w:b/>
        </w:rPr>
        <w:t>30A</w:t>
      </w:r>
      <w:r w:rsidRPr="0050124F">
        <w:t xml:space="preserve"> del RR pendientes 30A, las administraciones notificantes proponen a la CMR-23 que apruebe las siguientes medidas/propuestas:</w:t>
      </w:r>
    </w:p>
    <w:p w14:paraId="5AD3AEFC" w14:textId="77777777" w:rsidR="00463B5F" w:rsidRPr="0050124F" w:rsidRDefault="00463B5F" w:rsidP="00463B5F">
      <w:pPr>
        <w:pStyle w:val="enumlev2"/>
      </w:pPr>
      <w:r w:rsidRPr="0050124F">
        <w:t>a)</w:t>
      </w:r>
      <w:r w:rsidRPr="0050124F">
        <w:tab/>
        <w:t xml:space="preserve">respecto de las asignaciones multihaces del Plan, si los valores de la relación </w:t>
      </w:r>
      <w:r w:rsidRPr="0050124F">
        <w:rPr>
          <w:i/>
        </w:rPr>
        <w:t>C/I</w:t>
      </w:r>
      <w:r w:rsidRPr="0050124F">
        <w:t xml:space="preserve"> de una sola fuente del enlace descendente superan los 21 dB, excepto para un punto de prueba en el que la relación </w:t>
      </w:r>
      <w:r w:rsidRPr="0050124F">
        <w:rPr>
          <w:i/>
        </w:rPr>
        <w:t>C/I</w:t>
      </w:r>
      <w:r w:rsidRPr="0050124F">
        <w:t xml:space="preserve"> de una sola fuente supera los 18 dB, las notificaciones en virtud de la Resolución </w:t>
      </w:r>
      <w:r w:rsidRPr="0050124F">
        <w:rPr>
          <w:b/>
        </w:rPr>
        <w:t>559 (CMR-19)</w:t>
      </w:r>
      <w:r w:rsidRPr="0050124F">
        <w:t xml:space="preserve"> y las correspondientes asignaciones de frecuencias del Plan de las Regiones 1 y 3 se consideran compatibles. En relación con estos casos compatibles, a fin de conservar el mismo nivel de protección de las asignaciones de frecuencias del Plan de las Regiones 1 y 3 correspondientes a las notificaciones recibidas con arreglo al Artículo 4, no deberá actualizarse la situación de referencia de esas asignaciones de frecuencias del Plan de las Regiones 1 y 3 si las asignaciones de frecuencias de la Resolución </w:t>
      </w:r>
      <w:r w:rsidRPr="0050124F">
        <w:rPr>
          <w:b/>
        </w:rPr>
        <w:t>559 (CMR-19)</w:t>
      </w:r>
      <w:r w:rsidRPr="0050124F">
        <w:t xml:space="preserve"> que figuran en la Lista se incluyen en los Planes.</w:t>
      </w:r>
    </w:p>
    <w:p w14:paraId="05ECDAE2" w14:textId="77777777" w:rsidR="00463B5F" w:rsidRPr="0050124F" w:rsidRDefault="00463B5F" w:rsidP="00463B5F">
      <w:pPr>
        <w:pStyle w:val="enumlev2"/>
      </w:pPr>
      <w:r w:rsidRPr="0050124F">
        <w:t>b)</w:t>
      </w:r>
      <w:r w:rsidRPr="0050124F">
        <w:tab/>
        <w:t xml:space="preserve">En cuanto a las asignaciones multihaces del Plan, si los valores de la relación </w:t>
      </w:r>
      <w:r w:rsidRPr="0050124F">
        <w:rPr>
          <w:i/>
        </w:rPr>
        <w:t>C/I</w:t>
      </w:r>
      <w:r w:rsidRPr="0050124F">
        <w:t xml:space="preserve"> de una sola fuente del enlace de conexión superan los 27 dB, las notificaciones en virtud de la Resolución </w:t>
      </w:r>
      <w:r w:rsidRPr="0050124F">
        <w:rPr>
          <w:b/>
        </w:rPr>
        <w:t>559 (CMR-19)</w:t>
      </w:r>
      <w:r w:rsidRPr="0050124F">
        <w:t xml:space="preserve"> y las correspondientes asignaciones de frecuencias del Plan de las Regiones 1 y 3 se consideran compatibles. En relación con estos casos compatibles, a fin de conservar el mismo nivel de protección de las asignaciones de frecuencias del Plan de las Regiones 1 y 3 correspondientes a las notificaciones recibidas con arreglo al Artículo 4, no deberá actualizarse la situación de referencia de esas asignaciones de frecuencias del Plan de las Regiones 1 y 3 si las asignaciones de frecuencias de la Resolución </w:t>
      </w:r>
      <w:r w:rsidRPr="0050124F">
        <w:rPr>
          <w:b/>
        </w:rPr>
        <w:t>559 (CMR-19)</w:t>
      </w:r>
      <w:r w:rsidRPr="0050124F">
        <w:t xml:space="preserve"> que figuran en la Lista se incluyen en los Planes.</w:t>
      </w:r>
    </w:p>
    <w:p w14:paraId="6A95C1B4" w14:textId="77777777" w:rsidR="00463B5F" w:rsidRPr="0050124F" w:rsidRDefault="00463B5F" w:rsidP="00463B5F">
      <w:pPr>
        <w:pStyle w:val="enumlev1"/>
      </w:pPr>
      <w:r w:rsidRPr="0050124F">
        <w:t>6</w:t>
      </w:r>
      <w:r w:rsidRPr="0050124F">
        <w:tab/>
        <w:t>La Oficina:</w:t>
      </w:r>
    </w:p>
    <w:p w14:paraId="0E34F9AD" w14:textId="453600DD" w:rsidR="00463B5F" w:rsidRPr="0050124F" w:rsidRDefault="00463B5F" w:rsidP="00463B5F">
      <w:pPr>
        <w:pStyle w:val="enumlev2"/>
      </w:pPr>
      <w:r w:rsidRPr="0050124F">
        <w:t>a)</w:t>
      </w:r>
      <w:r w:rsidRPr="0050124F">
        <w:tab/>
        <w:t xml:space="preserve">Examinará la situación de todos los casos de coordinación pendientes teniendo en cuenta todas las propuestas mencionadas, incluidas las de la RRB y la BR. En este sentido, con respecto a los casos de coordinación en virtud del § 4.1.1 b) del Apéndice </w:t>
      </w:r>
      <w:r w:rsidRPr="0050124F">
        <w:rPr>
          <w:b/>
          <w:bCs/>
        </w:rPr>
        <w:t>30</w:t>
      </w:r>
      <w:r w:rsidRPr="0050124F">
        <w:t xml:space="preserve"> del RR pendientes, si tras tener en cuenta todas las propuestas mencionadas </w:t>
      </w:r>
      <w:r w:rsidR="00DA5CAC" w:rsidRPr="0050124F">
        <w:t>sólo</w:t>
      </w:r>
      <w:r w:rsidRPr="0050124F">
        <w:t xml:space="preserve"> queda un punto de prueba potencialmente afectado, la coordinación se considerará completada.</w:t>
      </w:r>
    </w:p>
    <w:p w14:paraId="215B08D0" w14:textId="77777777" w:rsidR="00463B5F" w:rsidRPr="0050124F" w:rsidRDefault="00463B5F" w:rsidP="00463B5F">
      <w:pPr>
        <w:pStyle w:val="enumlev2"/>
      </w:pPr>
      <w:r w:rsidRPr="0050124F">
        <w:t>b)</w:t>
      </w:r>
      <w:r w:rsidRPr="0050124F">
        <w:tab/>
        <w:t xml:space="preserve">Aplicará todas las medidas refrendadas por la CMR-23 a las notificaciones en virtud de la Resolución </w:t>
      </w:r>
      <w:r w:rsidRPr="0050124F">
        <w:rPr>
          <w:b/>
        </w:rPr>
        <w:t>559</w:t>
      </w:r>
      <w:r w:rsidRPr="0050124F">
        <w:t xml:space="preserve"> </w:t>
      </w:r>
      <w:r w:rsidRPr="0050124F">
        <w:rPr>
          <w:b/>
        </w:rPr>
        <w:t>(CMR</w:t>
      </w:r>
      <w:r w:rsidRPr="0050124F">
        <w:rPr>
          <w:b/>
        </w:rPr>
        <w:noBreakHyphen/>
        <w:t>19)</w:t>
      </w:r>
      <w:r w:rsidRPr="0050124F">
        <w:t xml:space="preserve"> de las administraciones de Afganistán, Guinea Ecuatorial, Malta y Seychelles y a las futuras aplicaciones de los §§ 4.1.26 ó 4.1.27 del Artículo 4 de los Apéndices </w:t>
      </w:r>
      <w:r w:rsidRPr="0050124F">
        <w:rPr>
          <w:b/>
        </w:rPr>
        <w:t>30</w:t>
      </w:r>
      <w:r w:rsidRPr="0050124F">
        <w:t xml:space="preserve"> y </w:t>
      </w:r>
      <w:r w:rsidRPr="0050124F">
        <w:rPr>
          <w:b/>
        </w:rPr>
        <w:t>30A</w:t>
      </w:r>
      <w:r w:rsidRPr="0050124F">
        <w:t xml:space="preserve"> del RR, que tiene la misma naturaleza que la Resolución </w:t>
      </w:r>
      <w:r w:rsidRPr="0050124F">
        <w:rPr>
          <w:b/>
        </w:rPr>
        <w:t>559 (CMR-19)</w:t>
      </w:r>
      <w:r w:rsidRPr="0050124F">
        <w:t>.</w:t>
      </w:r>
    </w:p>
    <w:p w14:paraId="3C6DD86C" w14:textId="77777777" w:rsidR="00463B5F" w:rsidRPr="0050124F" w:rsidRDefault="00463B5F" w:rsidP="00463B5F">
      <w:pPr>
        <w:pStyle w:val="Reasons"/>
      </w:pPr>
    </w:p>
    <w:p w14:paraId="5D147E4D" w14:textId="77777777" w:rsidR="00463B5F" w:rsidRPr="0050124F" w:rsidRDefault="00463B5F" w:rsidP="00463B5F">
      <w:pPr>
        <w:jc w:val="center"/>
      </w:pPr>
      <w:r w:rsidRPr="0050124F">
        <w:t>______________</w:t>
      </w:r>
    </w:p>
    <w:sectPr w:rsidR="00463B5F" w:rsidRPr="0050124F">
      <w:headerReference w:type="default" r:id="rId15"/>
      <w:footerReference w:type="even" r:id="rId16"/>
      <w:footerReference w:type="default" r:id="rId17"/>
      <w:footerReference w:type="first" r:id="rId18"/>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1A67" w14:textId="77777777" w:rsidR="00666B37" w:rsidRDefault="00666B37">
      <w:r>
        <w:separator/>
      </w:r>
    </w:p>
  </w:endnote>
  <w:endnote w:type="continuationSeparator" w:id="0">
    <w:p w14:paraId="2657433A" w14:textId="77777777" w:rsidR="00666B37" w:rsidRDefault="0066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9D49"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64A62D" w14:textId="5E47BB39"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1A6B8C">
      <w:rPr>
        <w:noProof/>
      </w:rPr>
      <w:t>01.11.23</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000A" w14:textId="2EB14C24" w:rsidR="0077084A" w:rsidRDefault="007855D0" w:rsidP="00DA5CAC">
    <w:pPr>
      <w:pStyle w:val="Footer"/>
      <w:rPr>
        <w:lang w:val="en-US"/>
      </w:rPr>
    </w:pPr>
    <w:r>
      <w:fldChar w:fldCharType="begin"/>
    </w:r>
    <w:r>
      <w:instrText xml:space="preserve"> FILENAME \p  \* MERGEFORMAT </w:instrText>
    </w:r>
    <w:r>
      <w:fldChar w:fldCharType="separate"/>
    </w:r>
    <w:r w:rsidR="00DA5CAC">
      <w:t>P:\ESP\ITU-R\CONF-R\CMR23\000\087ADD25S.docx</w:t>
    </w:r>
    <w:r>
      <w:fldChar w:fldCharType="end"/>
    </w:r>
    <w:r w:rsidR="00DA5CAC">
      <w:t xml:space="preserve"> (530017)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3954D" w14:textId="77777777" w:rsidR="0077084A" w:rsidRDefault="0077084A" w:rsidP="00B47331">
    <w:pPr>
      <w:pStyle w:val="Footer"/>
      <w:rPr>
        <w:lang w:val="en-US"/>
      </w:rPr>
    </w:pPr>
    <w:r>
      <w:fldChar w:fldCharType="begin"/>
    </w:r>
    <w:r>
      <w:rPr>
        <w:lang w:val="en-US"/>
      </w:rPr>
      <w:instrText xml:space="preserve"> FILENAME \p  \* MERGEFORMAT </w:instrText>
    </w:r>
    <w:r>
      <w:fldChar w:fldCharType="separate"/>
    </w:r>
    <w:r w:rsidR="0090121B">
      <w:rPr>
        <w:lang w:val="en-US"/>
      </w:rPr>
      <w:t>Document2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33689" w14:textId="77777777" w:rsidR="00666B37" w:rsidRDefault="00666B37">
      <w:r>
        <w:rPr>
          <w:b/>
        </w:rPr>
        <w:t>_______________</w:t>
      </w:r>
    </w:p>
  </w:footnote>
  <w:footnote w:type="continuationSeparator" w:id="0">
    <w:p w14:paraId="6DB01379" w14:textId="77777777" w:rsidR="00666B37" w:rsidRDefault="00666B37">
      <w:r>
        <w:continuationSeparator/>
      </w:r>
    </w:p>
  </w:footnote>
  <w:footnote w:id="1">
    <w:p w14:paraId="6C857731" w14:textId="77777777" w:rsidR="00F417B8" w:rsidRPr="00E878C0" w:rsidRDefault="00F417B8" w:rsidP="00822E96">
      <w:pPr>
        <w:pStyle w:val="FootnoteText"/>
        <w:rPr>
          <w:lang w:val="es-ES"/>
        </w:rPr>
      </w:pPr>
      <w:r>
        <w:rPr>
          <w:rStyle w:val="FootnoteReference"/>
        </w:rPr>
        <w:t>1</w:t>
      </w:r>
      <w:r>
        <w:tab/>
      </w:r>
      <w:r w:rsidRPr="00C84966">
        <w:t>Este punto del orden del día se limita estrictamente al Informe del Director, en relación con las dificultades o incoherencias observadas en la aplicación del Reglamento de Radiocomunicaciones y las observaciones de las administraciones.</w:t>
      </w:r>
      <w:r>
        <w:t xml:space="preserve"> </w:t>
      </w:r>
      <w:r w:rsidRPr="00E878C0">
        <w:t xml:space="preserve">Se invita a las administraciones a que informen </w:t>
      </w:r>
      <w:r>
        <w:t>a</w:t>
      </w:r>
      <w:r w:rsidRPr="00E878C0">
        <w:t xml:space="preserve">l Director de la Oficina de </w:t>
      </w:r>
      <w:r>
        <w:t>R</w:t>
      </w:r>
      <w:r w:rsidRPr="00E878C0">
        <w:t xml:space="preserve">adiocomunicaciones de </w:t>
      </w:r>
      <w:r>
        <w:t>las dificultades o incoherencias observadas en el Reglamento de Radiocomunicaciones.</w:t>
      </w:r>
    </w:p>
  </w:footnote>
  <w:footnote w:id="2">
    <w:p w14:paraId="763E2C5B" w14:textId="77777777" w:rsidR="00463B5F" w:rsidRPr="00D31FC0" w:rsidRDefault="00463B5F" w:rsidP="00463B5F">
      <w:pPr>
        <w:pStyle w:val="FootnoteText"/>
      </w:pPr>
      <w:r>
        <w:rPr>
          <w:rStyle w:val="FootnoteReference"/>
        </w:rPr>
        <w:footnoteRef/>
      </w:r>
      <w:r>
        <w:tab/>
        <w:t xml:space="preserve">Las notificaciones presentadas en virtud de la Resolución </w:t>
      </w:r>
      <w:r>
        <w:rPr>
          <w:b/>
          <w:bCs/>
        </w:rPr>
        <w:t>559 (CMR-19)</w:t>
      </w:r>
      <w:r>
        <w:t xml:space="preserve"> y en virtud del Artículo 4 de los Apéndices </w:t>
      </w:r>
      <w:r>
        <w:rPr>
          <w:b/>
          <w:bCs/>
        </w:rPr>
        <w:t>30</w:t>
      </w:r>
      <w:r>
        <w:t xml:space="preserve"> y </w:t>
      </w:r>
      <w:r>
        <w:rPr>
          <w:b/>
          <w:bCs/>
        </w:rPr>
        <w:t>30A</w:t>
      </w:r>
      <w:r>
        <w:t xml:space="preserve"> de las Administraciones de Madagascar, Mauricio y Seychelles se denominan colectivamente </w:t>
      </w:r>
      <w:bookmarkStart w:id="6" w:name="_Hlk149141561"/>
      <w:r>
        <w:t xml:space="preserve">notificaciones de la Resolución </w:t>
      </w:r>
      <w:r>
        <w:rPr>
          <w:b/>
        </w:rPr>
        <w:t>559 (CMR-19)</w:t>
      </w:r>
      <w:bookmarkEnd w:id="6"/>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CE61F"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31F4FEB7" w14:textId="77777777" w:rsidR="0077084A" w:rsidRDefault="000A2A7D" w:rsidP="00C44E9E">
    <w:pPr>
      <w:pStyle w:val="Header"/>
      <w:rPr>
        <w:lang w:val="en-US"/>
      </w:rPr>
    </w:pPr>
    <w:r>
      <w:rPr>
        <w:lang w:val="en-US"/>
      </w:rPr>
      <w:t>WRC</w:t>
    </w:r>
    <w:r w:rsidR="004D2749">
      <w:rPr>
        <w:lang w:val="en-US"/>
      </w:rPr>
      <w:t>23</w:t>
    </w:r>
    <w:r w:rsidR="008750A8">
      <w:rPr>
        <w:lang w:val="en-US"/>
      </w:rPr>
      <w:t>/</w:t>
    </w:r>
    <w:r w:rsidR="00702F3D">
      <w:t>87(Add.25)-</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16cid:durableId="1472553359">
    <w:abstractNumId w:val="8"/>
  </w:num>
  <w:num w:numId="2" w16cid:durableId="65341020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48168945">
    <w:abstractNumId w:val="9"/>
  </w:num>
  <w:num w:numId="4" w16cid:durableId="2140298501">
    <w:abstractNumId w:val="7"/>
  </w:num>
  <w:num w:numId="5" w16cid:durableId="2117209468">
    <w:abstractNumId w:val="6"/>
  </w:num>
  <w:num w:numId="6" w16cid:durableId="1073891027">
    <w:abstractNumId w:val="5"/>
  </w:num>
  <w:num w:numId="7" w16cid:durableId="303462836">
    <w:abstractNumId w:val="4"/>
  </w:num>
  <w:num w:numId="8" w16cid:durableId="407534131">
    <w:abstractNumId w:val="3"/>
  </w:num>
  <w:num w:numId="9" w16cid:durableId="1085682889">
    <w:abstractNumId w:val="2"/>
  </w:num>
  <w:num w:numId="10" w16cid:durableId="915094749">
    <w:abstractNumId w:val="1"/>
  </w:num>
  <w:num w:numId="11" w16cid:durableId="1267615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intFractionalCharacterWidth/>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91054"/>
    <w:rsid w:val="000A2A7D"/>
    <w:rsid w:val="000A5B9A"/>
    <w:rsid w:val="000A5BDD"/>
    <w:rsid w:val="000D51C0"/>
    <w:rsid w:val="000E5BF9"/>
    <w:rsid w:val="000F0E6D"/>
    <w:rsid w:val="00121170"/>
    <w:rsid w:val="00123CC5"/>
    <w:rsid w:val="0015142D"/>
    <w:rsid w:val="001616DC"/>
    <w:rsid w:val="00163962"/>
    <w:rsid w:val="00191A97"/>
    <w:rsid w:val="0019729C"/>
    <w:rsid w:val="001A083F"/>
    <w:rsid w:val="001A6B8C"/>
    <w:rsid w:val="001C41FA"/>
    <w:rsid w:val="001E2B52"/>
    <w:rsid w:val="001E3F27"/>
    <w:rsid w:val="001E7D42"/>
    <w:rsid w:val="0023659C"/>
    <w:rsid w:val="00236D2A"/>
    <w:rsid w:val="0024569E"/>
    <w:rsid w:val="00255F12"/>
    <w:rsid w:val="00262C09"/>
    <w:rsid w:val="002A791F"/>
    <w:rsid w:val="002C1A52"/>
    <w:rsid w:val="002C1B26"/>
    <w:rsid w:val="002C5D6C"/>
    <w:rsid w:val="002E701F"/>
    <w:rsid w:val="002F309E"/>
    <w:rsid w:val="003248A9"/>
    <w:rsid w:val="00324FFA"/>
    <w:rsid w:val="0032680B"/>
    <w:rsid w:val="00363A65"/>
    <w:rsid w:val="00365036"/>
    <w:rsid w:val="003B1E8C"/>
    <w:rsid w:val="003C0613"/>
    <w:rsid w:val="003C2508"/>
    <w:rsid w:val="003D0AA3"/>
    <w:rsid w:val="003E2086"/>
    <w:rsid w:val="003E26F1"/>
    <w:rsid w:val="003F7F66"/>
    <w:rsid w:val="00440B3A"/>
    <w:rsid w:val="0044375A"/>
    <w:rsid w:val="0045384C"/>
    <w:rsid w:val="00454553"/>
    <w:rsid w:val="00463B5F"/>
    <w:rsid w:val="00472A86"/>
    <w:rsid w:val="004A5852"/>
    <w:rsid w:val="004B124A"/>
    <w:rsid w:val="004B3095"/>
    <w:rsid w:val="004D2749"/>
    <w:rsid w:val="004D2C7C"/>
    <w:rsid w:val="0050124F"/>
    <w:rsid w:val="005133B5"/>
    <w:rsid w:val="00524392"/>
    <w:rsid w:val="00532097"/>
    <w:rsid w:val="0058350F"/>
    <w:rsid w:val="00583C7E"/>
    <w:rsid w:val="0059098E"/>
    <w:rsid w:val="005D46FB"/>
    <w:rsid w:val="005F2605"/>
    <w:rsid w:val="005F3317"/>
    <w:rsid w:val="005F3B0E"/>
    <w:rsid w:val="005F3DB8"/>
    <w:rsid w:val="005F559C"/>
    <w:rsid w:val="00602857"/>
    <w:rsid w:val="006124AD"/>
    <w:rsid w:val="00624009"/>
    <w:rsid w:val="00662BA0"/>
    <w:rsid w:val="00666B37"/>
    <w:rsid w:val="0067344B"/>
    <w:rsid w:val="00684A94"/>
    <w:rsid w:val="00692AAE"/>
    <w:rsid w:val="006C0E38"/>
    <w:rsid w:val="006D6E67"/>
    <w:rsid w:val="006E1A13"/>
    <w:rsid w:val="00701C20"/>
    <w:rsid w:val="00702F3D"/>
    <w:rsid w:val="0070518E"/>
    <w:rsid w:val="007354E9"/>
    <w:rsid w:val="007424E8"/>
    <w:rsid w:val="0074579D"/>
    <w:rsid w:val="00765578"/>
    <w:rsid w:val="00766333"/>
    <w:rsid w:val="0077084A"/>
    <w:rsid w:val="007855D0"/>
    <w:rsid w:val="007952C7"/>
    <w:rsid w:val="007A7495"/>
    <w:rsid w:val="007C0B95"/>
    <w:rsid w:val="007C2317"/>
    <w:rsid w:val="007D330A"/>
    <w:rsid w:val="0080079E"/>
    <w:rsid w:val="008504C2"/>
    <w:rsid w:val="00866AE6"/>
    <w:rsid w:val="008750A8"/>
    <w:rsid w:val="008D3316"/>
    <w:rsid w:val="008E5AF2"/>
    <w:rsid w:val="0090121B"/>
    <w:rsid w:val="009144C9"/>
    <w:rsid w:val="0094091F"/>
    <w:rsid w:val="00962171"/>
    <w:rsid w:val="00973754"/>
    <w:rsid w:val="009C0BED"/>
    <w:rsid w:val="009E11EC"/>
    <w:rsid w:val="00A021CC"/>
    <w:rsid w:val="00A118DB"/>
    <w:rsid w:val="00A4450C"/>
    <w:rsid w:val="00AA5E6C"/>
    <w:rsid w:val="00AC49B1"/>
    <w:rsid w:val="00AE5677"/>
    <w:rsid w:val="00AE658F"/>
    <w:rsid w:val="00AF2F78"/>
    <w:rsid w:val="00B239FA"/>
    <w:rsid w:val="00B372AB"/>
    <w:rsid w:val="00B47331"/>
    <w:rsid w:val="00B52D55"/>
    <w:rsid w:val="00B8288C"/>
    <w:rsid w:val="00B86034"/>
    <w:rsid w:val="00BE2E80"/>
    <w:rsid w:val="00BE5EDD"/>
    <w:rsid w:val="00BE6A1F"/>
    <w:rsid w:val="00C126C4"/>
    <w:rsid w:val="00C44E9E"/>
    <w:rsid w:val="00C63EB5"/>
    <w:rsid w:val="00C87DA7"/>
    <w:rsid w:val="00CA4945"/>
    <w:rsid w:val="00CC01E0"/>
    <w:rsid w:val="00CD5FEE"/>
    <w:rsid w:val="00CE60D2"/>
    <w:rsid w:val="00CE7431"/>
    <w:rsid w:val="00D00CA8"/>
    <w:rsid w:val="00D0288A"/>
    <w:rsid w:val="00D72A5D"/>
    <w:rsid w:val="00DA5CAC"/>
    <w:rsid w:val="00DA71A3"/>
    <w:rsid w:val="00DC1922"/>
    <w:rsid w:val="00DC629B"/>
    <w:rsid w:val="00DE1C31"/>
    <w:rsid w:val="00E05BFF"/>
    <w:rsid w:val="00E262F1"/>
    <w:rsid w:val="00E3176A"/>
    <w:rsid w:val="00E36CE4"/>
    <w:rsid w:val="00E54754"/>
    <w:rsid w:val="00E56BD3"/>
    <w:rsid w:val="00E71D14"/>
    <w:rsid w:val="00EA77F0"/>
    <w:rsid w:val="00F32316"/>
    <w:rsid w:val="00F417B8"/>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2EF601B"/>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
    <w:basedOn w:val="DefaultParagraphFont"/>
    <w:qFormat/>
    <w:rPr>
      <w:position w:val="6"/>
      <w:sz w:val="18"/>
    </w:rPr>
  </w:style>
  <w:style w:type="paragraph" w:styleId="FootnoteText">
    <w:name w:val="footnote text"/>
    <w:aliases w:val="ACMA Footnote Text,footnote text,ALTS FOOTNOTE,Footnote Text Char1,Footnote Text Char Char1,Footnote Text Char4 Char Char,Footnote Text Char1 Char1 Char1 Char,Footnote Text Char Char1 Char1 Char Char,DNV,Char,DNV-FT,DNV-,ECC Footnote,fn"/>
    <w:basedOn w:val="Normal"/>
    <w:link w:val="FootnoteTextChar"/>
    <w:qFormat/>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paragraph" w:customStyle="1" w:styleId="VolumeTitle0">
    <w:name w:val="VolumeTitle"/>
    <w:basedOn w:val="Normal"/>
    <w:next w:val="Normal"/>
    <w:rsid w:val="002A2086"/>
    <w:pPr>
      <w:tabs>
        <w:tab w:val="clear" w:pos="1134"/>
        <w:tab w:val="clear" w:pos="1871"/>
        <w:tab w:val="clear" w:pos="2268"/>
      </w:tabs>
      <w:overflowPunct/>
      <w:autoSpaceDE/>
      <w:autoSpaceDN/>
      <w:adjustRightInd/>
      <w:spacing w:before="0" w:after="200" w:line="276" w:lineRule="auto"/>
      <w:jc w:val="center"/>
      <w:textAlignment w:val="auto"/>
    </w:pPr>
    <w:rPr>
      <w:rFonts w:asciiTheme="minorHAnsi" w:eastAsiaTheme="minorEastAsia" w:hAnsiTheme="minorHAnsi" w:cstheme="minorBidi"/>
      <w:b/>
      <w:bCs/>
      <w:sz w:val="32"/>
      <w:szCs w:val="32"/>
      <w:lang w:val="en-US" w:eastAsia="zh-CN"/>
    </w:rPr>
  </w:style>
  <w:style w:type="character" w:styleId="Hyperlink">
    <w:name w:val="Hyperlink"/>
    <w:basedOn w:val="DefaultParagraphFont"/>
    <w:uiPriority w:val="99"/>
    <w:semiHidden/>
    <w:unhideWhenUsed/>
    <w:rPr>
      <w:color w:val="0000FF" w:themeColor="hyperlink"/>
      <w:u w:val="single"/>
    </w:rPr>
  </w:style>
  <w:style w:type="character" w:customStyle="1" w:styleId="FootnoteTextChar">
    <w:name w:val="Footnote Text Char"/>
    <w:aliases w:val="ACMA Footnote Text Char,footnote text Char,ALTS FOOTNOTE Char,Footnote Text Char1 Char,Footnote Text Char Char1 Char,Footnote Text Char4 Char Char Char,Footnote Text Char1 Char1 Char1 Char Char,DNV Char,Char Char,DNV-FT Char,DNV- Char"/>
    <w:basedOn w:val="DefaultParagraphFont"/>
    <w:link w:val="FootnoteText"/>
    <w:rsid w:val="00463B5F"/>
    <w:rPr>
      <w:rFonts w:ascii="Times New Roman" w:hAnsi="Times New Roman"/>
      <w:sz w:val="24"/>
      <w:lang w:val="es-ES_tradnl" w:eastAsia="en-US"/>
    </w:rPr>
  </w:style>
  <w:style w:type="paragraph" w:customStyle="1" w:styleId="Tablefin">
    <w:name w:val="Table_fin"/>
    <w:basedOn w:val="Tabletext"/>
    <w:qFormat/>
    <w:rsid w:val="00463B5F"/>
    <w:pPr>
      <w:spacing w:before="0" w:after="0"/>
    </w:pPr>
    <w:rPr>
      <w:lang w:val="es-ES"/>
    </w:rPr>
  </w:style>
  <w:style w:type="table" w:styleId="TableGrid">
    <w:name w:val="Table Grid"/>
    <w:basedOn w:val="TableNormal"/>
    <w:rsid w:val="00463B5F"/>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R23-WRC23-C-0087!A25!MSW-S</DPM_x0020_File_x0020_name>
    <DPM_x0020_Author xmlns="32a1a8c5-2265-4ebc-b7a0-2071e2c5c9bb" xsi:nil="false">DPM</DPM_x0020_Author>
    <DPM_x0020_Version xmlns="32a1a8c5-2265-4ebc-b7a0-2071e2c5c9bb" xsi:nil="false">DPM_2022.05.12.01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857E1-C979-42C8-80FC-C762DD4F02D6}">
  <ds:schemaRefs>
    <ds:schemaRef ds:uri="http://schemas.microsoft.com/sharepoint/v3/contenttype/forms"/>
  </ds:schemaRefs>
</ds:datastoreItem>
</file>

<file path=customXml/itemProps2.xml><?xml version="1.0" encoding="utf-8"?>
<ds:datastoreItem xmlns:ds="http://schemas.openxmlformats.org/officeDocument/2006/customXml" ds:itemID="{B8213CBB-6E8A-49AA-BD0C-E2EA624D47DA}">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7EC6085D-5B1C-436F-A972-07FB1AB10267}">
  <ds:schemaRefs>
    <ds:schemaRef ds:uri="http://schemas.microsoft.com/sharepoint/events"/>
  </ds:schemaRefs>
</ds:datastoreItem>
</file>

<file path=customXml/itemProps4.xml><?xml version="1.0" encoding="utf-8"?>
<ds:datastoreItem xmlns:ds="http://schemas.openxmlformats.org/officeDocument/2006/customXml" ds:itemID="{C7EEB83B-B196-40BB-B1DF-90B5558B6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A77A30-2D7A-4526-895C-6AFAB191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2896</Words>
  <Characters>14735</Characters>
  <Application>Microsoft Office Word</Application>
  <DocSecurity>0</DocSecurity>
  <Lines>122</Lines>
  <Paragraphs>35</Paragraphs>
  <ScaleCrop>false</ScaleCrop>
  <HeadingPairs>
    <vt:vector size="2" baseType="variant">
      <vt:variant>
        <vt:lpstr>Title</vt:lpstr>
      </vt:variant>
      <vt:variant>
        <vt:i4>1</vt:i4>
      </vt:variant>
    </vt:vector>
  </HeadingPairs>
  <TitlesOfParts>
    <vt:vector size="1" baseType="lpstr">
      <vt:lpstr>R23-WRC23-C-0087!A25!MSW-S</vt:lpstr>
    </vt:vector>
  </TitlesOfParts>
  <Manager>Secretaría General - Pool</Manager>
  <Company>Unión Internacional de Telecomunicaciones (UIT)</Company>
  <LinksUpToDate>false</LinksUpToDate>
  <CharactersWithSpaces>17596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R23-WRC23-C-0087!A25!MSW-S</dc:title>
  <dc:subject>Conferencia Mundial de Radiocomunicaciones - 2019</dc:subject>
  <dc:creator>Documents Proposals Manager (DPM)</dc:creator>
  <cp:keywords>DPM_v2023.8.1.1_prod</cp:keywords>
  <dc:description/>
  <cp:lastModifiedBy>Spanish</cp:lastModifiedBy>
  <cp:revision>8</cp:revision>
  <cp:lastPrinted>2003-02-19T20:20:00Z</cp:lastPrinted>
  <dcterms:created xsi:type="dcterms:W3CDTF">2023-11-01T07:43:00Z</dcterms:created>
  <dcterms:modified xsi:type="dcterms:W3CDTF">2023-11-01T09:38:00Z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