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A1EA9" w14:paraId="2CBC455E" w14:textId="77777777" w:rsidTr="00F320AA">
        <w:trPr>
          <w:cantSplit/>
        </w:trPr>
        <w:tc>
          <w:tcPr>
            <w:tcW w:w="1418" w:type="dxa"/>
            <w:vAlign w:val="center"/>
          </w:tcPr>
          <w:p w14:paraId="2A162ACC" w14:textId="77777777" w:rsidR="00F320AA" w:rsidRPr="00DA1EA9" w:rsidRDefault="00F320AA" w:rsidP="00F320AA">
            <w:pPr>
              <w:spacing w:before="0"/>
              <w:rPr>
                <w:rFonts w:ascii="Verdana" w:hAnsi="Verdana"/>
                <w:position w:val="6"/>
              </w:rPr>
            </w:pPr>
            <w:r w:rsidRPr="00DA1EA9">
              <w:drawing>
                <wp:inline distT="0" distB="0" distL="0" distR="0" wp14:anchorId="38ED02D4" wp14:editId="779255E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F74A5EF" w14:textId="77777777" w:rsidR="00F320AA" w:rsidRPr="00DA1EA9" w:rsidRDefault="00F320AA" w:rsidP="00F320AA">
            <w:pPr>
              <w:spacing w:before="400" w:after="48" w:line="240" w:lineRule="atLeast"/>
              <w:rPr>
                <w:rFonts w:ascii="Verdana" w:hAnsi="Verdana"/>
                <w:position w:val="6"/>
              </w:rPr>
            </w:pPr>
            <w:r w:rsidRPr="00DA1EA9">
              <w:rPr>
                <w:rFonts w:ascii="Verdana" w:hAnsi="Verdana" w:cs="Times"/>
                <w:b/>
                <w:position w:val="6"/>
                <w:sz w:val="22"/>
                <w:szCs w:val="22"/>
              </w:rPr>
              <w:t>World Radiocommunication Conference (WRC-23)</w:t>
            </w:r>
            <w:r w:rsidRPr="00DA1EA9">
              <w:rPr>
                <w:rFonts w:ascii="Verdana" w:hAnsi="Verdana" w:cs="Times"/>
                <w:b/>
                <w:position w:val="6"/>
                <w:sz w:val="26"/>
                <w:szCs w:val="26"/>
              </w:rPr>
              <w:br/>
            </w:r>
            <w:r w:rsidRPr="00DA1EA9">
              <w:rPr>
                <w:rFonts w:ascii="Verdana" w:hAnsi="Verdana"/>
                <w:b/>
                <w:bCs/>
                <w:position w:val="6"/>
                <w:sz w:val="18"/>
                <w:szCs w:val="18"/>
              </w:rPr>
              <w:t>Dubai, 20 November - 15 December 2023</w:t>
            </w:r>
          </w:p>
        </w:tc>
        <w:tc>
          <w:tcPr>
            <w:tcW w:w="1951" w:type="dxa"/>
            <w:vAlign w:val="center"/>
          </w:tcPr>
          <w:p w14:paraId="290E82CA" w14:textId="77777777" w:rsidR="00F320AA" w:rsidRPr="00DA1EA9" w:rsidRDefault="00EB0812" w:rsidP="00F320AA">
            <w:pPr>
              <w:spacing w:before="0" w:line="240" w:lineRule="atLeast"/>
            </w:pPr>
            <w:r w:rsidRPr="00DA1EA9">
              <w:drawing>
                <wp:inline distT="0" distB="0" distL="0" distR="0" wp14:anchorId="43F78046" wp14:editId="0900DE2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A1EA9" w14:paraId="278B7BFB" w14:textId="77777777">
        <w:trPr>
          <w:cantSplit/>
        </w:trPr>
        <w:tc>
          <w:tcPr>
            <w:tcW w:w="6911" w:type="dxa"/>
            <w:gridSpan w:val="2"/>
            <w:tcBorders>
              <w:bottom w:val="single" w:sz="12" w:space="0" w:color="auto"/>
            </w:tcBorders>
          </w:tcPr>
          <w:p w14:paraId="4DBDF3A6" w14:textId="77777777" w:rsidR="00A066F1" w:rsidRPr="00DA1EA9"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B39129B" w14:textId="77777777" w:rsidR="00A066F1" w:rsidRPr="00DA1EA9" w:rsidRDefault="00A066F1" w:rsidP="00A066F1">
            <w:pPr>
              <w:spacing w:before="0" w:line="240" w:lineRule="atLeast"/>
              <w:rPr>
                <w:rFonts w:ascii="Verdana" w:hAnsi="Verdana"/>
                <w:szCs w:val="24"/>
              </w:rPr>
            </w:pPr>
          </w:p>
        </w:tc>
      </w:tr>
      <w:tr w:rsidR="00A066F1" w:rsidRPr="00DA1EA9" w14:paraId="70D825E1" w14:textId="77777777">
        <w:trPr>
          <w:cantSplit/>
        </w:trPr>
        <w:tc>
          <w:tcPr>
            <w:tcW w:w="6911" w:type="dxa"/>
            <w:gridSpan w:val="2"/>
            <w:tcBorders>
              <w:top w:val="single" w:sz="12" w:space="0" w:color="auto"/>
            </w:tcBorders>
          </w:tcPr>
          <w:p w14:paraId="2D202473" w14:textId="77777777" w:rsidR="00A066F1" w:rsidRPr="00DA1EA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5232891" w14:textId="77777777" w:rsidR="00A066F1" w:rsidRPr="00DA1EA9" w:rsidRDefault="00A066F1" w:rsidP="00A066F1">
            <w:pPr>
              <w:spacing w:before="0" w:line="240" w:lineRule="atLeast"/>
              <w:rPr>
                <w:rFonts w:ascii="Verdana" w:hAnsi="Verdana"/>
                <w:sz w:val="20"/>
              </w:rPr>
            </w:pPr>
          </w:p>
        </w:tc>
      </w:tr>
      <w:tr w:rsidR="00A066F1" w:rsidRPr="00DA1EA9" w14:paraId="2DBEF365" w14:textId="77777777">
        <w:trPr>
          <w:cantSplit/>
          <w:trHeight w:val="23"/>
        </w:trPr>
        <w:tc>
          <w:tcPr>
            <w:tcW w:w="6911" w:type="dxa"/>
            <w:gridSpan w:val="2"/>
            <w:shd w:val="clear" w:color="auto" w:fill="auto"/>
          </w:tcPr>
          <w:p w14:paraId="2F321576" w14:textId="0D4277BE" w:rsidR="00A066F1" w:rsidRPr="00DA1EA9" w:rsidRDefault="00DF0134"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A1EA9">
              <w:rPr>
                <w:rFonts w:ascii="Verdana" w:hAnsi="Verdana"/>
                <w:sz w:val="20"/>
                <w:szCs w:val="20"/>
              </w:rPr>
              <w:t>PLENARY MEETING</w:t>
            </w:r>
          </w:p>
        </w:tc>
        <w:tc>
          <w:tcPr>
            <w:tcW w:w="3120" w:type="dxa"/>
            <w:gridSpan w:val="2"/>
          </w:tcPr>
          <w:p w14:paraId="2F6E18EC" w14:textId="41096D69" w:rsidR="00A066F1" w:rsidRPr="00DA1EA9" w:rsidRDefault="00DF0134" w:rsidP="00AA666F">
            <w:pPr>
              <w:tabs>
                <w:tab w:val="left" w:pos="851"/>
              </w:tabs>
              <w:spacing w:before="0" w:line="240" w:lineRule="atLeast"/>
              <w:rPr>
                <w:rFonts w:ascii="Verdana" w:hAnsi="Verdana"/>
                <w:sz w:val="20"/>
              </w:rPr>
            </w:pPr>
            <w:r w:rsidRPr="00DA1EA9">
              <w:rPr>
                <w:rFonts w:ascii="Verdana" w:hAnsi="Verdana"/>
                <w:b/>
                <w:sz w:val="20"/>
              </w:rPr>
              <w:t xml:space="preserve">Addendum </w:t>
            </w:r>
            <w:r w:rsidR="00AA0E36" w:rsidRPr="00DA1EA9">
              <w:rPr>
                <w:rFonts w:ascii="Verdana" w:hAnsi="Verdana"/>
                <w:b/>
                <w:sz w:val="20"/>
              </w:rPr>
              <w:t>25</w:t>
            </w:r>
            <w:r w:rsidRPr="00DA1EA9">
              <w:rPr>
                <w:rFonts w:ascii="Verdana" w:hAnsi="Verdana"/>
                <w:b/>
                <w:sz w:val="20"/>
              </w:rPr>
              <w:t xml:space="preserve"> to</w:t>
            </w:r>
            <w:r w:rsidRPr="00DA1EA9">
              <w:rPr>
                <w:rFonts w:ascii="Verdana" w:hAnsi="Verdana"/>
                <w:b/>
                <w:sz w:val="20"/>
              </w:rPr>
              <w:br/>
              <w:t>Document 87</w:t>
            </w:r>
            <w:r w:rsidR="00A066F1" w:rsidRPr="00DA1EA9">
              <w:rPr>
                <w:rFonts w:ascii="Verdana" w:hAnsi="Verdana"/>
                <w:b/>
                <w:sz w:val="20"/>
              </w:rPr>
              <w:t>-</w:t>
            </w:r>
            <w:r w:rsidR="005E10C9" w:rsidRPr="00DA1EA9">
              <w:rPr>
                <w:rFonts w:ascii="Verdana" w:hAnsi="Verdana"/>
                <w:b/>
                <w:sz w:val="20"/>
              </w:rPr>
              <w:t>E</w:t>
            </w:r>
          </w:p>
        </w:tc>
      </w:tr>
      <w:tr w:rsidR="00A066F1" w:rsidRPr="00DA1EA9" w14:paraId="686FBBCF" w14:textId="77777777">
        <w:trPr>
          <w:cantSplit/>
          <w:trHeight w:val="23"/>
        </w:trPr>
        <w:tc>
          <w:tcPr>
            <w:tcW w:w="6911" w:type="dxa"/>
            <w:gridSpan w:val="2"/>
            <w:shd w:val="clear" w:color="auto" w:fill="auto"/>
          </w:tcPr>
          <w:p w14:paraId="118C457B" w14:textId="77777777" w:rsidR="00A066F1" w:rsidRPr="00DA1EA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D5246B7" w14:textId="2D12E3B1" w:rsidR="00A066F1" w:rsidRPr="00DA1EA9" w:rsidRDefault="00420873" w:rsidP="00A066F1">
            <w:pPr>
              <w:tabs>
                <w:tab w:val="left" w:pos="993"/>
              </w:tabs>
              <w:spacing w:before="0"/>
              <w:rPr>
                <w:rFonts w:ascii="Verdana" w:hAnsi="Verdana"/>
                <w:sz w:val="20"/>
              </w:rPr>
            </w:pPr>
            <w:r w:rsidRPr="00DA1EA9">
              <w:rPr>
                <w:rFonts w:ascii="Verdana" w:hAnsi="Verdana"/>
                <w:b/>
                <w:sz w:val="20"/>
              </w:rPr>
              <w:t>2</w:t>
            </w:r>
            <w:r w:rsidR="00DF0134" w:rsidRPr="00DA1EA9">
              <w:rPr>
                <w:rFonts w:ascii="Verdana" w:hAnsi="Verdana"/>
                <w:b/>
                <w:sz w:val="20"/>
              </w:rPr>
              <w:t>3</w:t>
            </w:r>
            <w:r w:rsidRPr="00DA1EA9">
              <w:rPr>
                <w:rFonts w:ascii="Verdana" w:hAnsi="Verdana"/>
                <w:b/>
                <w:sz w:val="20"/>
              </w:rPr>
              <w:t xml:space="preserve"> October 2023</w:t>
            </w:r>
          </w:p>
        </w:tc>
      </w:tr>
      <w:tr w:rsidR="00A066F1" w:rsidRPr="00DA1EA9" w14:paraId="66A1257A" w14:textId="77777777">
        <w:trPr>
          <w:cantSplit/>
          <w:trHeight w:val="23"/>
        </w:trPr>
        <w:tc>
          <w:tcPr>
            <w:tcW w:w="6911" w:type="dxa"/>
            <w:gridSpan w:val="2"/>
            <w:shd w:val="clear" w:color="auto" w:fill="auto"/>
          </w:tcPr>
          <w:p w14:paraId="2184F288" w14:textId="77777777" w:rsidR="00A066F1" w:rsidRPr="00DA1EA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4590854" w14:textId="77777777" w:rsidR="00A066F1" w:rsidRPr="00DA1EA9" w:rsidRDefault="00E55816" w:rsidP="00A066F1">
            <w:pPr>
              <w:tabs>
                <w:tab w:val="left" w:pos="993"/>
              </w:tabs>
              <w:spacing w:before="0"/>
              <w:rPr>
                <w:rFonts w:ascii="Verdana" w:hAnsi="Verdana"/>
                <w:b/>
                <w:sz w:val="20"/>
              </w:rPr>
            </w:pPr>
            <w:r w:rsidRPr="00DA1EA9">
              <w:rPr>
                <w:rFonts w:ascii="Verdana" w:hAnsi="Verdana"/>
                <w:b/>
                <w:sz w:val="20"/>
              </w:rPr>
              <w:t>Original: English</w:t>
            </w:r>
          </w:p>
        </w:tc>
      </w:tr>
      <w:tr w:rsidR="00A066F1" w:rsidRPr="00DA1EA9" w14:paraId="3EE03F90" w14:textId="77777777" w:rsidTr="00025864">
        <w:trPr>
          <w:cantSplit/>
          <w:trHeight w:val="23"/>
        </w:trPr>
        <w:tc>
          <w:tcPr>
            <w:tcW w:w="10031" w:type="dxa"/>
            <w:gridSpan w:val="4"/>
            <w:shd w:val="clear" w:color="auto" w:fill="auto"/>
          </w:tcPr>
          <w:p w14:paraId="4F27A48B" w14:textId="77777777" w:rsidR="00A066F1" w:rsidRPr="00DA1EA9" w:rsidRDefault="00A066F1" w:rsidP="00A066F1">
            <w:pPr>
              <w:tabs>
                <w:tab w:val="left" w:pos="993"/>
              </w:tabs>
              <w:spacing w:before="0"/>
              <w:rPr>
                <w:rFonts w:ascii="Verdana" w:hAnsi="Verdana"/>
                <w:b/>
                <w:sz w:val="20"/>
              </w:rPr>
            </w:pPr>
          </w:p>
        </w:tc>
      </w:tr>
      <w:tr w:rsidR="00E55816" w:rsidRPr="00DA1EA9" w14:paraId="00DED272" w14:textId="77777777" w:rsidTr="00025864">
        <w:trPr>
          <w:cantSplit/>
          <w:trHeight w:val="23"/>
        </w:trPr>
        <w:tc>
          <w:tcPr>
            <w:tcW w:w="10031" w:type="dxa"/>
            <w:gridSpan w:val="4"/>
            <w:shd w:val="clear" w:color="auto" w:fill="auto"/>
          </w:tcPr>
          <w:p w14:paraId="3BF353B3" w14:textId="77777777" w:rsidR="00E55816" w:rsidRPr="00DA1EA9" w:rsidRDefault="00884D60" w:rsidP="00E55816">
            <w:pPr>
              <w:pStyle w:val="Source"/>
            </w:pPr>
            <w:r w:rsidRPr="00DA1EA9">
              <w:t>African Common Proposals</w:t>
            </w:r>
          </w:p>
        </w:tc>
      </w:tr>
      <w:tr w:rsidR="00E55816" w:rsidRPr="00DA1EA9" w14:paraId="409BF042" w14:textId="77777777" w:rsidTr="00025864">
        <w:trPr>
          <w:cantSplit/>
          <w:trHeight w:val="23"/>
        </w:trPr>
        <w:tc>
          <w:tcPr>
            <w:tcW w:w="10031" w:type="dxa"/>
            <w:gridSpan w:val="4"/>
            <w:shd w:val="clear" w:color="auto" w:fill="auto"/>
          </w:tcPr>
          <w:p w14:paraId="7F3C1FC6" w14:textId="77777777" w:rsidR="00E55816" w:rsidRPr="00DA1EA9" w:rsidRDefault="007D5320" w:rsidP="00E55816">
            <w:pPr>
              <w:pStyle w:val="Title1"/>
            </w:pPr>
            <w:r w:rsidRPr="00DA1EA9">
              <w:t>Proposals for the work of the conference</w:t>
            </w:r>
          </w:p>
        </w:tc>
      </w:tr>
      <w:tr w:rsidR="00E55816" w:rsidRPr="00DA1EA9" w14:paraId="3C084903" w14:textId="77777777" w:rsidTr="00025864">
        <w:trPr>
          <w:cantSplit/>
          <w:trHeight w:val="23"/>
        </w:trPr>
        <w:tc>
          <w:tcPr>
            <w:tcW w:w="10031" w:type="dxa"/>
            <w:gridSpan w:val="4"/>
            <w:shd w:val="clear" w:color="auto" w:fill="auto"/>
          </w:tcPr>
          <w:p w14:paraId="395CE6A0" w14:textId="77777777" w:rsidR="00E55816" w:rsidRPr="00DA1EA9" w:rsidRDefault="00E55816" w:rsidP="00E55816">
            <w:pPr>
              <w:pStyle w:val="Title2"/>
            </w:pPr>
          </w:p>
        </w:tc>
      </w:tr>
      <w:tr w:rsidR="00A538A6" w:rsidRPr="00DA1EA9" w14:paraId="216E1538" w14:textId="77777777" w:rsidTr="00025864">
        <w:trPr>
          <w:cantSplit/>
          <w:trHeight w:val="23"/>
        </w:trPr>
        <w:tc>
          <w:tcPr>
            <w:tcW w:w="10031" w:type="dxa"/>
            <w:gridSpan w:val="4"/>
            <w:shd w:val="clear" w:color="auto" w:fill="auto"/>
          </w:tcPr>
          <w:p w14:paraId="24E5DD78" w14:textId="7750FD5D" w:rsidR="00A538A6" w:rsidRPr="00DA1EA9" w:rsidRDefault="00DF0134" w:rsidP="004B13CB">
            <w:pPr>
              <w:pStyle w:val="Agendaitem"/>
              <w:rPr>
                <w:lang w:val="en-GB"/>
              </w:rPr>
            </w:pPr>
            <w:r w:rsidRPr="00DA1EA9">
              <w:rPr>
                <w:lang w:val="en-GB"/>
              </w:rPr>
              <w:t>Agenda item 9.2</w:t>
            </w:r>
          </w:p>
        </w:tc>
      </w:tr>
    </w:tbl>
    <w:bookmarkEnd w:id="5"/>
    <w:bookmarkEnd w:id="6"/>
    <w:p w14:paraId="45AD44E8" w14:textId="77777777" w:rsidR="00DF0134" w:rsidRPr="00DA1EA9" w:rsidRDefault="00DF0134" w:rsidP="00DF0134">
      <w:r w:rsidRPr="00DA1EA9">
        <w:t>9</w:t>
      </w:r>
      <w:r w:rsidRPr="00DA1EA9">
        <w:tab/>
        <w:t>to consider and approve the Report of the Director of the Radiocommunication Bureau, in accordance with Article 7 of the ITU Convention</w:t>
      </w:r>
      <w:r w:rsidRPr="00DA1EA9">
        <w:rPr>
          <w:bCs/>
        </w:rPr>
        <w:t>;</w:t>
      </w:r>
    </w:p>
    <w:p w14:paraId="233949E1" w14:textId="77777777" w:rsidR="00DF0134" w:rsidRPr="00DA1EA9" w:rsidRDefault="00DF0134" w:rsidP="00DF0134">
      <w:r w:rsidRPr="00DA1EA9">
        <w:t>9.2</w:t>
      </w:r>
      <w:r w:rsidRPr="00DA1EA9">
        <w:tab/>
        <w:t>on any difficulties or inconsistencies encountered in the application of the Radio Regulations;</w:t>
      </w:r>
      <w:r w:rsidRPr="00DA1EA9">
        <w:rPr>
          <w:rStyle w:val="FootnoteReference"/>
        </w:rPr>
        <w:footnoteReference w:customMarkFollows="1" w:id="1"/>
        <w:t>1</w:t>
      </w:r>
      <w:r w:rsidRPr="00DA1EA9">
        <w:t xml:space="preserve"> and</w:t>
      </w:r>
    </w:p>
    <w:p w14:paraId="2CB99D44" w14:textId="77777777" w:rsidR="001D3C96" w:rsidRPr="00DA1EA9" w:rsidRDefault="001D3C96">
      <w:pPr>
        <w:tabs>
          <w:tab w:val="clear" w:pos="1134"/>
          <w:tab w:val="clear" w:pos="1871"/>
          <w:tab w:val="clear" w:pos="2268"/>
        </w:tabs>
        <w:overflowPunct/>
        <w:autoSpaceDE/>
        <w:autoSpaceDN/>
        <w:adjustRightInd/>
        <w:spacing w:before="0"/>
        <w:textAlignment w:val="auto"/>
        <w:rPr>
          <w:rFonts w:ascii="Times New Roman Bold" w:eastAsia="Times" w:hAnsi="Times New Roman Bold" w:cs="Times New Roman Bold"/>
          <w:b/>
        </w:rPr>
      </w:pPr>
      <w:r w:rsidRPr="00DA1EA9">
        <w:rPr>
          <w:rFonts w:eastAsia="Times"/>
        </w:rPr>
        <w:br w:type="page"/>
      </w:r>
    </w:p>
    <w:p w14:paraId="67D30E4C" w14:textId="7DBE4618" w:rsidR="001D3C96" w:rsidRPr="00DA1EA9" w:rsidRDefault="001D3C96" w:rsidP="001D3C96">
      <w:pPr>
        <w:pStyle w:val="Proposal"/>
      </w:pPr>
      <w:r w:rsidRPr="00DA1EA9">
        <w:lastRenderedPageBreak/>
        <w:tab/>
        <w:t>AFCP/87A25/1</w:t>
      </w:r>
    </w:p>
    <w:p w14:paraId="7C47CDAE" w14:textId="76AF3559" w:rsidR="00DF0134" w:rsidRPr="00DA1EA9" w:rsidRDefault="00DF0134" w:rsidP="00AC38C3">
      <w:pPr>
        <w:pStyle w:val="Headingb"/>
        <w:rPr>
          <w:rFonts w:eastAsia="Times"/>
          <w:lang w:val="en-GB"/>
        </w:rPr>
      </w:pPr>
      <w:r w:rsidRPr="00DA1EA9">
        <w:rPr>
          <w:rFonts w:eastAsia="Times"/>
          <w:lang w:val="en-GB"/>
        </w:rPr>
        <w:t>Proposals related to section 3.3.1 of Addendum</w:t>
      </w:r>
      <w:r w:rsidR="002047DE" w:rsidRPr="00DA1EA9">
        <w:rPr>
          <w:rFonts w:eastAsia="Times"/>
          <w:lang w:val="en-GB"/>
        </w:rPr>
        <w:t> </w:t>
      </w:r>
      <w:r w:rsidRPr="00DA1EA9">
        <w:rPr>
          <w:rFonts w:eastAsia="Times"/>
          <w:lang w:val="en-GB"/>
        </w:rPr>
        <w:t>2 to Document</w:t>
      </w:r>
      <w:r w:rsidR="00AC38C3" w:rsidRPr="00DA1EA9">
        <w:rPr>
          <w:rFonts w:eastAsia="Times"/>
          <w:lang w:val="en-GB"/>
        </w:rPr>
        <w:t> </w:t>
      </w:r>
      <w:r w:rsidRPr="00DA1EA9">
        <w:rPr>
          <w:rFonts w:eastAsia="Times"/>
          <w:lang w:val="en-GB"/>
        </w:rPr>
        <w:t>4</w:t>
      </w:r>
    </w:p>
    <w:p w14:paraId="69AA8DFC" w14:textId="77777777" w:rsidR="00DF0134" w:rsidRPr="00DA1EA9" w:rsidRDefault="00DF0134" w:rsidP="00A71D97">
      <w:pPr>
        <w:pStyle w:val="Headingb"/>
        <w:rPr>
          <w:rFonts w:eastAsia="Times"/>
          <w:lang w:val="en-GB"/>
        </w:rPr>
      </w:pPr>
      <w:r w:rsidRPr="00DA1EA9">
        <w:rPr>
          <w:rFonts w:eastAsia="Times"/>
          <w:lang w:val="en-GB"/>
        </w:rPr>
        <w:t>Introduction</w:t>
      </w:r>
    </w:p>
    <w:p w14:paraId="4F15ED77" w14:textId="470D4434" w:rsidR="00DF0134" w:rsidRPr="00DA1EA9" w:rsidRDefault="00DF0134" w:rsidP="00DF0134">
      <w:r w:rsidRPr="00DA1EA9">
        <w:t>ATU has reviewed the Report of the Director and provides herein specific proposals and comments/views related to Part 2 as contained in Document</w:t>
      </w:r>
      <w:r w:rsidR="00AC38C3" w:rsidRPr="00DA1EA9">
        <w:t> </w:t>
      </w:r>
      <w:r w:rsidR="00D179C1" w:rsidRPr="00DA1EA9">
        <w:t>4</w:t>
      </w:r>
      <w:r w:rsidR="00AC38C3" w:rsidRPr="00DA1EA9">
        <w:t xml:space="preserve"> </w:t>
      </w:r>
      <w:r w:rsidR="00D179C1" w:rsidRPr="00DA1EA9">
        <w:t>(Add.2)</w:t>
      </w:r>
      <w:r w:rsidR="00A71D97" w:rsidRPr="00DA1EA9">
        <w:t>.</w:t>
      </w:r>
      <w:r w:rsidRPr="00DA1EA9">
        <w:t xml:space="preserve"> The Radiocommunication Bureau</w:t>
      </w:r>
      <w:r w:rsidR="009E19E8" w:rsidRPr="00DA1EA9">
        <w:t xml:space="preserve"> (BR)</w:t>
      </w:r>
      <w:r w:rsidRPr="00DA1EA9">
        <w:t xml:space="preserve">, acting under the auspices of </w:t>
      </w:r>
      <w:r w:rsidR="00A71D97" w:rsidRPr="00DA1EA9">
        <w:t xml:space="preserve">RR </w:t>
      </w:r>
      <w:r w:rsidRPr="00DA1EA9">
        <w:t>No.</w:t>
      </w:r>
      <w:r w:rsidR="002047DE" w:rsidRPr="00DA1EA9">
        <w:t> </w:t>
      </w:r>
      <w:r w:rsidRPr="00DA1EA9">
        <w:rPr>
          <w:rStyle w:val="Artdef"/>
        </w:rPr>
        <w:t>11.50</w:t>
      </w:r>
      <w:r w:rsidRPr="00DA1EA9">
        <w:t xml:space="preserve">, and with a view to improving the accuracy of the data recorded in the Master Register undertook a review of satellite networks recorded in the Master Register. </w:t>
      </w:r>
    </w:p>
    <w:p w14:paraId="1743BDCF" w14:textId="5898E333" w:rsidR="00DF0134" w:rsidRPr="00DA1EA9" w:rsidRDefault="00DF0134" w:rsidP="00DF0134">
      <w:r w:rsidRPr="00DA1EA9">
        <w:t xml:space="preserve">The Bureau noted that the frequency assignments to </w:t>
      </w:r>
      <w:proofErr w:type="gramStart"/>
      <w:r w:rsidRPr="00DA1EA9">
        <w:t>some</w:t>
      </w:r>
      <w:proofErr w:type="gramEnd"/>
      <w:r w:rsidRPr="00DA1EA9">
        <w:t xml:space="preserve"> satellite networks were recorded in the Master Register without any period of validity indicated. The Bureau therefore requested the concerned </w:t>
      </w:r>
      <w:r w:rsidR="006B51C7" w:rsidRPr="00DA1EA9">
        <w:t>a</w:t>
      </w:r>
      <w:r w:rsidRPr="00DA1EA9">
        <w:t>dministrations to indicate the intended period of validity for these frequency assignments.</w:t>
      </w:r>
    </w:p>
    <w:p w14:paraId="1CD55DEE" w14:textId="4E148739" w:rsidR="00DF0134" w:rsidRPr="00DA1EA9" w:rsidRDefault="00DF0134" w:rsidP="00A71D97">
      <w:pPr>
        <w:pStyle w:val="Headingb"/>
        <w:rPr>
          <w:lang w:val="en-GB"/>
        </w:rPr>
      </w:pPr>
      <w:r w:rsidRPr="00DA1EA9">
        <w:rPr>
          <w:lang w:val="en-GB"/>
        </w:rPr>
        <w:t>Proposal</w:t>
      </w:r>
    </w:p>
    <w:p w14:paraId="408141FC" w14:textId="3AC3E28F" w:rsidR="00DF0134" w:rsidRPr="00DA1EA9" w:rsidRDefault="00DF0134" w:rsidP="00DF0134">
      <w:r w:rsidRPr="00DA1EA9">
        <w:t xml:space="preserve">ATU </w:t>
      </w:r>
      <w:r w:rsidR="00911E28" w:rsidRPr="00DA1EA9">
        <w:t xml:space="preserve">is </w:t>
      </w:r>
      <w:r w:rsidRPr="00DA1EA9">
        <w:t xml:space="preserve">of a view that the missed period of validity for </w:t>
      </w:r>
      <w:proofErr w:type="gramStart"/>
      <w:r w:rsidRPr="00DA1EA9">
        <w:t>some</w:t>
      </w:r>
      <w:proofErr w:type="gramEnd"/>
      <w:r w:rsidRPr="00DA1EA9">
        <w:t xml:space="preserve"> concerned administration satellite networks should be revised and included in their frequency assignments as this will make some ambiguity into understanding the operational lifetime of the satellite systems, including space and earth stations, and the type of service provided.</w:t>
      </w:r>
    </w:p>
    <w:p w14:paraId="39CD482C" w14:textId="74C87F95" w:rsidR="00DF0134" w:rsidRPr="00DA1EA9" w:rsidRDefault="00DF0134" w:rsidP="00A6747C">
      <w:r w:rsidRPr="00DA1EA9">
        <w:t xml:space="preserve">Under </w:t>
      </w:r>
      <w:r w:rsidR="003C1CB7" w:rsidRPr="00DA1EA9">
        <w:t xml:space="preserve">RR </w:t>
      </w:r>
      <w:r w:rsidRPr="00DA1EA9">
        <w:t>No.</w:t>
      </w:r>
      <w:r w:rsidR="002047DE" w:rsidRPr="00DA1EA9">
        <w:t> </w:t>
      </w:r>
      <w:r w:rsidRPr="00DA1EA9">
        <w:rPr>
          <w:b/>
        </w:rPr>
        <w:t>11.50</w:t>
      </w:r>
      <w:r w:rsidRPr="00DA1EA9">
        <w:t xml:space="preserve">, a view to improving the accuracy of the data recorded in the Master Register undertook a review of satellite networks recorded in the Master Register, The Bureau noted that the frequency assignments to </w:t>
      </w:r>
      <w:proofErr w:type="gramStart"/>
      <w:r w:rsidRPr="00DA1EA9">
        <w:t>some</w:t>
      </w:r>
      <w:proofErr w:type="gramEnd"/>
      <w:r w:rsidRPr="00DA1EA9">
        <w:t xml:space="preserve"> satellite networks were recorded in the Master Register without any period of validity indicated. The Bureau therefore requested the concerned </w:t>
      </w:r>
      <w:r w:rsidR="006B51C7" w:rsidRPr="00DA1EA9">
        <w:t>a</w:t>
      </w:r>
      <w:r w:rsidRPr="00DA1EA9">
        <w:t>dministrations to indicate the intended period of validity for these frequency assignments.</w:t>
      </w:r>
    </w:p>
    <w:p w14:paraId="1356A1D8" w14:textId="71A3B5B8" w:rsidR="00DF0134" w:rsidRPr="00DA1EA9" w:rsidRDefault="00DF0134" w:rsidP="00DF0134">
      <w:r w:rsidRPr="00DA1EA9">
        <w:t>According</w:t>
      </w:r>
      <w:r w:rsidR="003C1CB7" w:rsidRPr="00DA1EA9">
        <w:t xml:space="preserve"> to</w:t>
      </w:r>
      <w:r w:rsidRPr="00DA1EA9">
        <w:t xml:space="preserve"> LIFE SPAN OF A SATELLITE NETWORK FILING (Non-planned bands), we can see that the period of validity is an essential part into the life cycle of the satellite fillings.</w:t>
      </w:r>
    </w:p>
    <w:p w14:paraId="6243809B" w14:textId="60243727" w:rsidR="00C12604" w:rsidRPr="00DA1EA9" w:rsidRDefault="00C12604" w:rsidP="00C12604">
      <w:pPr>
        <w:pStyle w:val="Figure"/>
      </w:pPr>
      <w:r w:rsidRPr="00DA1EA9">
        <w:drawing>
          <wp:inline distT="0" distB="0" distL="0" distR="0" wp14:anchorId="6864ABA8" wp14:editId="5286CE1A">
            <wp:extent cx="6120765" cy="1654810"/>
            <wp:effectExtent l="0" t="0" r="0" b="2540"/>
            <wp:docPr id="477262870" name="Picture 1" descr="A diagram of a computer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62870" name="Picture 1" descr="A diagram of a computer flowchart&#10;&#10;Description automatically generated"/>
                    <pic:cNvPicPr/>
                  </pic:nvPicPr>
                  <pic:blipFill>
                    <a:blip r:embed="rId14"/>
                    <a:stretch>
                      <a:fillRect/>
                    </a:stretch>
                  </pic:blipFill>
                  <pic:spPr>
                    <a:xfrm>
                      <a:off x="0" y="0"/>
                      <a:ext cx="6120765" cy="1654810"/>
                    </a:xfrm>
                    <a:prstGeom prst="rect">
                      <a:avLst/>
                    </a:prstGeom>
                  </pic:spPr>
                </pic:pic>
              </a:graphicData>
            </a:graphic>
          </wp:inline>
        </w:drawing>
      </w:r>
    </w:p>
    <w:p w14:paraId="6CD99A6A" w14:textId="1F8BF2AB" w:rsidR="00DF0134" w:rsidRPr="00DA1EA9" w:rsidRDefault="00DF0134" w:rsidP="001D3C96">
      <w:r w:rsidRPr="00DA1EA9">
        <w:t xml:space="preserve">Therefore, it is crucial to request for the concerned </w:t>
      </w:r>
      <w:r w:rsidR="00BB7951" w:rsidRPr="00DA1EA9">
        <w:t>a</w:t>
      </w:r>
      <w:r w:rsidRPr="00DA1EA9">
        <w:t>dministration to indicate the intended period of validity for these frequency assignments.</w:t>
      </w:r>
    </w:p>
    <w:p w14:paraId="2FAADC64" w14:textId="77777777" w:rsidR="001943D2" w:rsidRPr="00DA1EA9" w:rsidRDefault="001943D2" w:rsidP="001943D2">
      <w:pPr>
        <w:pStyle w:val="Reasons"/>
      </w:pPr>
    </w:p>
    <w:p w14:paraId="5613AF4F" w14:textId="24F29C98" w:rsidR="001D3C96" w:rsidRPr="00DA1EA9" w:rsidRDefault="001D3C96" w:rsidP="001D3C96">
      <w:pPr>
        <w:pStyle w:val="Proposal"/>
      </w:pPr>
      <w:r w:rsidRPr="00DA1EA9">
        <w:tab/>
        <w:t>AFCP/87A25/2</w:t>
      </w:r>
    </w:p>
    <w:p w14:paraId="2F25C974" w14:textId="0D8DE9C4" w:rsidR="00DF0134" w:rsidRPr="00DA1EA9" w:rsidRDefault="00DF0134" w:rsidP="003C1CB7">
      <w:pPr>
        <w:pStyle w:val="Headingb"/>
        <w:rPr>
          <w:rFonts w:eastAsia="Times"/>
          <w:lang w:val="en-GB"/>
        </w:rPr>
      </w:pPr>
      <w:r w:rsidRPr="00DA1EA9">
        <w:rPr>
          <w:rFonts w:eastAsia="Times"/>
          <w:lang w:val="en-GB"/>
        </w:rPr>
        <w:t xml:space="preserve">Proposals related to </w:t>
      </w:r>
      <w:r w:rsidR="003C1CB7" w:rsidRPr="00DA1EA9">
        <w:rPr>
          <w:rFonts w:eastAsia="Times"/>
          <w:lang w:val="en-GB"/>
        </w:rPr>
        <w:t xml:space="preserve">section </w:t>
      </w:r>
      <w:r w:rsidRPr="00DA1EA9">
        <w:rPr>
          <w:rFonts w:eastAsia="Times"/>
          <w:lang w:val="en-GB"/>
        </w:rPr>
        <w:t>3.3.3.2</w:t>
      </w:r>
      <w:r w:rsidR="001D3C96" w:rsidRPr="00DA1EA9">
        <w:rPr>
          <w:rFonts w:eastAsia="Times"/>
          <w:lang w:val="en-GB"/>
        </w:rPr>
        <w:t xml:space="preserve"> of Addendum</w:t>
      </w:r>
      <w:r w:rsidR="002047DE" w:rsidRPr="00DA1EA9">
        <w:rPr>
          <w:rFonts w:eastAsia="Times"/>
          <w:lang w:val="en-GB"/>
        </w:rPr>
        <w:t> </w:t>
      </w:r>
      <w:r w:rsidR="001D3C96" w:rsidRPr="00DA1EA9">
        <w:rPr>
          <w:rFonts w:eastAsia="Times"/>
          <w:lang w:val="en-GB"/>
        </w:rPr>
        <w:t>2 to Document</w:t>
      </w:r>
      <w:r w:rsidR="002047DE" w:rsidRPr="00DA1EA9">
        <w:rPr>
          <w:rFonts w:eastAsia="Times"/>
          <w:lang w:val="en-GB"/>
        </w:rPr>
        <w:t> </w:t>
      </w:r>
      <w:r w:rsidR="001D3C96" w:rsidRPr="00DA1EA9">
        <w:rPr>
          <w:rFonts w:eastAsia="Times"/>
          <w:lang w:val="en-GB"/>
        </w:rPr>
        <w:t>4</w:t>
      </w:r>
      <w:r w:rsidR="003C1CB7" w:rsidRPr="00DA1EA9">
        <w:rPr>
          <w:rFonts w:eastAsia="Times"/>
          <w:lang w:val="en-GB"/>
        </w:rPr>
        <w:t xml:space="preserve">: </w:t>
      </w:r>
      <w:r w:rsidRPr="00DA1EA9">
        <w:rPr>
          <w:rFonts w:eastAsia="Times"/>
          <w:lang w:val="en-GB"/>
        </w:rPr>
        <w:t xml:space="preserve">Modification of notified characteristics in accordance with </w:t>
      </w:r>
      <w:r w:rsidRPr="00DA1EA9">
        <w:rPr>
          <w:rFonts w:eastAsia="Times"/>
          <w:i/>
          <w:lang w:val="en-GB"/>
        </w:rPr>
        <w:t>resolves</w:t>
      </w:r>
      <w:r w:rsidR="002047DE" w:rsidRPr="00DA1EA9">
        <w:rPr>
          <w:rFonts w:eastAsia="Times"/>
          <w:lang w:val="en-GB"/>
        </w:rPr>
        <w:t> </w:t>
      </w:r>
      <w:r w:rsidRPr="00DA1EA9">
        <w:rPr>
          <w:rFonts w:eastAsia="Times"/>
          <w:lang w:val="en-GB"/>
        </w:rPr>
        <w:t>11</w:t>
      </w:r>
      <w:r w:rsidR="006E6C2F" w:rsidRPr="00DA1EA9">
        <w:rPr>
          <w:rFonts w:ascii="Times New Roman" w:hAnsi="Times New Roman" w:cs="Times New Roman"/>
          <w:b w:val="0"/>
          <w:lang w:val="en-GB"/>
        </w:rPr>
        <w:t xml:space="preserve"> </w:t>
      </w:r>
      <w:r w:rsidR="006E6C2F" w:rsidRPr="00DA1EA9">
        <w:rPr>
          <w:rFonts w:eastAsia="Times"/>
          <w:lang w:val="en-GB"/>
        </w:rPr>
        <w:t>of Resolution</w:t>
      </w:r>
      <w:r w:rsidR="002047DE" w:rsidRPr="00DA1EA9">
        <w:rPr>
          <w:rFonts w:eastAsia="Times"/>
          <w:lang w:val="en-GB"/>
        </w:rPr>
        <w:t> </w:t>
      </w:r>
      <w:r w:rsidR="006E6C2F" w:rsidRPr="00DA1EA9">
        <w:rPr>
          <w:rFonts w:eastAsia="Times"/>
          <w:bCs/>
          <w:lang w:val="en-GB"/>
        </w:rPr>
        <w:t>35 (WRC-19)</w:t>
      </w:r>
    </w:p>
    <w:p w14:paraId="57AE27F4" w14:textId="77777777" w:rsidR="00DF0134" w:rsidRPr="00DA1EA9" w:rsidRDefault="00DF0134" w:rsidP="002047DE">
      <w:pPr>
        <w:pStyle w:val="Headingb"/>
        <w:rPr>
          <w:rFonts w:eastAsia="Times"/>
          <w:lang w:val="en-GB"/>
        </w:rPr>
      </w:pPr>
      <w:r w:rsidRPr="00DA1EA9">
        <w:rPr>
          <w:rFonts w:eastAsia="Times"/>
          <w:lang w:val="en-GB"/>
        </w:rPr>
        <w:t>Introduction</w:t>
      </w:r>
    </w:p>
    <w:p w14:paraId="4F3F9A0D" w14:textId="62FE6A1C" w:rsidR="00DF0134" w:rsidRPr="00DA1EA9" w:rsidRDefault="00DF0134" w:rsidP="00DF0134">
      <w:r w:rsidRPr="00DA1EA9">
        <w:t>ATU has reviewed the Report of the Director and provides herein specific proposals and comments/views related to Part 2 as contained in Document</w:t>
      </w:r>
      <w:r w:rsidR="002047DE" w:rsidRPr="00DA1EA9">
        <w:t> </w:t>
      </w:r>
      <w:r w:rsidR="00D179C1" w:rsidRPr="00DA1EA9">
        <w:rPr>
          <w:rFonts w:eastAsia="Times"/>
        </w:rPr>
        <w:t>4(Add.2)</w:t>
      </w:r>
      <w:r w:rsidR="003C1CB7" w:rsidRPr="00DA1EA9">
        <w:t>.</w:t>
      </w:r>
      <w:r w:rsidRPr="00DA1EA9">
        <w:t xml:space="preserve"> When, in application of </w:t>
      </w:r>
      <w:r w:rsidRPr="00DA1EA9">
        <w:rPr>
          <w:i/>
          <w:iCs/>
        </w:rPr>
        <w:lastRenderedPageBreak/>
        <w:t>resolves</w:t>
      </w:r>
      <w:r w:rsidR="002047DE" w:rsidRPr="00DA1EA9">
        <w:t> </w:t>
      </w:r>
      <w:r w:rsidRPr="00DA1EA9">
        <w:t>11 of Resolution</w:t>
      </w:r>
      <w:r w:rsidR="002047DE" w:rsidRPr="00DA1EA9">
        <w:t> </w:t>
      </w:r>
      <w:r w:rsidRPr="00DA1EA9">
        <w:rPr>
          <w:b/>
          <w:bCs/>
        </w:rPr>
        <w:t>35 (WRC-19)</w:t>
      </w:r>
      <w:r w:rsidRPr="00DA1EA9">
        <w:t xml:space="preserve">, a notifying </w:t>
      </w:r>
      <w:r w:rsidR="00680E04" w:rsidRPr="00DA1EA9">
        <w:t>a</w:t>
      </w:r>
      <w:r w:rsidRPr="00DA1EA9">
        <w:t xml:space="preserve">dministration submits to the Bureau the modifications to the characteristics of the notified or recorded frequency assignments of the non-GSO satellite system in order to reduce the maximum number of satellites to the values computed in accordance with </w:t>
      </w:r>
      <w:r w:rsidRPr="00DA1EA9">
        <w:rPr>
          <w:i/>
          <w:iCs/>
        </w:rPr>
        <w:t>resolves</w:t>
      </w:r>
      <w:r w:rsidR="002047DE" w:rsidRPr="00DA1EA9">
        <w:t> </w:t>
      </w:r>
      <w:r w:rsidRPr="00DA1EA9">
        <w:t>11a), b) or</w:t>
      </w:r>
      <w:r w:rsidR="002047DE" w:rsidRPr="00DA1EA9">
        <w:t> </w:t>
      </w:r>
      <w:r w:rsidRPr="00DA1EA9">
        <w:t>c), the question was raised whether it is necessary to keep among the remaining satellites at least the orbital characteristics corresponding to the satellite(s), which was or were used for the bringing into use of the frequency assignments to this satellite system or for the completion of a previous milestone of Resolution</w:t>
      </w:r>
      <w:r w:rsidR="002047DE" w:rsidRPr="00DA1EA9">
        <w:t> </w:t>
      </w:r>
      <w:r w:rsidRPr="00DA1EA9">
        <w:rPr>
          <w:b/>
          <w:bCs/>
        </w:rPr>
        <w:t>35 (WRC-19)</w:t>
      </w:r>
      <w:r w:rsidRPr="00DA1EA9">
        <w:t>.</w:t>
      </w:r>
    </w:p>
    <w:p w14:paraId="5605B977" w14:textId="0039B22A" w:rsidR="00DF0134" w:rsidRPr="00DA1EA9" w:rsidRDefault="00DF0134" w:rsidP="00DF0134">
      <w:r w:rsidRPr="00DA1EA9">
        <w:t>The current wording of Resolution</w:t>
      </w:r>
      <w:r w:rsidR="002047DE" w:rsidRPr="00DA1EA9">
        <w:t> </w:t>
      </w:r>
      <w:r w:rsidRPr="00DA1EA9">
        <w:rPr>
          <w:b/>
          <w:bCs/>
        </w:rPr>
        <w:t>35 (WRC-19)</w:t>
      </w:r>
      <w:r w:rsidRPr="00DA1EA9">
        <w:t xml:space="preserve"> does not impose to retain these characteristics: the modification consisting in reducing the maximum number of satellites under </w:t>
      </w:r>
      <w:r w:rsidRPr="00DA1EA9">
        <w:rPr>
          <w:i/>
          <w:iCs/>
        </w:rPr>
        <w:t>resolves</w:t>
      </w:r>
      <w:r w:rsidR="00183988" w:rsidRPr="00DA1EA9">
        <w:t> </w:t>
      </w:r>
      <w:r w:rsidRPr="00DA1EA9">
        <w:t xml:space="preserve">11 does not require the retention of the orbital plane(s) that was or </w:t>
      </w:r>
      <w:proofErr w:type="gramStart"/>
      <w:r w:rsidRPr="00DA1EA9">
        <w:t>were used</w:t>
      </w:r>
      <w:proofErr w:type="gramEnd"/>
      <w:r w:rsidRPr="00DA1EA9">
        <w:t xml:space="preserve"> for bringing into use or completing previous milestones. However, satellites previously deployed on a plane subsequently deleted by such a modification cannot </w:t>
      </w:r>
      <w:proofErr w:type="gramStart"/>
      <w:r w:rsidRPr="00DA1EA9">
        <w:t>be counted</w:t>
      </w:r>
      <w:proofErr w:type="gramEnd"/>
      <w:r w:rsidRPr="00DA1EA9">
        <w:t xml:space="preserve"> any longer during the following steps of Resolution</w:t>
      </w:r>
      <w:r w:rsidR="002047DE" w:rsidRPr="00DA1EA9">
        <w:t> </w:t>
      </w:r>
      <w:r w:rsidRPr="00DA1EA9">
        <w:rPr>
          <w:b/>
          <w:bCs/>
        </w:rPr>
        <w:t>35 (WRC-19)</w:t>
      </w:r>
      <w:r w:rsidRPr="00DA1EA9">
        <w:t>.</w:t>
      </w:r>
    </w:p>
    <w:p w14:paraId="34A8F4C8" w14:textId="159ABF93" w:rsidR="00DF0134" w:rsidRPr="00DA1EA9" w:rsidRDefault="00DF0134" w:rsidP="003C1CB7">
      <w:pPr>
        <w:pStyle w:val="Headingb"/>
        <w:rPr>
          <w:lang w:val="en-GB"/>
        </w:rPr>
      </w:pPr>
      <w:r w:rsidRPr="00DA1EA9">
        <w:rPr>
          <w:rFonts w:eastAsia="Times"/>
          <w:lang w:val="en-GB"/>
        </w:rPr>
        <w:t>Proposal</w:t>
      </w:r>
    </w:p>
    <w:p w14:paraId="50C35B5F" w14:textId="594BD535" w:rsidR="00DF0134" w:rsidRPr="00DA1EA9" w:rsidRDefault="00DF0134" w:rsidP="00DF0134">
      <w:r w:rsidRPr="00DA1EA9">
        <w:t xml:space="preserve">ATU is </w:t>
      </w:r>
      <w:r w:rsidR="0051352B" w:rsidRPr="00DA1EA9">
        <w:t xml:space="preserve">of </w:t>
      </w:r>
      <w:r w:rsidRPr="00DA1EA9">
        <w:t xml:space="preserve">a view </w:t>
      </w:r>
      <w:r w:rsidR="0051352B" w:rsidRPr="00DA1EA9">
        <w:t>to</w:t>
      </w:r>
      <w:r w:rsidRPr="00DA1EA9">
        <w:t xml:space="preserve"> delete and not keep the remaining satellite that </w:t>
      </w:r>
      <w:proofErr w:type="gramStart"/>
      <w:r w:rsidRPr="00DA1EA9">
        <w:t>are not included</w:t>
      </w:r>
      <w:proofErr w:type="gramEnd"/>
      <w:r w:rsidRPr="00DA1EA9">
        <w:t xml:space="preserve"> in the modification as not to impose any misleading while taking the resolution within and subsequent actions like for example interference analysis calculations.</w:t>
      </w:r>
    </w:p>
    <w:p w14:paraId="7195269F" w14:textId="569C846B" w:rsidR="00DF0134" w:rsidRPr="00DA1EA9" w:rsidRDefault="00DF0134" w:rsidP="003C1CB7">
      <w:r w:rsidRPr="00DA1EA9">
        <w:t>A notifying administration submits to the Bureau the modifications to the characteristics of the notified or recorded frequency assignments of the non-GSO satellite system in order to reduce the maximum number of satellites, the question was raised whether it is necessary to keep among the remaining satellites at least the orbital characteristics corresponding to the satellite(s), which was or were used for the bringing into use of the frequency assignments to this satellite system or for the completion of a previous milestone of Resolution</w:t>
      </w:r>
      <w:r w:rsidR="00183988" w:rsidRPr="00DA1EA9">
        <w:t> </w:t>
      </w:r>
      <w:r w:rsidRPr="00DA1EA9">
        <w:rPr>
          <w:b/>
          <w:bCs/>
        </w:rPr>
        <w:t>35 (WRC-19)</w:t>
      </w:r>
      <w:r w:rsidRPr="00DA1EA9">
        <w:t>.</w:t>
      </w:r>
    </w:p>
    <w:p w14:paraId="01F79D2C" w14:textId="48F710E0" w:rsidR="00DF0134" w:rsidRPr="00DA1EA9" w:rsidRDefault="00DF0134" w:rsidP="003C1CB7">
      <w:r w:rsidRPr="00DA1EA9">
        <w:t xml:space="preserve">As </w:t>
      </w:r>
      <w:r w:rsidR="00FE19FC" w:rsidRPr="00DA1EA9">
        <w:t>shown</w:t>
      </w:r>
      <w:r w:rsidRPr="00DA1EA9">
        <w:t xml:space="preserve"> below, a </w:t>
      </w:r>
      <w:r w:rsidR="003C1CB7" w:rsidRPr="00DA1EA9">
        <w:t>l</w:t>
      </w:r>
      <w:r w:rsidRPr="00DA1EA9">
        <w:t xml:space="preserve">ist of the orbital planes which indicated that the orbital planes are published and </w:t>
      </w:r>
      <w:proofErr w:type="gramStart"/>
      <w:r w:rsidRPr="00DA1EA9">
        <w:t>taking into account</w:t>
      </w:r>
      <w:proofErr w:type="gramEnd"/>
      <w:r w:rsidRPr="00DA1EA9">
        <w:t xml:space="preserve"> with and subsequent actions related to BR if any needed measure related to Resolution</w:t>
      </w:r>
      <w:r w:rsidR="00183988" w:rsidRPr="00DA1EA9">
        <w:t> </w:t>
      </w:r>
      <w:r w:rsidRPr="00DA1EA9">
        <w:rPr>
          <w:b/>
          <w:bCs/>
        </w:rPr>
        <w:t>35 (WRC-19)</w:t>
      </w:r>
      <w:r w:rsidR="003C1CB7" w:rsidRPr="00DA1EA9">
        <w:t>.</w:t>
      </w:r>
    </w:p>
    <w:p w14:paraId="13555AC2" w14:textId="77777777" w:rsidR="00DF0134" w:rsidRPr="00DA1EA9" w:rsidRDefault="00DF0134" w:rsidP="003C1CB7">
      <w:pPr>
        <w:pStyle w:val="Figure"/>
        <w:rPr>
          <w:b/>
          <w:u w:val="single"/>
        </w:rPr>
      </w:pPr>
      <w:r w:rsidRPr="00DA1EA9">
        <w:drawing>
          <wp:inline distT="0" distB="0" distL="0" distR="0" wp14:anchorId="30C34AC7" wp14:editId="4F1871A9">
            <wp:extent cx="5943600" cy="211328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43600" cy="2113280"/>
                    </a:xfrm>
                    <a:prstGeom prst="rect">
                      <a:avLst/>
                    </a:prstGeom>
                    <a:ln/>
                  </pic:spPr>
                </pic:pic>
              </a:graphicData>
            </a:graphic>
          </wp:inline>
        </w:drawing>
      </w:r>
    </w:p>
    <w:p w14:paraId="4C8779AD" w14:textId="7F1584DB" w:rsidR="00DF0134" w:rsidRPr="00DA1EA9" w:rsidRDefault="00DF0134" w:rsidP="00DF0134">
      <w:r w:rsidRPr="00DA1EA9">
        <w:t xml:space="preserve">Based on the above, the list should </w:t>
      </w:r>
      <w:proofErr w:type="gramStart"/>
      <w:r w:rsidRPr="00DA1EA9">
        <w:t>be modified</w:t>
      </w:r>
      <w:proofErr w:type="gramEnd"/>
      <w:r w:rsidRPr="00DA1EA9">
        <w:t xml:space="preserve"> and delete any non-used orbital planes in order not to cause any misleading during the interference analysis or any subsequent resolutions that are related to Resolution</w:t>
      </w:r>
      <w:r w:rsidR="00183988" w:rsidRPr="00DA1EA9">
        <w:t> </w:t>
      </w:r>
      <w:r w:rsidRPr="00DA1EA9">
        <w:rPr>
          <w:b/>
          <w:bCs/>
        </w:rPr>
        <w:t>35 (WRC-19)</w:t>
      </w:r>
      <w:r w:rsidRPr="00DA1EA9">
        <w:rPr>
          <w:bCs/>
        </w:rPr>
        <w:t>.</w:t>
      </w:r>
    </w:p>
    <w:p w14:paraId="03E86074" w14:textId="77777777" w:rsidR="001D3C96" w:rsidRPr="00DA1EA9" w:rsidRDefault="001D3C96" w:rsidP="001D3C96">
      <w:pPr>
        <w:pStyle w:val="Reasons"/>
      </w:pPr>
    </w:p>
    <w:p w14:paraId="6B08C526" w14:textId="728D8C96" w:rsidR="001D3C96" w:rsidRPr="00DA1EA9" w:rsidRDefault="001D3C96" w:rsidP="001D3C96">
      <w:pPr>
        <w:pStyle w:val="Proposal"/>
      </w:pPr>
      <w:r w:rsidRPr="00DA1EA9">
        <w:lastRenderedPageBreak/>
        <w:tab/>
        <w:t>AFCP/87A25/3</w:t>
      </w:r>
    </w:p>
    <w:p w14:paraId="02F16478" w14:textId="7D556BBA" w:rsidR="00DF0134" w:rsidRPr="00DA1EA9" w:rsidRDefault="00DF0134" w:rsidP="009E19E8">
      <w:pPr>
        <w:pStyle w:val="Headingb"/>
        <w:rPr>
          <w:lang w:val="en-GB"/>
        </w:rPr>
      </w:pPr>
      <w:r w:rsidRPr="00DA1EA9">
        <w:rPr>
          <w:rFonts w:eastAsia="Times"/>
          <w:lang w:val="en-GB"/>
        </w:rPr>
        <w:t>Introduction</w:t>
      </w:r>
    </w:p>
    <w:p w14:paraId="01A7F0A4" w14:textId="30AFB35D" w:rsidR="00DF0134" w:rsidRPr="00DA1EA9" w:rsidRDefault="00DF0134" w:rsidP="00DF0134">
      <w:pPr>
        <w:rPr>
          <w:lang w:eastAsia="zh-CN"/>
        </w:rPr>
      </w:pPr>
      <w:r w:rsidRPr="00DA1EA9">
        <w:rPr>
          <w:lang w:eastAsia="zh-CN"/>
        </w:rPr>
        <w:t>In accordance with Resolution</w:t>
      </w:r>
      <w:r w:rsidR="002047DE" w:rsidRPr="00DA1EA9">
        <w:rPr>
          <w:lang w:eastAsia="zh-CN"/>
        </w:rPr>
        <w:t> </w:t>
      </w:r>
      <w:r w:rsidRPr="00DA1EA9">
        <w:rPr>
          <w:b/>
          <w:bCs/>
          <w:lang w:eastAsia="zh-CN"/>
        </w:rPr>
        <w:t>559 (WRC-19)</w:t>
      </w:r>
      <w:r w:rsidRPr="00DA1EA9">
        <w:rPr>
          <w:lang w:eastAsia="zh-CN"/>
        </w:rPr>
        <w:t xml:space="preserve"> and the associated instructions to the Bureau from WRC-19, the Bureau has identified 55 </w:t>
      </w:r>
      <w:r w:rsidR="004C414C" w:rsidRPr="00DA1EA9">
        <w:rPr>
          <w:lang w:eastAsia="zh-CN"/>
        </w:rPr>
        <w:t>a</w:t>
      </w:r>
      <w:r w:rsidRPr="00DA1EA9">
        <w:rPr>
          <w:lang w:eastAsia="zh-CN"/>
        </w:rPr>
        <w:t xml:space="preserve">dministrations </w:t>
      </w:r>
      <w:r w:rsidRPr="00DA1EA9">
        <w:t xml:space="preserve">eligible to apply the Special Procedure described in the said Resolution. These 55 </w:t>
      </w:r>
      <w:r w:rsidR="004C414C" w:rsidRPr="00DA1EA9">
        <w:t>a</w:t>
      </w:r>
      <w:r w:rsidRPr="00DA1EA9">
        <w:t xml:space="preserve">dministrations have </w:t>
      </w:r>
      <w:proofErr w:type="gramStart"/>
      <w:r w:rsidRPr="00DA1EA9">
        <w:t>been listed</w:t>
      </w:r>
      <w:proofErr w:type="gramEnd"/>
      <w:r w:rsidRPr="00DA1EA9">
        <w:t xml:space="preserve"> in Circular Letter CR/455 of 21</w:t>
      </w:r>
      <w:r w:rsidR="002047DE" w:rsidRPr="00DA1EA9">
        <w:t> </w:t>
      </w:r>
      <w:r w:rsidRPr="00DA1EA9">
        <w:t>February</w:t>
      </w:r>
      <w:r w:rsidR="002047DE" w:rsidRPr="00DA1EA9">
        <w:t> </w:t>
      </w:r>
      <w:r w:rsidRPr="00DA1EA9">
        <w:t>2020 on the implementation of Resolution</w:t>
      </w:r>
      <w:r w:rsidR="002047DE" w:rsidRPr="00DA1EA9">
        <w:t> </w:t>
      </w:r>
      <w:r w:rsidRPr="00DA1EA9">
        <w:rPr>
          <w:b/>
          <w:bCs/>
        </w:rPr>
        <w:t>559 (WRC-19)</w:t>
      </w:r>
      <w:r w:rsidRPr="00DA1EA9">
        <w:t>.</w:t>
      </w:r>
    </w:p>
    <w:p w14:paraId="22C77B08" w14:textId="4D3C4546" w:rsidR="00DF0134" w:rsidRPr="00DA1EA9" w:rsidRDefault="00E93C43" w:rsidP="00DF0134">
      <w:r w:rsidRPr="00DA1EA9">
        <w:t>Forty-five</w:t>
      </w:r>
      <w:r w:rsidR="00DF0134" w:rsidRPr="00DA1EA9">
        <w:t xml:space="preserve"> </w:t>
      </w:r>
      <w:r w:rsidR="004C414C" w:rsidRPr="00DA1EA9">
        <w:t>a</w:t>
      </w:r>
      <w:r w:rsidR="00DF0134" w:rsidRPr="00DA1EA9">
        <w:t xml:space="preserve">dministrations out of the 55 eligible </w:t>
      </w:r>
      <w:r w:rsidR="004C414C" w:rsidRPr="00DA1EA9">
        <w:t>a</w:t>
      </w:r>
      <w:r w:rsidR="00DF0134" w:rsidRPr="00DA1EA9">
        <w:t>dministrations applied the above-mentioned Special Procedure by sending a request together with a submission</w:t>
      </w:r>
      <w:r w:rsidR="002047DE" w:rsidRPr="00DA1EA9">
        <w:rPr>
          <w:rStyle w:val="FootnoteReference"/>
        </w:rPr>
        <w:footnoteReference w:customMarkFollows="1" w:id="2"/>
        <w:t>1</w:t>
      </w:r>
      <w:r w:rsidR="00DF0134" w:rsidRPr="00DA1EA9">
        <w:t>, consisting of one notice for downlink and another notice for feeder-link.</w:t>
      </w:r>
    </w:p>
    <w:p w14:paraId="59C795E6" w14:textId="3BD25985" w:rsidR="00DF0134" w:rsidRPr="00DA1EA9" w:rsidRDefault="00E93C43" w:rsidP="00DF0134">
      <w:pPr>
        <w:rPr>
          <w:lang w:eastAsia="zh-CN"/>
        </w:rPr>
      </w:pPr>
      <w:r w:rsidRPr="00DA1EA9">
        <w:rPr>
          <w:lang w:eastAsia="zh-CN"/>
        </w:rPr>
        <w:t>Ninety</w:t>
      </w:r>
      <w:r w:rsidR="00DF0134" w:rsidRPr="00DA1EA9">
        <w:rPr>
          <w:lang w:eastAsia="zh-CN"/>
        </w:rPr>
        <w:t xml:space="preserve"> Part A Special Sections corresponding to </w:t>
      </w:r>
      <w:proofErr w:type="gramStart"/>
      <w:r w:rsidR="00DF0134" w:rsidRPr="00DA1EA9">
        <w:rPr>
          <w:lang w:eastAsia="zh-CN"/>
        </w:rPr>
        <w:t xml:space="preserve">the 45 </w:t>
      </w:r>
      <w:r w:rsidR="005929DC" w:rsidRPr="00DA1EA9">
        <w:t>Resolution</w:t>
      </w:r>
      <w:r w:rsidR="002047DE" w:rsidRPr="00DA1EA9">
        <w:t> </w:t>
      </w:r>
      <w:r w:rsidR="005929DC" w:rsidRPr="00DA1EA9">
        <w:rPr>
          <w:b/>
          <w:bCs/>
        </w:rPr>
        <w:t>559 (WRC-19)</w:t>
      </w:r>
      <w:r w:rsidR="007170C0" w:rsidRPr="00DA1EA9">
        <w:rPr>
          <w:b/>
          <w:bCs/>
        </w:rPr>
        <w:t xml:space="preserve"> </w:t>
      </w:r>
      <w:r w:rsidR="00DF0134" w:rsidRPr="00DA1EA9">
        <w:rPr>
          <w:lang w:eastAsia="zh-CN"/>
        </w:rPr>
        <w:t>submissions were published by the Bureau in BR IFIC 2932 of 27</w:t>
      </w:r>
      <w:r w:rsidR="002047DE" w:rsidRPr="00DA1EA9">
        <w:rPr>
          <w:lang w:eastAsia="zh-CN"/>
        </w:rPr>
        <w:t> </w:t>
      </w:r>
      <w:r w:rsidR="00DF0134" w:rsidRPr="00DA1EA9">
        <w:rPr>
          <w:lang w:eastAsia="zh-CN"/>
        </w:rPr>
        <w:t>October</w:t>
      </w:r>
      <w:r w:rsidR="002047DE" w:rsidRPr="00DA1EA9">
        <w:rPr>
          <w:lang w:eastAsia="zh-CN"/>
        </w:rPr>
        <w:t> </w:t>
      </w:r>
      <w:r w:rsidR="00DF0134" w:rsidRPr="00DA1EA9">
        <w:rPr>
          <w:lang w:eastAsia="zh-CN"/>
        </w:rPr>
        <w:t>2020</w:t>
      </w:r>
      <w:proofErr w:type="gramEnd"/>
      <w:r w:rsidR="00DF0134" w:rsidRPr="00DA1EA9">
        <w:rPr>
          <w:lang w:eastAsia="zh-CN"/>
        </w:rPr>
        <w:t>.</w:t>
      </w:r>
    </w:p>
    <w:p w14:paraId="58CE87DC" w14:textId="19E34901" w:rsidR="00DF0134" w:rsidRPr="00DA1EA9" w:rsidRDefault="00DF0134" w:rsidP="00DF0134">
      <w:pPr>
        <w:rPr>
          <w:lang w:eastAsia="zh-CN"/>
        </w:rPr>
      </w:pPr>
      <w:r w:rsidRPr="00DA1EA9">
        <w:rPr>
          <w:lang w:eastAsia="zh-CN"/>
        </w:rPr>
        <w:t xml:space="preserve">The coordination process with affected </w:t>
      </w:r>
      <w:r w:rsidR="00C16A03" w:rsidRPr="00DA1EA9">
        <w:t>a</w:t>
      </w:r>
      <w:r w:rsidRPr="00DA1EA9">
        <w:rPr>
          <w:lang w:eastAsia="zh-CN"/>
        </w:rPr>
        <w:t>dministrations begun on 27</w:t>
      </w:r>
      <w:r w:rsidR="002047DE" w:rsidRPr="00DA1EA9">
        <w:rPr>
          <w:lang w:eastAsia="zh-CN"/>
        </w:rPr>
        <w:t> </w:t>
      </w:r>
      <w:r w:rsidRPr="00DA1EA9">
        <w:rPr>
          <w:lang w:eastAsia="zh-CN"/>
        </w:rPr>
        <w:t>February</w:t>
      </w:r>
      <w:r w:rsidR="002047DE" w:rsidRPr="00DA1EA9">
        <w:rPr>
          <w:lang w:eastAsia="zh-CN"/>
        </w:rPr>
        <w:t> </w:t>
      </w:r>
      <w:r w:rsidRPr="00DA1EA9">
        <w:rPr>
          <w:lang w:eastAsia="zh-CN"/>
        </w:rPr>
        <w:t>2021 after the end of the four-month commenting period.</w:t>
      </w:r>
    </w:p>
    <w:p w14:paraId="063EE947" w14:textId="4DDA9F14" w:rsidR="00DF0134" w:rsidRPr="00DA1EA9" w:rsidRDefault="00DF0134" w:rsidP="00DF0134">
      <w:pPr>
        <w:rPr>
          <w:lang w:eastAsia="zh-CN"/>
        </w:rPr>
      </w:pPr>
      <w:proofErr w:type="gramStart"/>
      <w:r w:rsidRPr="00DA1EA9">
        <w:rPr>
          <w:lang w:eastAsia="zh-CN"/>
        </w:rPr>
        <w:t>In order to</w:t>
      </w:r>
      <w:proofErr w:type="gramEnd"/>
      <w:r w:rsidRPr="00DA1EA9">
        <w:rPr>
          <w:lang w:eastAsia="zh-CN"/>
        </w:rPr>
        <w:t xml:space="preserve"> be on time for consideration of WRC-23, 41 out </w:t>
      </w:r>
      <w:r w:rsidR="0008262F" w:rsidRPr="00DA1EA9">
        <w:rPr>
          <w:lang w:eastAsia="zh-CN"/>
        </w:rPr>
        <w:t xml:space="preserve">of </w:t>
      </w:r>
      <w:r w:rsidRPr="00DA1EA9">
        <w:rPr>
          <w:lang w:eastAsia="zh-CN"/>
        </w:rPr>
        <w:t xml:space="preserve">the 45 </w:t>
      </w:r>
      <w:r w:rsidR="00C16A03" w:rsidRPr="00DA1EA9">
        <w:t>a</w:t>
      </w:r>
      <w:r w:rsidRPr="00DA1EA9">
        <w:rPr>
          <w:lang w:eastAsia="zh-CN"/>
        </w:rPr>
        <w:t xml:space="preserve">dministrations have submitted Part B of their </w:t>
      </w:r>
      <w:r w:rsidR="00CB0D34" w:rsidRPr="00DA1EA9">
        <w:t>Resolution</w:t>
      </w:r>
      <w:r w:rsidR="002047DE" w:rsidRPr="00DA1EA9">
        <w:t> </w:t>
      </w:r>
      <w:r w:rsidR="00CB0D34" w:rsidRPr="00DA1EA9">
        <w:rPr>
          <w:b/>
          <w:bCs/>
        </w:rPr>
        <w:t>559 (WRC-19)</w:t>
      </w:r>
      <w:r w:rsidR="00CB0D34" w:rsidRPr="00DA1EA9">
        <w:t xml:space="preserve"> </w:t>
      </w:r>
      <w:r w:rsidRPr="00DA1EA9">
        <w:rPr>
          <w:lang w:eastAsia="zh-CN"/>
        </w:rPr>
        <w:t xml:space="preserve">submissions before end of January 2023. </w:t>
      </w:r>
      <w:proofErr w:type="gramStart"/>
      <w:r w:rsidRPr="00DA1EA9">
        <w:rPr>
          <w:lang w:eastAsia="zh-CN"/>
        </w:rPr>
        <w:t>82 Part B Special Sections were published by the Bureau in BR IFIC 2993 of 4</w:t>
      </w:r>
      <w:r w:rsidR="002047DE" w:rsidRPr="00DA1EA9">
        <w:rPr>
          <w:lang w:eastAsia="zh-CN"/>
        </w:rPr>
        <w:t> </w:t>
      </w:r>
      <w:r w:rsidRPr="00DA1EA9">
        <w:rPr>
          <w:lang w:eastAsia="zh-CN"/>
        </w:rPr>
        <w:t>April</w:t>
      </w:r>
      <w:r w:rsidR="002047DE" w:rsidRPr="00DA1EA9">
        <w:rPr>
          <w:lang w:eastAsia="zh-CN"/>
        </w:rPr>
        <w:t> </w:t>
      </w:r>
      <w:r w:rsidRPr="00DA1EA9">
        <w:rPr>
          <w:lang w:eastAsia="zh-CN"/>
        </w:rPr>
        <w:t>2023</w:t>
      </w:r>
      <w:proofErr w:type="gramEnd"/>
      <w:r w:rsidRPr="00DA1EA9">
        <w:rPr>
          <w:lang w:eastAsia="zh-CN"/>
        </w:rPr>
        <w:t xml:space="preserve"> for the inclusion of frequency assignments of these </w:t>
      </w:r>
      <w:r w:rsidR="00E94E3B" w:rsidRPr="00DA1EA9">
        <w:t>Resolution</w:t>
      </w:r>
      <w:r w:rsidR="002047DE" w:rsidRPr="00DA1EA9">
        <w:t> </w:t>
      </w:r>
      <w:r w:rsidR="00E94E3B" w:rsidRPr="00DA1EA9">
        <w:rPr>
          <w:b/>
          <w:bCs/>
        </w:rPr>
        <w:t>559 (WRC-19)</w:t>
      </w:r>
      <w:r w:rsidR="00E94E3B" w:rsidRPr="00DA1EA9">
        <w:t xml:space="preserve"> </w:t>
      </w:r>
      <w:r w:rsidRPr="00DA1EA9">
        <w:rPr>
          <w:lang w:eastAsia="zh-CN"/>
        </w:rPr>
        <w:t xml:space="preserve">submissions in the </w:t>
      </w:r>
      <w:r w:rsidR="00694ADE" w:rsidRPr="00DA1EA9">
        <w:rPr>
          <w:lang w:eastAsia="zh-CN"/>
        </w:rPr>
        <w:t>L</w:t>
      </w:r>
      <w:r w:rsidRPr="00DA1EA9">
        <w:rPr>
          <w:lang w:eastAsia="zh-CN"/>
        </w:rPr>
        <w:t xml:space="preserve">ist of additional uses of </w:t>
      </w:r>
      <w:r w:rsidR="00E94E3B" w:rsidRPr="00DA1EA9">
        <w:rPr>
          <w:lang w:eastAsia="zh-CN"/>
        </w:rPr>
        <w:t xml:space="preserve">RR </w:t>
      </w:r>
      <w:r w:rsidRPr="00DA1EA9">
        <w:rPr>
          <w:lang w:eastAsia="zh-CN"/>
        </w:rPr>
        <w:t>Appendices</w:t>
      </w:r>
      <w:r w:rsidR="002047DE" w:rsidRPr="00DA1EA9">
        <w:rPr>
          <w:lang w:eastAsia="zh-CN"/>
        </w:rPr>
        <w:t> </w:t>
      </w:r>
      <w:r w:rsidRPr="00DA1EA9">
        <w:rPr>
          <w:b/>
          <w:bCs/>
          <w:lang w:eastAsia="zh-CN"/>
        </w:rPr>
        <w:t>30</w:t>
      </w:r>
      <w:r w:rsidRPr="00DA1EA9">
        <w:rPr>
          <w:lang w:eastAsia="zh-CN"/>
        </w:rPr>
        <w:t xml:space="preserve"> and</w:t>
      </w:r>
      <w:r w:rsidR="002047DE" w:rsidRPr="00DA1EA9">
        <w:rPr>
          <w:lang w:eastAsia="zh-CN"/>
        </w:rPr>
        <w:t> </w:t>
      </w:r>
      <w:r w:rsidRPr="00DA1EA9">
        <w:rPr>
          <w:b/>
          <w:bCs/>
          <w:lang w:eastAsia="zh-CN"/>
        </w:rPr>
        <w:t>30A</w:t>
      </w:r>
      <w:r w:rsidRPr="00DA1EA9">
        <w:rPr>
          <w:lang w:eastAsia="zh-CN"/>
        </w:rPr>
        <w:t>.</w:t>
      </w:r>
    </w:p>
    <w:p w14:paraId="368800EA" w14:textId="392069C2" w:rsidR="00DF0134" w:rsidRPr="00DA1EA9" w:rsidRDefault="00DF0134" w:rsidP="00E94E3B">
      <w:pPr>
        <w:pStyle w:val="Headingb"/>
        <w:rPr>
          <w:lang w:val="en-GB"/>
        </w:rPr>
      </w:pPr>
      <w:r w:rsidRPr="00DA1EA9">
        <w:rPr>
          <w:lang w:val="en-GB"/>
        </w:rPr>
        <w:t xml:space="preserve">Frequency </w:t>
      </w:r>
      <w:r w:rsidR="00821DE1" w:rsidRPr="00DA1EA9">
        <w:rPr>
          <w:lang w:val="en-GB"/>
        </w:rPr>
        <w:t xml:space="preserve">coordination </w:t>
      </w:r>
      <w:r w:rsidRPr="00DA1EA9">
        <w:rPr>
          <w:lang w:val="en-GB"/>
        </w:rPr>
        <w:t xml:space="preserve">of </w:t>
      </w:r>
      <w:r w:rsidR="00E94E3B" w:rsidRPr="00DA1EA9">
        <w:rPr>
          <w:lang w:val="en-GB"/>
        </w:rPr>
        <w:t>Resolution</w:t>
      </w:r>
      <w:r w:rsidR="002047DE" w:rsidRPr="00DA1EA9">
        <w:rPr>
          <w:lang w:val="en-GB"/>
        </w:rPr>
        <w:t> </w:t>
      </w:r>
      <w:r w:rsidR="00E94E3B" w:rsidRPr="00DA1EA9">
        <w:rPr>
          <w:lang w:val="en-GB"/>
        </w:rPr>
        <w:t xml:space="preserve">559 (WRC-19) </w:t>
      </w:r>
      <w:r w:rsidRPr="00DA1EA9">
        <w:rPr>
          <w:lang w:val="en-GB"/>
        </w:rPr>
        <w:t>submissions</w:t>
      </w:r>
    </w:p>
    <w:p w14:paraId="1A97ECB9" w14:textId="7CB0E93F" w:rsidR="00DF0134" w:rsidRPr="00DA1EA9" w:rsidRDefault="00DF0134" w:rsidP="00DF0134">
      <w:pPr>
        <w:rPr>
          <w:lang w:eastAsia="zh-CN"/>
        </w:rPr>
      </w:pPr>
      <w:r w:rsidRPr="00DA1EA9">
        <w:rPr>
          <w:lang w:eastAsia="zh-CN"/>
        </w:rPr>
        <w:t>Based on the technical examination of the Bureau as published in the Part A Special Sections in BR IFIC 2932 of 27</w:t>
      </w:r>
      <w:r w:rsidR="00183988" w:rsidRPr="00DA1EA9">
        <w:rPr>
          <w:lang w:eastAsia="zh-CN"/>
        </w:rPr>
        <w:t> </w:t>
      </w:r>
      <w:r w:rsidRPr="00DA1EA9">
        <w:rPr>
          <w:lang w:eastAsia="zh-CN"/>
        </w:rPr>
        <w:t>October</w:t>
      </w:r>
      <w:r w:rsidR="00183988" w:rsidRPr="00DA1EA9">
        <w:rPr>
          <w:lang w:eastAsia="zh-CN"/>
        </w:rPr>
        <w:t> </w:t>
      </w:r>
      <w:r w:rsidRPr="00DA1EA9">
        <w:rPr>
          <w:lang w:eastAsia="zh-CN"/>
        </w:rPr>
        <w:t xml:space="preserve">2020, there are total of 100 potentially affected </w:t>
      </w:r>
      <w:r w:rsidR="00821DE1" w:rsidRPr="00DA1EA9">
        <w:t>a</w:t>
      </w:r>
      <w:r w:rsidRPr="00DA1EA9">
        <w:rPr>
          <w:lang w:eastAsia="zh-CN"/>
        </w:rPr>
        <w:t>dministrations involving 1</w:t>
      </w:r>
      <w:r w:rsidR="00243F85" w:rsidRPr="00DA1EA9">
        <w:rPr>
          <w:lang w:eastAsia="zh-CN"/>
        </w:rPr>
        <w:t> </w:t>
      </w:r>
      <w:r w:rsidRPr="00DA1EA9">
        <w:rPr>
          <w:lang w:eastAsia="zh-CN"/>
        </w:rPr>
        <w:t>459 frequency coordination cases.</w:t>
      </w:r>
    </w:p>
    <w:p w14:paraId="51613545" w14:textId="7D49478E" w:rsidR="00DF0134" w:rsidRPr="00DA1EA9" w:rsidRDefault="00DF0134" w:rsidP="00DF0134">
      <w:pPr>
        <w:rPr>
          <w:lang w:eastAsia="zh-CN"/>
        </w:rPr>
      </w:pPr>
      <w:r w:rsidRPr="00DA1EA9">
        <w:rPr>
          <w:lang w:eastAsia="zh-CN"/>
        </w:rPr>
        <w:t xml:space="preserve">The </w:t>
      </w:r>
      <w:r w:rsidR="00243F85" w:rsidRPr="00DA1EA9">
        <w:t>Resolution</w:t>
      </w:r>
      <w:r w:rsidR="002047DE" w:rsidRPr="00DA1EA9">
        <w:t> </w:t>
      </w:r>
      <w:r w:rsidR="00243F85" w:rsidRPr="00DA1EA9">
        <w:rPr>
          <w:b/>
          <w:bCs/>
        </w:rPr>
        <w:t>559 (WRC-19)</w:t>
      </w:r>
      <w:r w:rsidR="00243F85" w:rsidRPr="00DA1EA9">
        <w:t xml:space="preserve"> </w:t>
      </w:r>
      <w:r w:rsidR="00821DE1" w:rsidRPr="00DA1EA9">
        <w:t>a</w:t>
      </w:r>
      <w:r w:rsidRPr="00DA1EA9">
        <w:rPr>
          <w:lang w:eastAsia="zh-CN"/>
        </w:rPr>
        <w:t xml:space="preserve">dministrations have not only actively </w:t>
      </w:r>
      <w:proofErr w:type="gramStart"/>
      <w:r w:rsidRPr="00DA1EA9">
        <w:rPr>
          <w:lang w:eastAsia="zh-CN"/>
        </w:rPr>
        <w:t>carried out</w:t>
      </w:r>
      <w:proofErr w:type="gramEnd"/>
      <w:r w:rsidRPr="00DA1EA9">
        <w:rPr>
          <w:lang w:eastAsia="zh-CN"/>
        </w:rPr>
        <w:t xml:space="preserve"> the frequency coordination but also submitted various proposals to the Radio Regulations Board (RRB) and ITU</w:t>
      </w:r>
      <w:r w:rsidR="00E93C43" w:rsidRPr="00DA1EA9">
        <w:rPr>
          <w:lang w:eastAsia="zh-CN"/>
        </w:rPr>
        <w:noBreakHyphen/>
      </w:r>
      <w:r w:rsidRPr="00DA1EA9">
        <w:rPr>
          <w:lang w:eastAsia="zh-CN"/>
        </w:rPr>
        <w:t xml:space="preserve">R Working Party </w:t>
      </w:r>
      <w:r w:rsidR="00243F85" w:rsidRPr="00DA1EA9">
        <w:rPr>
          <w:lang w:eastAsia="zh-CN"/>
        </w:rPr>
        <w:t xml:space="preserve">(WP) </w:t>
      </w:r>
      <w:r w:rsidRPr="00DA1EA9">
        <w:rPr>
          <w:lang w:eastAsia="zh-CN"/>
        </w:rPr>
        <w:t xml:space="preserve">4A in order to facilitate the required frequency coordination. </w:t>
      </w:r>
    </w:p>
    <w:p w14:paraId="19457D86" w14:textId="29D5912E" w:rsidR="00DF0134" w:rsidRDefault="00DF0134" w:rsidP="00494E0D">
      <w:pPr>
        <w:rPr>
          <w:lang w:eastAsia="zh-CN"/>
        </w:rPr>
      </w:pPr>
      <w:r w:rsidRPr="00DA1EA9">
        <w:rPr>
          <w:lang w:eastAsia="zh-CN"/>
        </w:rPr>
        <w:t xml:space="preserve">For the 41 </w:t>
      </w:r>
      <w:r w:rsidR="00243F85" w:rsidRPr="00DA1EA9">
        <w:t>Resolution</w:t>
      </w:r>
      <w:r w:rsidR="002047DE" w:rsidRPr="00DA1EA9">
        <w:t> </w:t>
      </w:r>
      <w:r w:rsidR="00243F85" w:rsidRPr="00DA1EA9">
        <w:rPr>
          <w:b/>
          <w:bCs/>
        </w:rPr>
        <w:t>559 (WRC-19)</w:t>
      </w:r>
      <w:r w:rsidR="00243F85" w:rsidRPr="00DA1EA9">
        <w:t xml:space="preserve"> </w:t>
      </w:r>
      <w:r w:rsidRPr="00DA1EA9">
        <w:rPr>
          <w:lang w:eastAsia="zh-CN"/>
        </w:rPr>
        <w:t xml:space="preserve">submissions for which Part B have </w:t>
      </w:r>
      <w:proofErr w:type="gramStart"/>
      <w:r w:rsidRPr="00DA1EA9">
        <w:rPr>
          <w:lang w:eastAsia="zh-CN"/>
        </w:rPr>
        <w:t>been submitted</w:t>
      </w:r>
      <w:proofErr w:type="gramEnd"/>
      <w:r w:rsidRPr="00DA1EA9">
        <w:rPr>
          <w:lang w:eastAsia="zh-CN"/>
        </w:rPr>
        <w:t>, there are a total of 1</w:t>
      </w:r>
      <w:r w:rsidR="00243F85" w:rsidRPr="00DA1EA9">
        <w:rPr>
          <w:lang w:eastAsia="zh-CN"/>
        </w:rPr>
        <w:t> </w:t>
      </w:r>
      <w:r w:rsidRPr="00DA1EA9">
        <w:rPr>
          <w:lang w:eastAsia="zh-CN"/>
        </w:rPr>
        <w:t>393 frequency coordination cases involved. Thanks to the decisions of RRB, the technical advice of WP</w:t>
      </w:r>
      <w:r w:rsidR="00243F85" w:rsidRPr="00DA1EA9">
        <w:rPr>
          <w:lang w:eastAsia="zh-CN"/>
        </w:rPr>
        <w:t> </w:t>
      </w:r>
      <w:r w:rsidRPr="00DA1EA9">
        <w:rPr>
          <w:lang w:eastAsia="zh-CN"/>
        </w:rPr>
        <w:t xml:space="preserve">4A, the active roles of </w:t>
      </w:r>
      <w:r w:rsidR="00243F85" w:rsidRPr="00DA1EA9">
        <w:t>Resolution</w:t>
      </w:r>
      <w:r w:rsidR="002047DE" w:rsidRPr="00DA1EA9">
        <w:t> </w:t>
      </w:r>
      <w:r w:rsidR="00243F85" w:rsidRPr="00DA1EA9">
        <w:rPr>
          <w:b/>
          <w:bCs/>
        </w:rPr>
        <w:t>559 (WRC-19)</w:t>
      </w:r>
      <w:r w:rsidR="00243F85" w:rsidRPr="00DA1EA9">
        <w:t xml:space="preserve"> </w:t>
      </w:r>
      <w:r w:rsidR="006B51C7" w:rsidRPr="00DA1EA9">
        <w:t>a</w:t>
      </w:r>
      <w:r w:rsidRPr="00DA1EA9">
        <w:rPr>
          <w:lang w:eastAsia="zh-CN"/>
        </w:rPr>
        <w:t xml:space="preserve">dministrations and the assistance of the Bureau, 87.08% of the frequency coordination cases have </w:t>
      </w:r>
      <w:proofErr w:type="gramStart"/>
      <w:r w:rsidRPr="00DA1EA9">
        <w:rPr>
          <w:lang w:eastAsia="zh-CN"/>
        </w:rPr>
        <w:t>been completed</w:t>
      </w:r>
      <w:proofErr w:type="gramEnd"/>
      <w:r w:rsidRPr="00DA1EA9">
        <w:rPr>
          <w:lang w:eastAsia="zh-CN"/>
        </w:rPr>
        <w:t xml:space="preserve">. Nevertheless, there are 180 frequency coordination cases which are yet to </w:t>
      </w:r>
      <w:proofErr w:type="gramStart"/>
      <w:r w:rsidRPr="00DA1EA9">
        <w:rPr>
          <w:lang w:eastAsia="zh-CN"/>
        </w:rPr>
        <w:t>be completed</w:t>
      </w:r>
      <w:proofErr w:type="gramEnd"/>
      <w:r w:rsidRPr="00DA1EA9">
        <w:rPr>
          <w:lang w:eastAsia="zh-CN"/>
        </w:rPr>
        <w:t>. Statistics of major remaining coordination cases are as follows:</w:t>
      </w:r>
    </w:p>
    <w:p w14:paraId="64D925F9" w14:textId="77777777" w:rsidR="00DA1EA9" w:rsidRPr="00DA1EA9" w:rsidRDefault="00DA1EA9" w:rsidP="00494E0D">
      <w:pPr>
        <w:spacing w:before="0" w:after="120"/>
        <w:rPr>
          <w:lang w:eastAsia="zh-CN"/>
        </w:rPr>
      </w:pPr>
    </w:p>
    <w:tbl>
      <w:tblPr>
        <w:tblStyle w:val="TableGrid"/>
        <w:tblW w:w="0" w:type="auto"/>
        <w:jc w:val="center"/>
        <w:tblLayout w:type="fixed"/>
        <w:tblLook w:val="04A0" w:firstRow="1" w:lastRow="0" w:firstColumn="1" w:lastColumn="0" w:noHBand="0" w:noVBand="1"/>
      </w:tblPr>
      <w:tblGrid>
        <w:gridCol w:w="1269"/>
        <w:gridCol w:w="2393"/>
        <w:gridCol w:w="2393"/>
        <w:gridCol w:w="2393"/>
      </w:tblGrid>
      <w:tr w:rsidR="00DF0134" w:rsidRPr="00DA1EA9" w14:paraId="71B580A5" w14:textId="77777777" w:rsidTr="00B3785D">
        <w:trPr>
          <w:jc w:val="center"/>
        </w:trPr>
        <w:tc>
          <w:tcPr>
            <w:tcW w:w="1269" w:type="dxa"/>
            <w:vAlign w:val="center"/>
          </w:tcPr>
          <w:p w14:paraId="3B2D6115" w14:textId="77777777" w:rsidR="00DF0134" w:rsidRPr="00DA1EA9" w:rsidRDefault="00DF0134" w:rsidP="003E1E9B">
            <w:pPr>
              <w:pStyle w:val="Tablehead"/>
              <w:rPr>
                <w:lang w:eastAsia="zh-CN"/>
              </w:rPr>
            </w:pPr>
            <w:r w:rsidRPr="00DA1EA9">
              <w:rPr>
                <w:lang w:eastAsia="zh-CN"/>
              </w:rPr>
              <w:t>Total</w:t>
            </w:r>
          </w:p>
        </w:tc>
        <w:tc>
          <w:tcPr>
            <w:tcW w:w="2393" w:type="dxa"/>
            <w:vAlign w:val="center"/>
          </w:tcPr>
          <w:p w14:paraId="273D0B4D" w14:textId="0E48B3FF" w:rsidR="00DF0134" w:rsidRPr="00DA1EA9" w:rsidRDefault="00DF0134" w:rsidP="00DA1EA9">
            <w:pPr>
              <w:pStyle w:val="Tablehead"/>
              <w:rPr>
                <w:lang w:eastAsia="zh-CN"/>
              </w:rPr>
            </w:pPr>
            <w:r w:rsidRPr="00DA1EA9">
              <w:rPr>
                <w:lang w:eastAsia="zh-CN"/>
              </w:rPr>
              <w:t>Coordination under</w:t>
            </w:r>
            <w:r w:rsidR="00DA1EA9">
              <w:rPr>
                <w:lang w:eastAsia="zh-CN"/>
              </w:rPr>
              <w:br/>
            </w:r>
            <w:r w:rsidRPr="00DA1EA9">
              <w:rPr>
                <w:lang w:eastAsia="zh-CN"/>
              </w:rPr>
              <w:t>A30#4.1.1b)</w:t>
            </w:r>
          </w:p>
        </w:tc>
        <w:tc>
          <w:tcPr>
            <w:tcW w:w="2393" w:type="dxa"/>
            <w:vAlign w:val="center"/>
          </w:tcPr>
          <w:p w14:paraId="233FFFD8" w14:textId="7F16EE35" w:rsidR="00DF0134" w:rsidRPr="00DA1EA9" w:rsidRDefault="00DF0134" w:rsidP="00DA1EA9">
            <w:pPr>
              <w:pStyle w:val="Tablehead"/>
              <w:rPr>
                <w:lang w:eastAsia="zh-CN"/>
              </w:rPr>
            </w:pPr>
            <w:r w:rsidRPr="00DA1EA9">
              <w:rPr>
                <w:lang w:eastAsia="zh-CN"/>
              </w:rPr>
              <w:t>Coordination under</w:t>
            </w:r>
            <w:r w:rsidR="00DA1EA9">
              <w:rPr>
                <w:lang w:eastAsia="zh-CN"/>
              </w:rPr>
              <w:br/>
            </w:r>
            <w:r w:rsidRPr="00DA1EA9">
              <w:rPr>
                <w:lang w:eastAsia="zh-CN"/>
              </w:rPr>
              <w:t>A30#4.1.1e)</w:t>
            </w:r>
          </w:p>
        </w:tc>
        <w:tc>
          <w:tcPr>
            <w:tcW w:w="2393" w:type="dxa"/>
            <w:vAlign w:val="center"/>
          </w:tcPr>
          <w:p w14:paraId="5CBA49FE" w14:textId="55D7E998" w:rsidR="00DF0134" w:rsidRPr="00DA1EA9" w:rsidRDefault="00DF0134" w:rsidP="00DA1EA9">
            <w:pPr>
              <w:pStyle w:val="Tablehead"/>
              <w:rPr>
                <w:lang w:eastAsia="zh-CN"/>
              </w:rPr>
            </w:pPr>
            <w:r w:rsidRPr="00DA1EA9">
              <w:rPr>
                <w:lang w:eastAsia="zh-CN"/>
              </w:rPr>
              <w:t>Coordination under</w:t>
            </w:r>
            <w:r w:rsidR="00DA1EA9">
              <w:rPr>
                <w:lang w:eastAsia="zh-CN"/>
              </w:rPr>
              <w:br/>
            </w:r>
            <w:r w:rsidRPr="00DA1EA9">
              <w:rPr>
                <w:lang w:eastAsia="zh-CN"/>
              </w:rPr>
              <w:t>A30A#4.1.1b)</w:t>
            </w:r>
          </w:p>
        </w:tc>
      </w:tr>
      <w:tr w:rsidR="00DF0134" w:rsidRPr="00DA1EA9" w14:paraId="701C46F5" w14:textId="77777777" w:rsidTr="00B3785D">
        <w:trPr>
          <w:jc w:val="center"/>
        </w:trPr>
        <w:tc>
          <w:tcPr>
            <w:tcW w:w="1269" w:type="dxa"/>
          </w:tcPr>
          <w:p w14:paraId="5B151EF2" w14:textId="77777777" w:rsidR="00DF0134" w:rsidRPr="00DA1EA9" w:rsidRDefault="00DF0134" w:rsidP="003E1E9B">
            <w:pPr>
              <w:pStyle w:val="Tabletext"/>
              <w:jc w:val="center"/>
              <w:rPr>
                <w:lang w:eastAsia="zh-CN"/>
              </w:rPr>
            </w:pPr>
            <w:r w:rsidRPr="00DA1EA9">
              <w:rPr>
                <w:lang w:eastAsia="zh-CN"/>
              </w:rPr>
              <w:t>180</w:t>
            </w:r>
          </w:p>
        </w:tc>
        <w:tc>
          <w:tcPr>
            <w:tcW w:w="2393" w:type="dxa"/>
          </w:tcPr>
          <w:p w14:paraId="5450FE0F" w14:textId="77777777" w:rsidR="00DF0134" w:rsidRPr="00DA1EA9" w:rsidRDefault="00DF0134" w:rsidP="003E1E9B">
            <w:pPr>
              <w:pStyle w:val="Tabletext"/>
              <w:jc w:val="center"/>
              <w:rPr>
                <w:lang w:eastAsia="zh-CN"/>
              </w:rPr>
            </w:pPr>
            <w:r w:rsidRPr="00DA1EA9">
              <w:rPr>
                <w:lang w:eastAsia="zh-CN"/>
              </w:rPr>
              <w:t>87</w:t>
            </w:r>
          </w:p>
        </w:tc>
        <w:tc>
          <w:tcPr>
            <w:tcW w:w="2393" w:type="dxa"/>
          </w:tcPr>
          <w:p w14:paraId="422F5E9D" w14:textId="77777777" w:rsidR="00DF0134" w:rsidRPr="00DA1EA9" w:rsidRDefault="00DF0134" w:rsidP="003E1E9B">
            <w:pPr>
              <w:pStyle w:val="Tabletext"/>
              <w:jc w:val="center"/>
              <w:rPr>
                <w:lang w:eastAsia="zh-CN"/>
              </w:rPr>
            </w:pPr>
            <w:r w:rsidRPr="00DA1EA9">
              <w:rPr>
                <w:lang w:eastAsia="zh-CN"/>
              </w:rPr>
              <w:t>60</w:t>
            </w:r>
          </w:p>
        </w:tc>
        <w:tc>
          <w:tcPr>
            <w:tcW w:w="2393" w:type="dxa"/>
          </w:tcPr>
          <w:p w14:paraId="2E4D8CB8" w14:textId="77777777" w:rsidR="00DF0134" w:rsidRPr="00DA1EA9" w:rsidRDefault="00DF0134" w:rsidP="003E1E9B">
            <w:pPr>
              <w:pStyle w:val="Tabletext"/>
              <w:jc w:val="center"/>
              <w:rPr>
                <w:lang w:eastAsia="zh-CN"/>
              </w:rPr>
            </w:pPr>
            <w:r w:rsidRPr="00DA1EA9">
              <w:rPr>
                <w:lang w:eastAsia="zh-CN"/>
              </w:rPr>
              <w:t>26</w:t>
            </w:r>
          </w:p>
        </w:tc>
      </w:tr>
      <w:tr w:rsidR="00DF0134" w:rsidRPr="00DA1EA9" w14:paraId="44FFD030" w14:textId="77777777" w:rsidTr="00B3785D">
        <w:trPr>
          <w:jc w:val="center"/>
        </w:trPr>
        <w:tc>
          <w:tcPr>
            <w:tcW w:w="1269" w:type="dxa"/>
          </w:tcPr>
          <w:p w14:paraId="07DB1639" w14:textId="77777777" w:rsidR="00DF0134" w:rsidRPr="00DA1EA9" w:rsidRDefault="00DF0134" w:rsidP="003E1E9B">
            <w:pPr>
              <w:pStyle w:val="Tabletext"/>
              <w:jc w:val="center"/>
              <w:rPr>
                <w:lang w:eastAsia="zh-CN"/>
              </w:rPr>
            </w:pPr>
            <w:r w:rsidRPr="00DA1EA9">
              <w:rPr>
                <w:lang w:eastAsia="zh-CN"/>
              </w:rPr>
              <w:t>Percentage</w:t>
            </w:r>
          </w:p>
        </w:tc>
        <w:tc>
          <w:tcPr>
            <w:tcW w:w="2393" w:type="dxa"/>
          </w:tcPr>
          <w:p w14:paraId="7AF04DDD" w14:textId="77777777" w:rsidR="00DF0134" w:rsidRPr="00DA1EA9" w:rsidRDefault="00DF0134" w:rsidP="003E1E9B">
            <w:pPr>
              <w:pStyle w:val="Tabletext"/>
              <w:jc w:val="center"/>
              <w:rPr>
                <w:lang w:eastAsia="zh-CN"/>
              </w:rPr>
            </w:pPr>
            <w:r w:rsidRPr="00DA1EA9">
              <w:rPr>
                <w:lang w:eastAsia="zh-CN"/>
              </w:rPr>
              <w:t>48.3%</w:t>
            </w:r>
          </w:p>
        </w:tc>
        <w:tc>
          <w:tcPr>
            <w:tcW w:w="2393" w:type="dxa"/>
          </w:tcPr>
          <w:p w14:paraId="6FE80A39" w14:textId="77777777" w:rsidR="00DF0134" w:rsidRPr="00DA1EA9" w:rsidRDefault="00DF0134" w:rsidP="003E1E9B">
            <w:pPr>
              <w:pStyle w:val="Tabletext"/>
              <w:jc w:val="center"/>
              <w:rPr>
                <w:lang w:eastAsia="zh-CN"/>
              </w:rPr>
            </w:pPr>
            <w:r w:rsidRPr="00DA1EA9">
              <w:rPr>
                <w:lang w:eastAsia="zh-CN"/>
              </w:rPr>
              <w:t>33.3%</w:t>
            </w:r>
          </w:p>
        </w:tc>
        <w:tc>
          <w:tcPr>
            <w:tcW w:w="2393" w:type="dxa"/>
          </w:tcPr>
          <w:p w14:paraId="33DD1F20" w14:textId="77777777" w:rsidR="00DF0134" w:rsidRPr="00DA1EA9" w:rsidRDefault="00DF0134" w:rsidP="003E1E9B">
            <w:pPr>
              <w:pStyle w:val="Tabletext"/>
              <w:jc w:val="center"/>
              <w:rPr>
                <w:lang w:eastAsia="zh-CN"/>
              </w:rPr>
            </w:pPr>
            <w:r w:rsidRPr="00DA1EA9">
              <w:rPr>
                <w:lang w:eastAsia="zh-CN"/>
              </w:rPr>
              <w:t>14.4%</w:t>
            </w:r>
          </w:p>
        </w:tc>
      </w:tr>
    </w:tbl>
    <w:p w14:paraId="24E298CE" w14:textId="77777777" w:rsidR="00DF0134" w:rsidRPr="00DA1EA9" w:rsidRDefault="00DF0134" w:rsidP="003E1E9B">
      <w:pPr>
        <w:pStyle w:val="Tablefin"/>
        <w:rPr>
          <w:lang w:eastAsia="zh-CN"/>
        </w:rPr>
      </w:pPr>
    </w:p>
    <w:p w14:paraId="240CE8BC" w14:textId="0BC4BEC3" w:rsidR="00DF0134" w:rsidRPr="00DA1EA9" w:rsidRDefault="00DF0134" w:rsidP="003E1E9B">
      <w:pPr>
        <w:rPr>
          <w:lang w:eastAsia="zh-CN"/>
        </w:rPr>
      </w:pPr>
      <w:r w:rsidRPr="00DA1EA9">
        <w:rPr>
          <w:lang w:eastAsia="zh-CN"/>
        </w:rPr>
        <w:t xml:space="preserve">With respect to the remaining coordination cases under A30A#4.1.1b), the issue is </w:t>
      </w:r>
      <w:proofErr w:type="gramStart"/>
      <w:r w:rsidRPr="00DA1EA9">
        <w:rPr>
          <w:lang w:eastAsia="zh-CN"/>
        </w:rPr>
        <w:t>due to the fact that</w:t>
      </w:r>
      <w:proofErr w:type="gramEnd"/>
      <w:r w:rsidRPr="00DA1EA9">
        <w:rPr>
          <w:lang w:eastAsia="zh-CN"/>
        </w:rPr>
        <w:t xml:space="preserve"> the potentially affected </w:t>
      </w:r>
      <w:r w:rsidR="00DD4A1F" w:rsidRPr="00DA1EA9">
        <w:rPr>
          <w:lang w:eastAsia="zh-CN"/>
        </w:rPr>
        <w:t xml:space="preserve">RR </w:t>
      </w:r>
      <w:r w:rsidRPr="00DA1EA9">
        <w:rPr>
          <w:lang w:eastAsia="zh-CN"/>
        </w:rPr>
        <w:t>Appendix</w:t>
      </w:r>
      <w:r w:rsidR="00183988" w:rsidRPr="00DA1EA9">
        <w:rPr>
          <w:lang w:eastAsia="zh-CN"/>
        </w:rPr>
        <w:t> </w:t>
      </w:r>
      <w:r w:rsidRPr="00DA1EA9">
        <w:rPr>
          <w:b/>
          <w:bCs/>
          <w:lang w:eastAsia="zh-CN"/>
        </w:rPr>
        <w:t>30A</w:t>
      </w:r>
      <w:r w:rsidRPr="00DA1EA9">
        <w:rPr>
          <w:lang w:eastAsia="zh-CN"/>
        </w:rPr>
        <w:t xml:space="preserve"> Article</w:t>
      </w:r>
      <w:r w:rsidR="00183988" w:rsidRPr="00DA1EA9">
        <w:rPr>
          <w:lang w:eastAsia="zh-CN"/>
        </w:rPr>
        <w:t> </w:t>
      </w:r>
      <w:r w:rsidRPr="00DA1EA9">
        <w:rPr>
          <w:b/>
          <w:bCs/>
          <w:lang w:eastAsia="zh-CN"/>
        </w:rPr>
        <w:t>4</w:t>
      </w:r>
      <w:r w:rsidRPr="00DA1EA9">
        <w:rPr>
          <w:lang w:eastAsia="zh-CN"/>
        </w:rPr>
        <w:t xml:space="preserve"> submissions have global coverage leading </w:t>
      </w:r>
      <w:r w:rsidRPr="00DA1EA9">
        <w:rPr>
          <w:lang w:eastAsia="zh-CN"/>
        </w:rPr>
        <w:lastRenderedPageBreak/>
        <w:t xml:space="preserve">to very high receiving sensitivity over the national territories of the concerned </w:t>
      </w:r>
      <w:r w:rsidR="00DD4A1F" w:rsidRPr="00DA1EA9">
        <w:t>Resolution</w:t>
      </w:r>
      <w:r w:rsidR="00183988" w:rsidRPr="00DA1EA9">
        <w:t> </w:t>
      </w:r>
      <w:r w:rsidR="00DD4A1F" w:rsidRPr="00DA1EA9">
        <w:rPr>
          <w:b/>
          <w:bCs/>
        </w:rPr>
        <w:t>559 (WRC-19)</w:t>
      </w:r>
      <w:r w:rsidR="00DD4A1F" w:rsidRPr="00DA1EA9">
        <w:t xml:space="preserve"> </w:t>
      </w:r>
      <w:r w:rsidRPr="00DA1EA9">
        <w:rPr>
          <w:lang w:eastAsia="zh-CN"/>
        </w:rPr>
        <w:t xml:space="preserve">Administrations. This issue is </w:t>
      </w:r>
      <w:proofErr w:type="gramStart"/>
      <w:r w:rsidRPr="00DA1EA9">
        <w:rPr>
          <w:lang w:eastAsia="zh-CN"/>
        </w:rPr>
        <w:t>being addressed</w:t>
      </w:r>
      <w:proofErr w:type="gramEnd"/>
      <w:r w:rsidRPr="00DA1EA9">
        <w:rPr>
          <w:lang w:eastAsia="zh-CN"/>
        </w:rPr>
        <w:t xml:space="preserve"> under </w:t>
      </w:r>
      <w:r w:rsidR="00BC03DB" w:rsidRPr="00DA1EA9">
        <w:rPr>
          <w:lang w:eastAsia="zh-CN"/>
        </w:rPr>
        <w:t>WRC-23 a</w:t>
      </w:r>
      <w:r w:rsidRPr="00DA1EA9">
        <w:rPr>
          <w:lang w:eastAsia="zh-CN"/>
        </w:rPr>
        <w:t>genda item</w:t>
      </w:r>
      <w:r w:rsidR="00AC38C3" w:rsidRPr="00DA1EA9">
        <w:rPr>
          <w:lang w:eastAsia="zh-CN"/>
        </w:rPr>
        <w:t> </w:t>
      </w:r>
      <w:r w:rsidRPr="00DA1EA9">
        <w:rPr>
          <w:lang w:eastAsia="zh-CN"/>
        </w:rPr>
        <w:t>7</w:t>
      </w:r>
      <w:r w:rsidR="00BC03DB" w:rsidRPr="00DA1EA9">
        <w:rPr>
          <w:lang w:eastAsia="zh-CN"/>
        </w:rPr>
        <w:t xml:space="preserve">, </w:t>
      </w:r>
      <w:r w:rsidR="00F9237B" w:rsidRPr="00DA1EA9">
        <w:rPr>
          <w:lang w:eastAsia="zh-CN"/>
        </w:rPr>
        <w:t>Topic F</w:t>
      </w:r>
      <w:r w:rsidRPr="00DA1EA9">
        <w:rPr>
          <w:lang w:eastAsia="zh-CN"/>
        </w:rPr>
        <w:t>.</w:t>
      </w:r>
    </w:p>
    <w:p w14:paraId="1E493C3B" w14:textId="29D1B16A" w:rsidR="00DF0134" w:rsidRPr="00DA1EA9" w:rsidRDefault="00DF0134" w:rsidP="00DF0134">
      <w:pPr>
        <w:rPr>
          <w:lang w:eastAsia="zh-CN"/>
        </w:rPr>
      </w:pPr>
      <w:r w:rsidRPr="00DA1EA9">
        <w:rPr>
          <w:lang w:eastAsia="zh-CN"/>
        </w:rPr>
        <w:t>With respect to remaining coordination cases under A30#4.1.1b) and A30#4.1.</w:t>
      </w:r>
      <w:r w:rsidR="00F67C70" w:rsidRPr="00DA1EA9">
        <w:rPr>
          <w:lang w:eastAsia="zh-CN"/>
        </w:rPr>
        <w:t>1</w:t>
      </w:r>
      <w:r w:rsidRPr="00DA1EA9">
        <w:rPr>
          <w:lang w:eastAsia="zh-CN"/>
        </w:rPr>
        <w:t>e), the main issue is relating to two Administrations, which account for 64.4% of the total number of frequency coordination cases.</w:t>
      </w:r>
    </w:p>
    <w:p w14:paraId="7A98654B" w14:textId="77777777" w:rsidR="00DF0134" w:rsidRPr="00DA1EA9" w:rsidRDefault="00DF0134" w:rsidP="00F72D37">
      <w:pPr>
        <w:pStyle w:val="Headingb"/>
        <w:rPr>
          <w:lang w:val="en-GB"/>
        </w:rPr>
      </w:pPr>
      <w:r w:rsidRPr="00DA1EA9">
        <w:rPr>
          <w:lang w:val="en-GB"/>
        </w:rPr>
        <w:t>Proposals</w:t>
      </w:r>
    </w:p>
    <w:p w14:paraId="4372E17C" w14:textId="3596CBFE" w:rsidR="00DF0134" w:rsidRPr="00DA1EA9" w:rsidRDefault="00DF0134" w:rsidP="00DF0134">
      <w:pPr>
        <w:rPr>
          <w:lang w:eastAsia="zh-CN"/>
        </w:rPr>
      </w:pPr>
      <w:r w:rsidRPr="00DA1EA9">
        <w:rPr>
          <w:lang w:eastAsia="zh-CN"/>
        </w:rPr>
        <w:t>In view of the above and noting the intention of WRC-19 while adopting Resolution</w:t>
      </w:r>
      <w:r w:rsidR="00183988" w:rsidRPr="00DA1EA9">
        <w:rPr>
          <w:lang w:eastAsia="zh-CN"/>
        </w:rPr>
        <w:t> </w:t>
      </w:r>
      <w:r w:rsidRPr="00DA1EA9">
        <w:rPr>
          <w:b/>
          <w:bCs/>
          <w:lang w:eastAsia="zh-CN"/>
        </w:rPr>
        <w:t>559 (WRC</w:t>
      </w:r>
      <w:r w:rsidR="00F72D37" w:rsidRPr="00DA1EA9">
        <w:rPr>
          <w:b/>
          <w:bCs/>
          <w:lang w:eastAsia="zh-CN"/>
        </w:rPr>
        <w:noBreakHyphen/>
      </w:r>
      <w:r w:rsidRPr="00DA1EA9">
        <w:rPr>
          <w:b/>
          <w:bCs/>
          <w:lang w:eastAsia="zh-CN"/>
        </w:rPr>
        <w:t>19)</w:t>
      </w:r>
      <w:r w:rsidRPr="00DA1EA9">
        <w:rPr>
          <w:lang w:eastAsia="zh-CN"/>
        </w:rPr>
        <w:t xml:space="preserve">, the following proposals </w:t>
      </w:r>
      <w:proofErr w:type="gramStart"/>
      <w:r w:rsidRPr="00DA1EA9">
        <w:rPr>
          <w:lang w:eastAsia="zh-CN"/>
        </w:rPr>
        <w:t>are submitted</w:t>
      </w:r>
      <w:proofErr w:type="gramEnd"/>
      <w:r w:rsidRPr="00DA1EA9">
        <w:rPr>
          <w:lang w:eastAsia="zh-CN"/>
        </w:rPr>
        <w:t xml:space="preserve"> for the consideration of WRC-23.</w:t>
      </w:r>
    </w:p>
    <w:p w14:paraId="294139F9" w14:textId="25DA3B33" w:rsidR="00DF0134" w:rsidRPr="00DA1EA9" w:rsidRDefault="00DF0134" w:rsidP="00183988">
      <w:pPr>
        <w:rPr>
          <w:lang w:eastAsia="zh-CN"/>
        </w:rPr>
      </w:pPr>
      <w:r w:rsidRPr="00DA1EA9">
        <w:rPr>
          <w:lang w:eastAsia="zh-CN"/>
        </w:rPr>
        <w:t>1</w:t>
      </w:r>
      <w:r w:rsidRPr="00DA1EA9">
        <w:rPr>
          <w:lang w:eastAsia="zh-CN"/>
        </w:rPr>
        <w:tab/>
        <w:t xml:space="preserve">The submitting </w:t>
      </w:r>
      <w:r w:rsidR="006B51C7" w:rsidRPr="00DA1EA9">
        <w:rPr>
          <w:lang w:eastAsia="zh-CN"/>
        </w:rPr>
        <w:t>a</w:t>
      </w:r>
      <w:r w:rsidRPr="00DA1EA9">
        <w:rPr>
          <w:lang w:eastAsia="zh-CN"/>
        </w:rPr>
        <w:t>dministrations propose WRC-23 to endorse all the suggestions made by RRB and BR relating to the implementation of Resolution</w:t>
      </w:r>
      <w:r w:rsidR="00183988" w:rsidRPr="00DA1EA9">
        <w:rPr>
          <w:lang w:eastAsia="zh-CN"/>
        </w:rPr>
        <w:t> </w:t>
      </w:r>
      <w:r w:rsidRPr="00DA1EA9">
        <w:rPr>
          <w:b/>
          <w:bCs/>
          <w:lang w:eastAsia="zh-CN"/>
        </w:rPr>
        <w:t>559</w:t>
      </w:r>
      <w:r w:rsidRPr="00DA1EA9">
        <w:rPr>
          <w:lang w:eastAsia="zh-CN"/>
        </w:rPr>
        <w:t xml:space="preserve"> </w:t>
      </w:r>
      <w:r w:rsidRPr="00DA1EA9">
        <w:rPr>
          <w:b/>
          <w:bCs/>
          <w:lang w:eastAsia="zh-CN"/>
        </w:rPr>
        <w:t>(WRC-19)</w:t>
      </w:r>
      <w:r w:rsidRPr="00DA1EA9">
        <w:rPr>
          <w:lang w:eastAsia="zh-CN"/>
        </w:rPr>
        <w:t xml:space="preserve"> as contained in their reports to WRC-23.</w:t>
      </w:r>
    </w:p>
    <w:p w14:paraId="4659DCD3" w14:textId="4F0AC09E" w:rsidR="00DF0134" w:rsidRPr="00DA1EA9" w:rsidRDefault="00DF0134" w:rsidP="00183988">
      <w:pPr>
        <w:rPr>
          <w:lang w:eastAsia="zh-CN"/>
        </w:rPr>
      </w:pPr>
      <w:r w:rsidRPr="00DA1EA9">
        <w:rPr>
          <w:lang w:eastAsia="zh-CN"/>
        </w:rPr>
        <w:t>2</w:t>
      </w:r>
      <w:r w:rsidRPr="00DA1EA9">
        <w:rPr>
          <w:lang w:eastAsia="zh-CN"/>
        </w:rPr>
        <w:tab/>
        <w:t>With respect to the remaining coordination cases under §</w:t>
      </w:r>
      <w:r w:rsidR="00183988" w:rsidRPr="00DA1EA9">
        <w:rPr>
          <w:lang w:eastAsia="zh-CN"/>
        </w:rPr>
        <w:t> </w:t>
      </w:r>
      <w:r w:rsidRPr="00DA1EA9">
        <w:rPr>
          <w:lang w:eastAsia="zh-CN"/>
        </w:rPr>
        <w:t xml:space="preserve">4.1.1 b) of </w:t>
      </w:r>
      <w:r w:rsidR="009A3B42" w:rsidRPr="00DA1EA9">
        <w:rPr>
          <w:lang w:eastAsia="zh-CN"/>
        </w:rPr>
        <w:t xml:space="preserve">RR </w:t>
      </w:r>
      <w:r w:rsidRPr="00DA1EA9">
        <w:rPr>
          <w:lang w:eastAsia="zh-CN"/>
        </w:rPr>
        <w:t>Appendix</w:t>
      </w:r>
      <w:r w:rsidR="00183988" w:rsidRPr="00DA1EA9">
        <w:rPr>
          <w:lang w:eastAsia="zh-CN"/>
        </w:rPr>
        <w:t> </w:t>
      </w:r>
      <w:r w:rsidRPr="00DA1EA9">
        <w:rPr>
          <w:b/>
          <w:bCs/>
          <w:lang w:eastAsia="zh-CN"/>
        </w:rPr>
        <w:t>30</w:t>
      </w:r>
      <w:r w:rsidRPr="00DA1EA9">
        <w:rPr>
          <w:lang w:eastAsia="zh-CN"/>
        </w:rPr>
        <w:t xml:space="preserve">, the submitting </w:t>
      </w:r>
      <w:r w:rsidR="006B51C7" w:rsidRPr="00DA1EA9">
        <w:rPr>
          <w:lang w:eastAsia="zh-CN"/>
        </w:rPr>
        <w:t>a</w:t>
      </w:r>
      <w:r w:rsidRPr="00DA1EA9">
        <w:rPr>
          <w:lang w:eastAsia="zh-CN"/>
        </w:rPr>
        <w:t>dministrations propose WRC-23 to approve the following measures/proposals:</w:t>
      </w:r>
    </w:p>
    <w:p w14:paraId="00795C8E" w14:textId="02B62FC3" w:rsidR="00DF0134" w:rsidRPr="00DA1EA9" w:rsidRDefault="00DF0134" w:rsidP="00183988">
      <w:pPr>
        <w:pStyle w:val="enumlev1"/>
        <w:rPr>
          <w:lang w:eastAsia="zh-CN"/>
        </w:rPr>
      </w:pPr>
      <w:r w:rsidRPr="00DA1EA9">
        <w:rPr>
          <w:lang w:eastAsia="zh-CN"/>
        </w:rPr>
        <w:t>a)</w:t>
      </w:r>
      <w:r w:rsidRPr="00DA1EA9">
        <w:rPr>
          <w:lang w:eastAsia="zh-CN"/>
        </w:rPr>
        <w:tab/>
      </w:r>
      <w:r w:rsidR="009A3B42" w:rsidRPr="00DA1EA9">
        <w:rPr>
          <w:lang w:eastAsia="zh-CN"/>
        </w:rPr>
        <w:t xml:space="preserve">the </w:t>
      </w:r>
      <w:r w:rsidRPr="00DA1EA9">
        <w:rPr>
          <w:lang w:eastAsia="zh-CN"/>
        </w:rPr>
        <w:t xml:space="preserve">notifying </w:t>
      </w:r>
      <w:r w:rsidR="00C73B1E" w:rsidRPr="00DA1EA9">
        <w:t>a</w:t>
      </w:r>
      <w:r w:rsidRPr="00DA1EA9">
        <w:rPr>
          <w:lang w:eastAsia="zh-CN"/>
        </w:rPr>
        <w:t xml:space="preserve">dministration of an additional use (i.e. assignments in the </w:t>
      </w:r>
      <w:r w:rsidR="00694ADE" w:rsidRPr="00DA1EA9">
        <w:rPr>
          <w:lang w:eastAsia="zh-CN"/>
        </w:rPr>
        <w:t>L</w:t>
      </w:r>
      <w:r w:rsidRPr="00DA1EA9">
        <w:rPr>
          <w:lang w:eastAsia="zh-CN"/>
        </w:rPr>
        <w:t>ist and/or pending Article</w:t>
      </w:r>
      <w:r w:rsidR="00183988" w:rsidRPr="00DA1EA9">
        <w:rPr>
          <w:lang w:eastAsia="zh-CN"/>
        </w:rPr>
        <w:t> </w:t>
      </w:r>
      <w:r w:rsidRPr="00DA1EA9">
        <w:rPr>
          <w:lang w:eastAsia="zh-CN"/>
        </w:rPr>
        <w:t xml:space="preserve">4 networks) to accept </w:t>
      </w:r>
      <w:proofErr w:type="gramStart"/>
      <w:r w:rsidRPr="00DA1EA9">
        <w:rPr>
          <w:lang w:eastAsia="zh-CN"/>
        </w:rPr>
        <w:t>possible interference</w:t>
      </w:r>
      <w:proofErr w:type="gramEnd"/>
      <w:r w:rsidRPr="00DA1EA9">
        <w:rPr>
          <w:lang w:eastAsia="zh-CN"/>
        </w:rPr>
        <w:t xml:space="preserve"> produced to its test-points located within </w:t>
      </w:r>
      <w:r w:rsidR="009A3B42" w:rsidRPr="00DA1EA9">
        <w:rPr>
          <w:lang w:eastAsia="zh-CN"/>
        </w:rPr>
        <w:t>−</w:t>
      </w:r>
      <w:r w:rsidRPr="00DA1EA9">
        <w:rPr>
          <w:lang w:eastAsia="zh-CN"/>
        </w:rPr>
        <w:t>3</w:t>
      </w:r>
      <w:r w:rsidR="00183988" w:rsidRPr="00DA1EA9">
        <w:rPr>
          <w:lang w:eastAsia="zh-CN"/>
        </w:rPr>
        <w:t> </w:t>
      </w:r>
      <w:r w:rsidRPr="00DA1EA9">
        <w:rPr>
          <w:lang w:eastAsia="zh-CN"/>
        </w:rPr>
        <w:t xml:space="preserve">dB antenna gain contour of the </w:t>
      </w:r>
      <w:r w:rsidR="009A3B42" w:rsidRPr="00DA1EA9">
        <w:t>Resolution</w:t>
      </w:r>
      <w:r w:rsidR="00183988" w:rsidRPr="00DA1EA9">
        <w:t> </w:t>
      </w:r>
      <w:r w:rsidR="009A3B42" w:rsidRPr="00DA1EA9">
        <w:rPr>
          <w:b/>
          <w:bCs/>
        </w:rPr>
        <w:t>559 (WRC-19)</w:t>
      </w:r>
      <w:r w:rsidR="009A3B42" w:rsidRPr="00DA1EA9">
        <w:t xml:space="preserve"> </w:t>
      </w:r>
      <w:r w:rsidRPr="00DA1EA9">
        <w:rPr>
          <w:lang w:eastAsia="zh-CN"/>
        </w:rPr>
        <w:t>submission concerned due to the fact that the ellipse is already the minimum one validated by the Bureau;</w:t>
      </w:r>
    </w:p>
    <w:p w14:paraId="4AE05527" w14:textId="5A6F152D" w:rsidR="00DF0134" w:rsidRPr="00DA1EA9" w:rsidRDefault="00DF0134" w:rsidP="00183988">
      <w:pPr>
        <w:pStyle w:val="enumlev1"/>
        <w:rPr>
          <w:lang w:eastAsia="zh-CN"/>
        </w:rPr>
      </w:pPr>
      <w:r w:rsidRPr="00DA1EA9">
        <w:rPr>
          <w:lang w:eastAsia="zh-CN"/>
        </w:rPr>
        <w:t>b)</w:t>
      </w:r>
      <w:r w:rsidRPr="00DA1EA9">
        <w:rPr>
          <w:lang w:eastAsia="zh-CN"/>
        </w:rPr>
        <w:tab/>
      </w:r>
      <w:r w:rsidR="009A3B42" w:rsidRPr="00DA1EA9">
        <w:rPr>
          <w:lang w:eastAsia="zh-CN"/>
        </w:rPr>
        <w:t xml:space="preserve">the </w:t>
      </w:r>
      <w:r w:rsidRPr="00DA1EA9">
        <w:rPr>
          <w:lang w:eastAsia="zh-CN"/>
        </w:rPr>
        <w:t xml:space="preserve">notifying </w:t>
      </w:r>
      <w:r w:rsidR="00C73B1E" w:rsidRPr="00DA1EA9">
        <w:t>a</w:t>
      </w:r>
      <w:r w:rsidRPr="00DA1EA9">
        <w:rPr>
          <w:lang w:eastAsia="zh-CN"/>
        </w:rPr>
        <w:t xml:space="preserve">dministration of an additional use (i.e. assignments in the </w:t>
      </w:r>
      <w:r w:rsidR="00696D00" w:rsidRPr="00DA1EA9">
        <w:rPr>
          <w:lang w:eastAsia="zh-CN"/>
        </w:rPr>
        <w:t>L</w:t>
      </w:r>
      <w:r w:rsidRPr="00DA1EA9">
        <w:rPr>
          <w:lang w:eastAsia="zh-CN"/>
        </w:rPr>
        <w:t xml:space="preserve">ist and/or pending Article </w:t>
      </w:r>
      <w:r w:rsidRPr="00DA1EA9">
        <w:rPr>
          <w:b/>
          <w:bCs/>
          <w:lang w:eastAsia="zh-CN"/>
        </w:rPr>
        <w:t>4</w:t>
      </w:r>
      <w:r w:rsidRPr="00DA1EA9">
        <w:rPr>
          <w:lang w:eastAsia="zh-CN"/>
        </w:rPr>
        <w:t xml:space="preserve"> networks) to accept </w:t>
      </w:r>
      <w:proofErr w:type="gramStart"/>
      <w:r w:rsidRPr="00DA1EA9">
        <w:rPr>
          <w:lang w:eastAsia="zh-CN"/>
        </w:rPr>
        <w:t>possible interference</w:t>
      </w:r>
      <w:proofErr w:type="gramEnd"/>
      <w:r w:rsidRPr="00DA1EA9">
        <w:rPr>
          <w:lang w:eastAsia="zh-CN"/>
        </w:rPr>
        <w:t xml:space="preserve"> produced to its test-points located beyond </w:t>
      </w:r>
      <w:r w:rsidR="006806AF" w:rsidRPr="00DA1EA9">
        <w:rPr>
          <w:lang w:eastAsia="zh-CN"/>
        </w:rPr>
        <w:t>−</w:t>
      </w:r>
      <w:r w:rsidRPr="00DA1EA9">
        <w:rPr>
          <w:lang w:eastAsia="zh-CN"/>
        </w:rPr>
        <w:t>20</w:t>
      </w:r>
      <w:r w:rsidR="00183988" w:rsidRPr="00DA1EA9">
        <w:rPr>
          <w:lang w:eastAsia="zh-CN"/>
        </w:rPr>
        <w:t> </w:t>
      </w:r>
      <w:r w:rsidRPr="00DA1EA9">
        <w:rPr>
          <w:lang w:eastAsia="zh-CN"/>
        </w:rPr>
        <w:t xml:space="preserve">dB antenna gain contour of the </w:t>
      </w:r>
      <w:r w:rsidR="000D3DFF" w:rsidRPr="00DA1EA9">
        <w:t>Resolution</w:t>
      </w:r>
      <w:r w:rsidR="00183988" w:rsidRPr="00DA1EA9">
        <w:t> </w:t>
      </w:r>
      <w:r w:rsidR="000D3DFF" w:rsidRPr="00DA1EA9">
        <w:rPr>
          <w:b/>
          <w:bCs/>
        </w:rPr>
        <w:t>559 (WRC-19)</w:t>
      </w:r>
      <w:r w:rsidR="000D3DFF" w:rsidRPr="00DA1EA9">
        <w:t xml:space="preserve"> </w:t>
      </w:r>
      <w:r w:rsidRPr="00DA1EA9">
        <w:rPr>
          <w:lang w:eastAsia="zh-CN"/>
        </w:rPr>
        <w:t>submission concerned;</w:t>
      </w:r>
    </w:p>
    <w:p w14:paraId="1B2FA166" w14:textId="099A2B2E" w:rsidR="00DF0134" w:rsidRPr="00DA1EA9" w:rsidRDefault="00DF0134" w:rsidP="00183988">
      <w:pPr>
        <w:pStyle w:val="enumlev1"/>
        <w:rPr>
          <w:lang w:eastAsia="zh-CN"/>
        </w:rPr>
      </w:pPr>
      <w:r w:rsidRPr="00DA1EA9">
        <w:rPr>
          <w:lang w:eastAsia="zh-CN"/>
        </w:rPr>
        <w:t>c)</w:t>
      </w:r>
      <w:r w:rsidRPr="00DA1EA9">
        <w:rPr>
          <w:lang w:eastAsia="zh-CN"/>
        </w:rPr>
        <w:tab/>
      </w:r>
      <w:r w:rsidR="009A3B42" w:rsidRPr="00DA1EA9">
        <w:rPr>
          <w:lang w:eastAsia="zh-CN"/>
        </w:rPr>
        <w:t xml:space="preserve">if </w:t>
      </w:r>
      <w:r w:rsidRPr="00DA1EA9">
        <w:rPr>
          <w:lang w:eastAsia="zh-CN"/>
        </w:rPr>
        <w:t xml:space="preserve">the </w:t>
      </w:r>
      <w:r w:rsidR="000D3DFF" w:rsidRPr="00DA1EA9">
        <w:rPr>
          <w:lang w:eastAsia="zh-CN"/>
        </w:rPr>
        <w:t>e</w:t>
      </w:r>
      <w:r w:rsidRPr="00DA1EA9">
        <w:rPr>
          <w:lang w:eastAsia="zh-CN"/>
        </w:rPr>
        <w:t xml:space="preserve">quivalent protection margin (EPM) of a test-point of an additional use network is less than </w:t>
      </w:r>
      <w:r w:rsidR="006806AF" w:rsidRPr="00DA1EA9">
        <w:rPr>
          <w:lang w:eastAsia="zh-CN"/>
        </w:rPr>
        <w:t>−</w:t>
      </w:r>
      <w:r w:rsidRPr="00DA1EA9">
        <w:rPr>
          <w:lang w:eastAsia="zh-CN"/>
        </w:rPr>
        <w:t>10</w:t>
      </w:r>
      <w:r w:rsidR="00183988" w:rsidRPr="00DA1EA9">
        <w:rPr>
          <w:lang w:eastAsia="zh-CN"/>
        </w:rPr>
        <w:t> </w:t>
      </w:r>
      <w:r w:rsidRPr="00DA1EA9">
        <w:rPr>
          <w:lang w:eastAsia="zh-CN"/>
        </w:rPr>
        <w:t xml:space="preserve">dB at the time of examination by the Bureau of Part A of </w:t>
      </w:r>
      <w:r w:rsidR="000D3DFF" w:rsidRPr="00DA1EA9">
        <w:t>Resolution</w:t>
      </w:r>
      <w:r w:rsidR="00183988" w:rsidRPr="00DA1EA9">
        <w:t> </w:t>
      </w:r>
      <w:r w:rsidR="000D3DFF" w:rsidRPr="00DA1EA9">
        <w:rPr>
          <w:b/>
          <w:bCs/>
        </w:rPr>
        <w:t>559 (WRC-19)</w:t>
      </w:r>
      <w:r w:rsidR="000D3DFF" w:rsidRPr="00DA1EA9">
        <w:t xml:space="preserve"> </w:t>
      </w:r>
      <w:r w:rsidRPr="00DA1EA9">
        <w:rPr>
          <w:lang w:eastAsia="zh-CN"/>
        </w:rPr>
        <w:t xml:space="preserve">submissions, that test-point should not </w:t>
      </w:r>
      <w:proofErr w:type="gramStart"/>
      <w:r w:rsidRPr="00DA1EA9">
        <w:rPr>
          <w:lang w:eastAsia="zh-CN"/>
        </w:rPr>
        <w:t>be considered</w:t>
      </w:r>
      <w:proofErr w:type="gramEnd"/>
      <w:r w:rsidRPr="00DA1EA9">
        <w:rPr>
          <w:lang w:eastAsia="zh-CN"/>
        </w:rPr>
        <w:t xml:space="preserve"> by the Bureau in reviewing the finding of the </w:t>
      </w:r>
      <w:r w:rsidR="000D3DFF" w:rsidRPr="00DA1EA9">
        <w:t>Resolution</w:t>
      </w:r>
      <w:r w:rsidR="00183988" w:rsidRPr="00DA1EA9">
        <w:t> </w:t>
      </w:r>
      <w:r w:rsidR="000D3DFF" w:rsidRPr="00DA1EA9">
        <w:rPr>
          <w:b/>
          <w:bCs/>
        </w:rPr>
        <w:t>559 (WRC</w:t>
      </w:r>
      <w:r w:rsidR="00D179C1" w:rsidRPr="00DA1EA9">
        <w:rPr>
          <w:b/>
          <w:bCs/>
        </w:rPr>
        <w:noBreakHyphen/>
      </w:r>
      <w:r w:rsidR="000D3DFF" w:rsidRPr="00DA1EA9">
        <w:rPr>
          <w:b/>
          <w:bCs/>
        </w:rPr>
        <w:t>19)</w:t>
      </w:r>
      <w:r w:rsidR="000D3DFF" w:rsidRPr="00DA1EA9">
        <w:t xml:space="preserve"> </w:t>
      </w:r>
      <w:r w:rsidRPr="00DA1EA9">
        <w:rPr>
          <w:lang w:eastAsia="zh-CN"/>
        </w:rPr>
        <w:t>submission concerned;</w:t>
      </w:r>
    </w:p>
    <w:p w14:paraId="0D4F7809" w14:textId="4E1C88FE" w:rsidR="00DF0134" w:rsidRPr="00DA1EA9" w:rsidRDefault="00DF0134" w:rsidP="00183988">
      <w:pPr>
        <w:pStyle w:val="enumlev1"/>
        <w:rPr>
          <w:lang w:eastAsia="zh-CN"/>
        </w:rPr>
      </w:pPr>
      <w:r w:rsidRPr="00DA1EA9">
        <w:rPr>
          <w:lang w:eastAsia="zh-CN"/>
        </w:rPr>
        <w:t>d)</w:t>
      </w:r>
      <w:r w:rsidRPr="00DA1EA9">
        <w:rPr>
          <w:lang w:eastAsia="zh-CN"/>
        </w:rPr>
        <w:tab/>
      </w:r>
      <w:r w:rsidR="009A3B42" w:rsidRPr="00DA1EA9">
        <w:rPr>
          <w:lang w:eastAsia="zh-CN"/>
        </w:rPr>
        <w:t xml:space="preserve">a </w:t>
      </w:r>
      <w:r w:rsidRPr="00DA1EA9">
        <w:rPr>
          <w:lang w:eastAsia="zh-CN"/>
        </w:rPr>
        <w:t xml:space="preserve">coordination </w:t>
      </w:r>
      <w:proofErr w:type="gramStart"/>
      <w:r w:rsidRPr="00DA1EA9">
        <w:rPr>
          <w:lang w:eastAsia="zh-CN"/>
        </w:rPr>
        <w:t>is deemed</w:t>
      </w:r>
      <w:proofErr w:type="gramEnd"/>
      <w:r w:rsidRPr="00DA1EA9">
        <w:rPr>
          <w:lang w:eastAsia="zh-CN"/>
        </w:rPr>
        <w:t xml:space="preserve"> to be completed if the nominal orbital separation between a </w:t>
      </w:r>
      <w:r w:rsidR="000D3DFF" w:rsidRPr="00DA1EA9">
        <w:t>Resolution</w:t>
      </w:r>
      <w:r w:rsidR="00183988" w:rsidRPr="00DA1EA9">
        <w:t> </w:t>
      </w:r>
      <w:r w:rsidR="000D3DFF" w:rsidRPr="00DA1EA9">
        <w:rPr>
          <w:b/>
          <w:bCs/>
        </w:rPr>
        <w:t>559 (WRC-19)</w:t>
      </w:r>
      <w:r w:rsidR="000D3DFF" w:rsidRPr="00DA1EA9">
        <w:t xml:space="preserve"> </w:t>
      </w:r>
      <w:r w:rsidRPr="00DA1EA9">
        <w:rPr>
          <w:lang w:eastAsia="zh-CN"/>
        </w:rPr>
        <w:t>submission and an additional use network is equal to or greater than 6 degrees.</w:t>
      </w:r>
    </w:p>
    <w:p w14:paraId="3CBCAAAA" w14:textId="559872CC" w:rsidR="00DF0134" w:rsidRPr="00DA1EA9" w:rsidRDefault="00DF0134" w:rsidP="00183988">
      <w:pPr>
        <w:rPr>
          <w:lang w:eastAsia="zh-CN"/>
        </w:rPr>
      </w:pPr>
      <w:r w:rsidRPr="00DA1EA9">
        <w:rPr>
          <w:lang w:eastAsia="zh-CN"/>
        </w:rPr>
        <w:t>3</w:t>
      </w:r>
      <w:r w:rsidRPr="00DA1EA9">
        <w:rPr>
          <w:lang w:eastAsia="zh-CN"/>
        </w:rPr>
        <w:tab/>
        <w:t>With respect to the remaining coordination cases under §</w:t>
      </w:r>
      <w:r w:rsidR="00183988" w:rsidRPr="00DA1EA9">
        <w:rPr>
          <w:lang w:eastAsia="zh-CN"/>
        </w:rPr>
        <w:t> </w:t>
      </w:r>
      <w:r w:rsidRPr="00DA1EA9">
        <w:rPr>
          <w:lang w:eastAsia="zh-CN"/>
        </w:rPr>
        <w:t>4.1.1 e) of Appendix</w:t>
      </w:r>
      <w:r w:rsidR="00183988" w:rsidRPr="00DA1EA9">
        <w:rPr>
          <w:lang w:eastAsia="zh-CN"/>
        </w:rPr>
        <w:t> </w:t>
      </w:r>
      <w:r w:rsidRPr="00DA1EA9">
        <w:rPr>
          <w:b/>
          <w:bCs/>
          <w:lang w:eastAsia="zh-CN"/>
        </w:rPr>
        <w:t>30</w:t>
      </w:r>
      <w:r w:rsidRPr="00DA1EA9">
        <w:rPr>
          <w:lang w:eastAsia="zh-CN"/>
        </w:rPr>
        <w:t xml:space="preserve">, the submitting </w:t>
      </w:r>
      <w:r w:rsidR="006B51C7" w:rsidRPr="00DA1EA9">
        <w:rPr>
          <w:lang w:eastAsia="zh-CN"/>
        </w:rPr>
        <w:t>a</w:t>
      </w:r>
      <w:r w:rsidRPr="00DA1EA9">
        <w:rPr>
          <w:lang w:eastAsia="zh-CN"/>
        </w:rPr>
        <w:t>dministrations propose WRC-23 to approve the following measures/proposals:</w:t>
      </w:r>
    </w:p>
    <w:p w14:paraId="2CEC1AD8" w14:textId="2ECCFCB2" w:rsidR="00DF0134" w:rsidRPr="00DA1EA9" w:rsidRDefault="00DF0134" w:rsidP="00183988">
      <w:pPr>
        <w:pStyle w:val="enumlev1"/>
        <w:rPr>
          <w:lang w:eastAsia="zh-CN"/>
        </w:rPr>
      </w:pPr>
      <w:r w:rsidRPr="00DA1EA9">
        <w:rPr>
          <w:lang w:eastAsia="zh-CN"/>
        </w:rPr>
        <w:t>a)</w:t>
      </w:r>
      <w:r w:rsidRPr="00DA1EA9">
        <w:rPr>
          <w:lang w:eastAsia="zh-CN"/>
        </w:rPr>
        <w:tab/>
      </w:r>
      <w:r w:rsidR="000D3DFF" w:rsidRPr="00DA1EA9">
        <w:rPr>
          <w:lang w:eastAsia="zh-CN"/>
        </w:rPr>
        <w:t xml:space="preserve">a </w:t>
      </w:r>
      <w:r w:rsidRPr="00DA1EA9">
        <w:rPr>
          <w:lang w:eastAsia="zh-CN"/>
        </w:rPr>
        <w:t xml:space="preserve">coordination </w:t>
      </w:r>
      <w:proofErr w:type="gramStart"/>
      <w:r w:rsidRPr="00DA1EA9">
        <w:rPr>
          <w:lang w:eastAsia="zh-CN"/>
        </w:rPr>
        <w:t>is deemed</w:t>
      </w:r>
      <w:proofErr w:type="gramEnd"/>
      <w:r w:rsidRPr="00DA1EA9">
        <w:rPr>
          <w:lang w:eastAsia="zh-CN"/>
        </w:rPr>
        <w:t xml:space="preserve"> to be completed if the nominal orbital separation between a </w:t>
      </w:r>
      <w:r w:rsidR="000D3DFF" w:rsidRPr="00DA1EA9">
        <w:rPr>
          <w:lang w:eastAsia="zh-CN"/>
        </w:rPr>
        <w:t>Resolution</w:t>
      </w:r>
      <w:r w:rsidR="00183988" w:rsidRPr="00DA1EA9">
        <w:rPr>
          <w:lang w:eastAsia="zh-CN"/>
        </w:rPr>
        <w:t> </w:t>
      </w:r>
      <w:r w:rsidR="000D3DFF" w:rsidRPr="00DA1EA9">
        <w:rPr>
          <w:b/>
          <w:bCs/>
          <w:lang w:eastAsia="zh-CN"/>
        </w:rPr>
        <w:t>559</w:t>
      </w:r>
      <w:r w:rsidR="000D3DFF" w:rsidRPr="00DA1EA9">
        <w:rPr>
          <w:lang w:eastAsia="zh-CN"/>
        </w:rPr>
        <w:t xml:space="preserve"> </w:t>
      </w:r>
      <w:r w:rsidR="000D3DFF" w:rsidRPr="00DA1EA9">
        <w:rPr>
          <w:b/>
          <w:bCs/>
          <w:lang w:eastAsia="zh-CN"/>
        </w:rPr>
        <w:t>(WRC-19)</w:t>
      </w:r>
      <w:r w:rsidR="000D3DFF" w:rsidRPr="00DA1EA9">
        <w:rPr>
          <w:lang w:eastAsia="zh-CN"/>
        </w:rPr>
        <w:t xml:space="preserve"> </w:t>
      </w:r>
      <w:r w:rsidRPr="00DA1EA9">
        <w:rPr>
          <w:lang w:eastAsia="zh-CN"/>
        </w:rPr>
        <w:t>submission and non-planned satellite network concerned is equal to or greater than 6 degrees;</w:t>
      </w:r>
    </w:p>
    <w:p w14:paraId="78CE9733" w14:textId="20AD512C" w:rsidR="00DF0134" w:rsidRPr="00DA1EA9" w:rsidRDefault="00DF0134" w:rsidP="00183988">
      <w:pPr>
        <w:pStyle w:val="enumlev1"/>
        <w:rPr>
          <w:lang w:eastAsia="zh-CN"/>
        </w:rPr>
      </w:pPr>
      <w:r w:rsidRPr="00DA1EA9">
        <w:rPr>
          <w:lang w:eastAsia="zh-CN"/>
        </w:rPr>
        <w:t>b)</w:t>
      </w:r>
      <w:r w:rsidRPr="00DA1EA9">
        <w:rPr>
          <w:lang w:eastAsia="zh-CN"/>
        </w:rPr>
        <w:tab/>
      </w:r>
      <w:r w:rsidR="000D3DFF" w:rsidRPr="00DA1EA9">
        <w:rPr>
          <w:lang w:eastAsia="zh-CN"/>
        </w:rPr>
        <w:t xml:space="preserve">the </w:t>
      </w:r>
      <w:r w:rsidRPr="00DA1EA9">
        <w:rPr>
          <w:lang w:eastAsia="zh-CN"/>
        </w:rPr>
        <w:t xml:space="preserve">service area of a non-planned satellite network to be considered shall be on land and located within </w:t>
      </w:r>
      <w:r w:rsidR="006806AF" w:rsidRPr="00DA1EA9">
        <w:rPr>
          <w:lang w:eastAsia="zh-CN"/>
        </w:rPr>
        <w:t>−</w:t>
      </w:r>
      <w:r w:rsidRPr="00DA1EA9">
        <w:rPr>
          <w:lang w:eastAsia="zh-CN"/>
        </w:rPr>
        <w:t>3</w:t>
      </w:r>
      <w:r w:rsidR="00183988" w:rsidRPr="00DA1EA9">
        <w:rPr>
          <w:lang w:eastAsia="zh-CN"/>
        </w:rPr>
        <w:t> </w:t>
      </w:r>
      <w:r w:rsidRPr="00DA1EA9">
        <w:rPr>
          <w:lang w:eastAsia="zh-CN"/>
        </w:rPr>
        <w:t xml:space="preserve">dB antenna gain contour of that non-planned satellite network instead of the submitted service area which may include the area with </w:t>
      </w:r>
      <w:proofErr w:type="gramStart"/>
      <w:r w:rsidRPr="00DA1EA9">
        <w:rPr>
          <w:lang w:eastAsia="zh-CN"/>
        </w:rPr>
        <w:t>very low</w:t>
      </w:r>
      <w:proofErr w:type="gramEnd"/>
      <w:r w:rsidRPr="00DA1EA9">
        <w:rPr>
          <w:lang w:eastAsia="zh-CN"/>
        </w:rPr>
        <w:t xml:space="preserve"> relative antenna gain contour. It </w:t>
      </w:r>
      <w:proofErr w:type="gramStart"/>
      <w:r w:rsidRPr="00DA1EA9">
        <w:rPr>
          <w:lang w:eastAsia="zh-CN"/>
        </w:rPr>
        <w:t>is noted</w:t>
      </w:r>
      <w:proofErr w:type="gramEnd"/>
      <w:r w:rsidRPr="00DA1EA9">
        <w:rPr>
          <w:lang w:eastAsia="zh-CN"/>
        </w:rPr>
        <w:t xml:space="preserve"> that the non-planned satellite network only protects a </w:t>
      </w:r>
      <w:r w:rsidR="000712CE" w:rsidRPr="00DA1EA9">
        <w:rPr>
          <w:lang w:eastAsia="zh-CN"/>
        </w:rPr>
        <w:t>Resolution</w:t>
      </w:r>
      <w:r w:rsidR="00183988" w:rsidRPr="00DA1EA9">
        <w:rPr>
          <w:lang w:eastAsia="zh-CN"/>
        </w:rPr>
        <w:t> </w:t>
      </w:r>
      <w:r w:rsidR="000712CE" w:rsidRPr="00DA1EA9">
        <w:rPr>
          <w:b/>
          <w:bCs/>
          <w:lang w:eastAsia="zh-CN"/>
        </w:rPr>
        <w:t>559</w:t>
      </w:r>
      <w:r w:rsidR="000712CE" w:rsidRPr="00DA1EA9">
        <w:rPr>
          <w:lang w:eastAsia="zh-CN"/>
        </w:rPr>
        <w:t xml:space="preserve"> (WRC-19) </w:t>
      </w:r>
      <w:r w:rsidRPr="00DA1EA9">
        <w:rPr>
          <w:lang w:eastAsia="zh-CN"/>
        </w:rPr>
        <w:t xml:space="preserve">submission in a service area on land and situated within its </w:t>
      </w:r>
      <w:r w:rsidR="006806AF" w:rsidRPr="00DA1EA9">
        <w:rPr>
          <w:lang w:eastAsia="zh-CN"/>
        </w:rPr>
        <w:t>−</w:t>
      </w:r>
      <w:r w:rsidRPr="00DA1EA9">
        <w:rPr>
          <w:lang w:eastAsia="zh-CN"/>
        </w:rPr>
        <w:t>3</w:t>
      </w:r>
      <w:r w:rsidR="00183988" w:rsidRPr="00DA1EA9">
        <w:rPr>
          <w:lang w:eastAsia="zh-CN"/>
        </w:rPr>
        <w:t> </w:t>
      </w:r>
      <w:r w:rsidRPr="00DA1EA9">
        <w:rPr>
          <w:lang w:eastAsia="zh-CN"/>
        </w:rPr>
        <w:t>dB antenna gain contour;</w:t>
      </w:r>
    </w:p>
    <w:p w14:paraId="288B6B5A" w14:textId="70DD057D" w:rsidR="00DF0134" w:rsidRPr="00DA1EA9" w:rsidRDefault="00DF0134" w:rsidP="00183988">
      <w:pPr>
        <w:pStyle w:val="enumlev1"/>
        <w:rPr>
          <w:lang w:eastAsia="zh-CN"/>
        </w:rPr>
      </w:pPr>
      <w:r w:rsidRPr="00DA1EA9">
        <w:rPr>
          <w:lang w:eastAsia="zh-CN"/>
        </w:rPr>
        <w:t>c)</w:t>
      </w:r>
      <w:r w:rsidRPr="00DA1EA9">
        <w:rPr>
          <w:lang w:eastAsia="zh-CN"/>
        </w:rPr>
        <w:tab/>
      </w:r>
      <w:r w:rsidR="000D3DFF" w:rsidRPr="00DA1EA9">
        <w:rPr>
          <w:lang w:eastAsia="zh-CN"/>
        </w:rPr>
        <w:t xml:space="preserve">if </w:t>
      </w:r>
      <w:r w:rsidRPr="00DA1EA9">
        <w:rPr>
          <w:lang w:eastAsia="zh-CN"/>
        </w:rPr>
        <w:t xml:space="preserve">an </w:t>
      </w:r>
      <w:r w:rsidR="00C73B1E" w:rsidRPr="00DA1EA9">
        <w:rPr>
          <w:lang w:eastAsia="zh-CN"/>
        </w:rPr>
        <w:t>a</w:t>
      </w:r>
      <w:r w:rsidRPr="00DA1EA9">
        <w:rPr>
          <w:lang w:eastAsia="zh-CN"/>
        </w:rPr>
        <w:t>dministration agrees not to protect the area, situated inside its national territory, in which the pfd (power</w:t>
      </w:r>
      <w:r w:rsidR="0068038A" w:rsidRPr="00DA1EA9">
        <w:rPr>
          <w:lang w:eastAsia="zh-CN"/>
        </w:rPr>
        <w:t xml:space="preserve"> </w:t>
      </w:r>
      <w:r w:rsidRPr="00DA1EA9">
        <w:rPr>
          <w:lang w:eastAsia="zh-CN"/>
        </w:rPr>
        <w:t>flux</w:t>
      </w:r>
      <w:r w:rsidR="0068038A" w:rsidRPr="00DA1EA9">
        <w:rPr>
          <w:lang w:eastAsia="zh-CN"/>
        </w:rPr>
        <w:t>-</w:t>
      </w:r>
      <w:r w:rsidRPr="00DA1EA9">
        <w:rPr>
          <w:lang w:eastAsia="zh-CN"/>
        </w:rPr>
        <w:t xml:space="preserve">density) limit </w:t>
      </w:r>
      <w:proofErr w:type="gramStart"/>
      <w:r w:rsidRPr="00DA1EA9">
        <w:rPr>
          <w:lang w:eastAsia="zh-CN"/>
        </w:rPr>
        <w:t>is exceeded</w:t>
      </w:r>
      <w:proofErr w:type="gramEnd"/>
      <w:r w:rsidRPr="00DA1EA9">
        <w:rPr>
          <w:lang w:eastAsia="zh-CN"/>
        </w:rPr>
        <w:t xml:space="preserve">, that part of the service area shall not be considered by the Bureau in reviewing the remaining coordination requirements of a </w:t>
      </w:r>
      <w:r w:rsidR="000712CE" w:rsidRPr="00DA1EA9">
        <w:rPr>
          <w:lang w:eastAsia="zh-CN"/>
        </w:rPr>
        <w:t>Resolution</w:t>
      </w:r>
      <w:r w:rsidR="00183988" w:rsidRPr="00DA1EA9">
        <w:rPr>
          <w:lang w:eastAsia="zh-CN"/>
        </w:rPr>
        <w:t> </w:t>
      </w:r>
      <w:r w:rsidR="000712CE" w:rsidRPr="00DA1EA9">
        <w:rPr>
          <w:b/>
          <w:bCs/>
          <w:lang w:eastAsia="zh-CN"/>
        </w:rPr>
        <w:t>559</w:t>
      </w:r>
      <w:r w:rsidR="000712CE" w:rsidRPr="00DA1EA9">
        <w:rPr>
          <w:lang w:eastAsia="zh-CN"/>
        </w:rPr>
        <w:t xml:space="preserve"> (WRC-19) </w:t>
      </w:r>
      <w:r w:rsidRPr="00DA1EA9">
        <w:rPr>
          <w:lang w:eastAsia="zh-CN"/>
        </w:rPr>
        <w:t>submission;</w:t>
      </w:r>
    </w:p>
    <w:p w14:paraId="07A21DDC" w14:textId="317A263F" w:rsidR="00DF0134" w:rsidRPr="00DA1EA9" w:rsidRDefault="00DF0134" w:rsidP="00183988">
      <w:pPr>
        <w:pStyle w:val="enumlev1"/>
        <w:rPr>
          <w:lang w:eastAsia="zh-CN"/>
        </w:rPr>
      </w:pPr>
      <w:r w:rsidRPr="00DA1EA9">
        <w:rPr>
          <w:lang w:eastAsia="zh-CN"/>
        </w:rPr>
        <w:lastRenderedPageBreak/>
        <w:t>d)</w:t>
      </w:r>
      <w:r w:rsidRPr="00DA1EA9">
        <w:rPr>
          <w:lang w:eastAsia="zh-CN"/>
        </w:rPr>
        <w:tab/>
      </w:r>
      <w:r w:rsidR="000D3DFF" w:rsidRPr="00DA1EA9">
        <w:rPr>
          <w:lang w:eastAsia="zh-CN"/>
        </w:rPr>
        <w:t xml:space="preserve">the </w:t>
      </w:r>
      <w:r w:rsidRPr="00DA1EA9">
        <w:rPr>
          <w:lang w:eastAsia="zh-CN"/>
        </w:rPr>
        <w:t xml:space="preserve">notifying </w:t>
      </w:r>
      <w:r w:rsidR="00C73B1E" w:rsidRPr="00DA1EA9">
        <w:rPr>
          <w:lang w:eastAsia="zh-CN"/>
        </w:rPr>
        <w:t>a</w:t>
      </w:r>
      <w:r w:rsidRPr="00DA1EA9">
        <w:rPr>
          <w:lang w:eastAsia="zh-CN"/>
        </w:rPr>
        <w:t xml:space="preserve">dministration of a non-planned satellite network to accept </w:t>
      </w:r>
      <w:proofErr w:type="gramStart"/>
      <w:r w:rsidRPr="00DA1EA9">
        <w:rPr>
          <w:lang w:eastAsia="zh-CN"/>
        </w:rPr>
        <w:t>possible interference</w:t>
      </w:r>
      <w:proofErr w:type="gramEnd"/>
      <w:r w:rsidRPr="00DA1EA9">
        <w:rPr>
          <w:lang w:eastAsia="zh-CN"/>
        </w:rPr>
        <w:t xml:space="preserve"> produced to its service area located beyond </w:t>
      </w:r>
      <w:r w:rsidR="000712CE" w:rsidRPr="00DA1EA9">
        <w:rPr>
          <w:lang w:eastAsia="zh-CN"/>
        </w:rPr>
        <w:t>−</w:t>
      </w:r>
      <w:r w:rsidRPr="00DA1EA9">
        <w:rPr>
          <w:lang w:eastAsia="zh-CN"/>
        </w:rPr>
        <w:t>20</w:t>
      </w:r>
      <w:r w:rsidR="00183988" w:rsidRPr="00DA1EA9">
        <w:rPr>
          <w:lang w:eastAsia="zh-CN"/>
        </w:rPr>
        <w:t> </w:t>
      </w:r>
      <w:r w:rsidRPr="00DA1EA9">
        <w:rPr>
          <w:lang w:eastAsia="zh-CN"/>
        </w:rPr>
        <w:t xml:space="preserve">dB antenna gain contour of the </w:t>
      </w:r>
      <w:r w:rsidR="000712CE" w:rsidRPr="00DA1EA9">
        <w:rPr>
          <w:lang w:eastAsia="zh-CN"/>
        </w:rPr>
        <w:t>Resolution</w:t>
      </w:r>
      <w:r w:rsidR="00183988" w:rsidRPr="00DA1EA9">
        <w:rPr>
          <w:lang w:eastAsia="zh-CN"/>
        </w:rPr>
        <w:t> </w:t>
      </w:r>
      <w:r w:rsidR="000712CE" w:rsidRPr="00DA1EA9">
        <w:rPr>
          <w:b/>
          <w:bCs/>
          <w:lang w:eastAsia="zh-CN"/>
        </w:rPr>
        <w:t>559</w:t>
      </w:r>
      <w:r w:rsidR="000712CE" w:rsidRPr="00DA1EA9">
        <w:rPr>
          <w:lang w:eastAsia="zh-CN"/>
        </w:rPr>
        <w:t xml:space="preserve"> (WRC-19) </w:t>
      </w:r>
      <w:r w:rsidRPr="00DA1EA9">
        <w:rPr>
          <w:lang w:eastAsia="zh-CN"/>
        </w:rPr>
        <w:t>submission concerned.</w:t>
      </w:r>
    </w:p>
    <w:p w14:paraId="7160434E" w14:textId="3141FCAC" w:rsidR="00DF0134" w:rsidRPr="00DA1EA9" w:rsidRDefault="00DF0134" w:rsidP="00183988">
      <w:pPr>
        <w:rPr>
          <w:lang w:eastAsia="zh-CN"/>
        </w:rPr>
      </w:pPr>
      <w:r w:rsidRPr="00DA1EA9">
        <w:rPr>
          <w:lang w:eastAsia="zh-CN"/>
        </w:rPr>
        <w:t>4</w:t>
      </w:r>
      <w:r w:rsidRPr="00DA1EA9">
        <w:rPr>
          <w:lang w:eastAsia="zh-CN"/>
        </w:rPr>
        <w:tab/>
        <w:t>With respect to the remaining coordination cases under §</w:t>
      </w:r>
      <w:r w:rsidR="00183988" w:rsidRPr="00DA1EA9">
        <w:rPr>
          <w:lang w:eastAsia="zh-CN"/>
        </w:rPr>
        <w:t> </w:t>
      </w:r>
      <w:r w:rsidRPr="00DA1EA9">
        <w:rPr>
          <w:lang w:eastAsia="zh-CN"/>
        </w:rPr>
        <w:t xml:space="preserve">4.1.1 b) of </w:t>
      </w:r>
      <w:r w:rsidR="00740E87" w:rsidRPr="00DA1EA9">
        <w:rPr>
          <w:lang w:eastAsia="zh-CN"/>
        </w:rPr>
        <w:t xml:space="preserve">RR </w:t>
      </w:r>
      <w:r w:rsidRPr="00DA1EA9">
        <w:rPr>
          <w:lang w:eastAsia="zh-CN"/>
        </w:rPr>
        <w:t>Appendix</w:t>
      </w:r>
      <w:r w:rsidR="00183988" w:rsidRPr="00DA1EA9">
        <w:rPr>
          <w:lang w:eastAsia="zh-CN"/>
        </w:rPr>
        <w:t> </w:t>
      </w:r>
      <w:r w:rsidRPr="00DA1EA9">
        <w:rPr>
          <w:b/>
          <w:bCs/>
          <w:lang w:eastAsia="zh-CN"/>
        </w:rPr>
        <w:t>30A</w:t>
      </w:r>
      <w:r w:rsidRPr="00DA1EA9">
        <w:rPr>
          <w:lang w:eastAsia="zh-CN"/>
        </w:rPr>
        <w:t xml:space="preserve">, the submitting </w:t>
      </w:r>
      <w:r w:rsidR="006B51C7" w:rsidRPr="00DA1EA9">
        <w:rPr>
          <w:lang w:eastAsia="zh-CN"/>
        </w:rPr>
        <w:t>a</w:t>
      </w:r>
      <w:r w:rsidRPr="00DA1EA9">
        <w:rPr>
          <w:lang w:eastAsia="zh-CN"/>
        </w:rPr>
        <w:t xml:space="preserve">dministrations propose WRC-23 to approve that the remaining coordination cases are deemed to be completed </w:t>
      </w:r>
      <w:proofErr w:type="gramStart"/>
      <w:r w:rsidRPr="00DA1EA9">
        <w:rPr>
          <w:lang w:eastAsia="zh-CN"/>
        </w:rPr>
        <w:t>due to the fact that</w:t>
      </w:r>
      <w:proofErr w:type="gramEnd"/>
      <w:r w:rsidRPr="00DA1EA9">
        <w:rPr>
          <w:lang w:eastAsia="zh-CN"/>
        </w:rPr>
        <w:t>:</w:t>
      </w:r>
    </w:p>
    <w:p w14:paraId="150304FE" w14:textId="4BFCED8E" w:rsidR="00DF0134" w:rsidRPr="00DA1EA9" w:rsidRDefault="00DF0134" w:rsidP="00183988">
      <w:pPr>
        <w:pStyle w:val="enumlev1"/>
        <w:rPr>
          <w:lang w:eastAsia="zh-CN"/>
        </w:rPr>
      </w:pPr>
      <w:r w:rsidRPr="00DA1EA9">
        <w:rPr>
          <w:lang w:eastAsia="zh-CN"/>
        </w:rPr>
        <w:t>a)</w:t>
      </w:r>
      <w:r w:rsidRPr="00DA1EA9">
        <w:rPr>
          <w:lang w:eastAsia="zh-CN"/>
        </w:rPr>
        <w:tab/>
      </w:r>
      <w:r w:rsidR="000712CE" w:rsidRPr="00DA1EA9">
        <w:rPr>
          <w:lang w:eastAsia="zh-CN"/>
        </w:rPr>
        <w:t xml:space="preserve">the </w:t>
      </w:r>
      <w:r w:rsidRPr="00DA1EA9">
        <w:rPr>
          <w:lang w:eastAsia="zh-CN"/>
        </w:rPr>
        <w:t>Article</w:t>
      </w:r>
      <w:r w:rsidR="006806AF" w:rsidRPr="00DA1EA9">
        <w:rPr>
          <w:lang w:eastAsia="zh-CN"/>
        </w:rPr>
        <w:t> </w:t>
      </w:r>
      <w:r w:rsidRPr="00DA1EA9">
        <w:rPr>
          <w:b/>
          <w:bCs/>
          <w:lang w:eastAsia="zh-CN"/>
        </w:rPr>
        <w:t>4</w:t>
      </w:r>
      <w:r w:rsidRPr="00DA1EA9">
        <w:rPr>
          <w:lang w:eastAsia="zh-CN"/>
        </w:rPr>
        <w:t xml:space="preserve"> satellite networks have </w:t>
      </w:r>
      <w:proofErr w:type="gramStart"/>
      <w:r w:rsidRPr="00DA1EA9">
        <w:rPr>
          <w:lang w:eastAsia="zh-CN"/>
        </w:rPr>
        <w:t>very large</w:t>
      </w:r>
      <w:proofErr w:type="gramEnd"/>
      <w:r w:rsidRPr="00DA1EA9">
        <w:rPr>
          <w:lang w:eastAsia="zh-CN"/>
        </w:rPr>
        <w:t xml:space="preserve"> coverage with very high receiving sensitivity over the national territory of the </w:t>
      </w:r>
      <w:r w:rsidR="000712CE" w:rsidRPr="00DA1EA9">
        <w:rPr>
          <w:lang w:eastAsia="zh-CN"/>
        </w:rPr>
        <w:t>Resolution</w:t>
      </w:r>
      <w:r w:rsidR="00183988" w:rsidRPr="00DA1EA9">
        <w:rPr>
          <w:lang w:eastAsia="zh-CN"/>
        </w:rPr>
        <w:t> </w:t>
      </w:r>
      <w:r w:rsidR="000712CE" w:rsidRPr="00DA1EA9">
        <w:rPr>
          <w:b/>
          <w:bCs/>
          <w:lang w:eastAsia="zh-CN"/>
        </w:rPr>
        <w:t>559</w:t>
      </w:r>
      <w:r w:rsidR="000712CE" w:rsidRPr="00DA1EA9">
        <w:rPr>
          <w:lang w:eastAsia="zh-CN"/>
        </w:rPr>
        <w:t xml:space="preserve"> (WRC-19) </w:t>
      </w:r>
      <w:r w:rsidR="00C73B1E" w:rsidRPr="00DA1EA9">
        <w:rPr>
          <w:lang w:eastAsia="zh-CN"/>
        </w:rPr>
        <w:t>a</w:t>
      </w:r>
      <w:r w:rsidRPr="00DA1EA9">
        <w:rPr>
          <w:lang w:eastAsia="zh-CN"/>
        </w:rPr>
        <w:t>dministration concerned;</w:t>
      </w:r>
    </w:p>
    <w:p w14:paraId="2FE34F47" w14:textId="405CA93C" w:rsidR="00DF0134" w:rsidRPr="00DA1EA9" w:rsidRDefault="00DF0134" w:rsidP="00183988">
      <w:pPr>
        <w:pStyle w:val="enumlev1"/>
        <w:rPr>
          <w:lang w:eastAsia="zh-CN"/>
        </w:rPr>
      </w:pPr>
      <w:r w:rsidRPr="00DA1EA9">
        <w:rPr>
          <w:lang w:eastAsia="zh-CN"/>
        </w:rPr>
        <w:t>b)</w:t>
      </w:r>
      <w:r w:rsidRPr="00DA1EA9">
        <w:rPr>
          <w:lang w:eastAsia="zh-CN"/>
        </w:rPr>
        <w:tab/>
      </w:r>
      <w:r w:rsidR="000712CE" w:rsidRPr="00DA1EA9">
        <w:rPr>
          <w:lang w:eastAsia="zh-CN"/>
        </w:rPr>
        <w:t xml:space="preserve">the </w:t>
      </w:r>
      <w:r w:rsidRPr="00DA1EA9">
        <w:rPr>
          <w:lang w:eastAsia="zh-CN"/>
        </w:rPr>
        <w:t>coverage areas of those Article</w:t>
      </w:r>
      <w:r w:rsidR="006806AF" w:rsidRPr="00DA1EA9">
        <w:rPr>
          <w:lang w:eastAsia="zh-CN"/>
        </w:rPr>
        <w:t> </w:t>
      </w:r>
      <w:r w:rsidRPr="00DA1EA9">
        <w:rPr>
          <w:b/>
          <w:bCs/>
          <w:lang w:eastAsia="zh-CN"/>
        </w:rPr>
        <w:t>4</w:t>
      </w:r>
      <w:r w:rsidRPr="00DA1EA9">
        <w:rPr>
          <w:lang w:eastAsia="zh-CN"/>
        </w:rPr>
        <w:t xml:space="preserve"> satellite networks extend far beyond the national territory of the notifying </w:t>
      </w:r>
      <w:r w:rsidR="00740E87" w:rsidRPr="00DA1EA9">
        <w:rPr>
          <w:lang w:eastAsia="zh-CN"/>
        </w:rPr>
        <w:t>a</w:t>
      </w:r>
      <w:r w:rsidRPr="00DA1EA9">
        <w:rPr>
          <w:lang w:eastAsia="zh-CN"/>
        </w:rPr>
        <w:t xml:space="preserve">dministrations whereas feeder-link earth stations of the </w:t>
      </w:r>
      <w:r w:rsidR="000712CE" w:rsidRPr="00DA1EA9">
        <w:rPr>
          <w:lang w:eastAsia="zh-CN"/>
        </w:rPr>
        <w:t>Resolution</w:t>
      </w:r>
      <w:r w:rsidR="00183988" w:rsidRPr="00DA1EA9">
        <w:rPr>
          <w:lang w:eastAsia="zh-CN"/>
        </w:rPr>
        <w:t> </w:t>
      </w:r>
      <w:r w:rsidR="000712CE" w:rsidRPr="00DA1EA9">
        <w:rPr>
          <w:b/>
          <w:bCs/>
          <w:lang w:eastAsia="zh-CN"/>
        </w:rPr>
        <w:t>559</w:t>
      </w:r>
      <w:r w:rsidR="000712CE" w:rsidRPr="00DA1EA9">
        <w:rPr>
          <w:lang w:eastAsia="zh-CN"/>
        </w:rPr>
        <w:t xml:space="preserve"> (WRC-19) </w:t>
      </w:r>
      <w:r w:rsidRPr="00DA1EA9">
        <w:rPr>
          <w:lang w:eastAsia="zh-CN"/>
        </w:rPr>
        <w:t xml:space="preserve">submission concerned are only located inside the national territory and that cannot </w:t>
      </w:r>
      <w:proofErr w:type="gramStart"/>
      <w:r w:rsidRPr="00DA1EA9">
        <w:rPr>
          <w:lang w:eastAsia="zh-CN"/>
        </w:rPr>
        <w:t>be further reduced</w:t>
      </w:r>
      <w:proofErr w:type="gramEnd"/>
      <w:r w:rsidRPr="00DA1EA9">
        <w:rPr>
          <w:lang w:eastAsia="zh-CN"/>
        </w:rPr>
        <w:t>;</w:t>
      </w:r>
    </w:p>
    <w:p w14:paraId="3E6529D0" w14:textId="677D37AB" w:rsidR="00DF0134" w:rsidRPr="00DA1EA9" w:rsidRDefault="00DF0134" w:rsidP="00183988">
      <w:pPr>
        <w:pStyle w:val="enumlev1"/>
        <w:rPr>
          <w:lang w:eastAsia="zh-CN"/>
        </w:rPr>
      </w:pPr>
      <w:r w:rsidRPr="00DA1EA9">
        <w:rPr>
          <w:lang w:eastAsia="zh-CN"/>
        </w:rPr>
        <w:t>c)</w:t>
      </w:r>
      <w:r w:rsidRPr="00DA1EA9">
        <w:rPr>
          <w:lang w:eastAsia="zh-CN"/>
        </w:rPr>
        <w:tab/>
      </w:r>
      <w:r w:rsidR="000712CE" w:rsidRPr="00DA1EA9">
        <w:rPr>
          <w:lang w:eastAsia="zh-CN"/>
        </w:rPr>
        <w:t xml:space="preserve">the </w:t>
      </w:r>
      <w:r w:rsidRPr="00DA1EA9">
        <w:rPr>
          <w:lang w:eastAsia="zh-CN"/>
        </w:rPr>
        <w:t>objective of Resolution</w:t>
      </w:r>
      <w:r w:rsidR="00183988" w:rsidRPr="00DA1EA9">
        <w:rPr>
          <w:lang w:eastAsia="zh-CN"/>
        </w:rPr>
        <w:t> </w:t>
      </w:r>
      <w:r w:rsidRPr="00DA1EA9">
        <w:rPr>
          <w:b/>
          <w:bCs/>
          <w:lang w:eastAsia="zh-CN"/>
        </w:rPr>
        <w:t>2</w:t>
      </w:r>
      <w:r w:rsidRPr="00DA1EA9">
        <w:rPr>
          <w:lang w:eastAsia="zh-CN"/>
        </w:rPr>
        <w:t xml:space="preserve"> </w:t>
      </w:r>
      <w:r w:rsidRPr="00DA1EA9">
        <w:rPr>
          <w:b/>
          <w:bCs/>
          <w:lang w:eastAsia="zh-CN"/>
        </w:rPr>
        <w:t>(Rev.WRC-03)</w:t>
      </w:r>
      <w:r w:rsidRPr="00DA1EA9">
        <w:rPr>
          <w:lang w:eastAsia="zh-CN"/>
        </w:rPr>
        <w:t xml:space="preserve"> and WRC-23 </w:t>
      </w:r>
      <w:r w:rsidR="000712CE" w:rsidRPr="00DA1EA9">
        <w:rPr>
          <w:lang w:eastAsia="zh-CN"/>
        </w:rPr>
        <w:t>a</w:t>
      </w:r>
      <w:r w:rsidRPr="00DA1EA9">
        <w:rPr>
          <w:lang w:eastAsia="zh-CN"/>
        </w:rPr>
        <w:t>genda item</w:t>
      </w:r>
      <w:r w:rsidR="00183988" w:rsidRPr="00DA1EA9">
        <w:rPr>
          <w:lang w:eastAsia="zh-CN"/>
        </w:rPr>
        <w:t> </w:t>
      </w:r>
      <w:r w:rsidRPr="00DA1EA9">
        <w:rPr>
          <w:lang w:eastAsia="zh-CN"/>
        </w:rPr>
        <w:t>7</w:t>
      </w:r>
      <w:r w:rsidR="000712CE" w:rsidRPr="00DA1EA9">
        <w:rPr>
          <w:lang w:eastAsia="zh-CN"/>
        </w:rPr>
        <w:t xml:space="preserve">, </w:t>
      </w:r>
      <w:r w:rsidR="00740E87" w:rsidRPr="00DA1EA9">
        <w:rPr>
          <w:lang w:eastAsia="zh-CN"/>
        </w:rPr>
        <w:t>T</w:t>
      </w:r>
      <w:r w:rsidR="000712CE" w:rsidRPr="00DA1EA9">
        <w:rPr>
          <w:lang w:eastAsia="zh-CN"/>
        </w:rPr>
        <w:t xml:space="preserve">opic </w:t>
      </w:r>
      <w:r w:rsidR="00740E87" w:rsidRPr="00DA1EA9">
        <w:rPr>
          <w:lang w:eastAsia="zh-CN"/>
        </w:rPr>
        <w:t>F</w:t>
      </w:r>
      <w:r w:rsidRPr="00DA1EA9">
        <w:rPr>
          <w:lang w:eastAsia="zh-CN"/>
        </w:rPr>
        <w:t>.</w:t>
      </w:r>
    </w:p>
    <w:p w14:paraId="4A01F44B" w14:textId="79186F8A" w:rsidR="00DF0134" w:rsidRPr="00DA1EA9" w:rsidRDefault="00DF0134" w:rsidP="00183988">
      <w:pPr>
        <w:rPr>
          <w:lang w:eastAsia="zh-CN"/>
        </w:rPr>
      </w:pPr>
      <w:r w:rsidRPr="00DA1EA9">
        <w:rPr>
          <w:lang w:eastAsia="zh-CN"/>
        </w:rPr>
        <w:t>5</w:t>
      </w:r>
      <w:r w:rsidRPr="00DA1EA9">
        <w:rPr>
          <w:lang w:eastAsia="zh-CN"/>
        </w:rPr>
        <w:tab/>
        <w:t>With respect to the remaining coordination cases under §</w:t>
      </w:r>
      <w:r w:rsidR="00183988" w:rsidRPr="00DA1EA9">
        <w:rPr>
          <w:lang w:eastAsia="zh-CN"/>
        </w:rPr>
        <w:t> </w:t>
      </w:r>
      <w:r w:rsidRPr="00DA1EA9">
        <w:rPr>
          <w:lang w:eastAsia="zh-CN"/>
        </w:rPr>
        <w:t xml:space="preserve">4.1.1a) of </w:t>
      </w:r>
      <w:r w:rsidR="00740E87" w:rsidRPr="00DA1EA9">
        <w:rPr>
          <w:lang w:eastAsia="zh-CN"/>
        </w:rPr>
        <w:t xml:space="preserve">RR </w:t>
      </w:r>
      <w:r w:rsidRPr="00DA1EA9">
        <w:rPr>
          <w:lang w:eastAsia="zh-CN"/>
        </w:rPr>
        <w:t>Appendices</w:t>
      </w:r>
      <w:r w:rsidR="00183988" w:rsidRPr="00DA1EA9">
        <w:rPr>
          <w:lang w:eastAsia="zh-CN"/>
        </w:rPr>
        <w:t> </w:t>
      </w:r>
      <w:r w:rsidRPr="00DA1EA9">
        <w:rPr>
          <w:b/>
          <w:bCs/>
          <w:lang w:eastAsia="zh-CN"/>
        </w:rPr>
        <w:t xml:space="preserve">30 </w:t>
      </w:r>
      <w:r w:rsidRPr="00DA1EA9">
        <w:rPr>
          <w:lang w:eastAsia="zh-CN"/>
        </w:rPr>
        <w:t xml:space="preserve">and </w:t>
      </w:r>
      <w:r w:rsidRPr="00DA1EA9">
        <w:rPr>
          <w:b/>
          <w:bCs/>
          <w:lang w:eastAsia="zh-CN"/>
        </w:rPr>
        <w:t>30A</w:t>
      </w:r>
      <w:r w:rsidRPr="00DA1EA9">
        <w:rPr>
          <w:lang w:eastAsia="zh-CN"/>
        </w:rPr>
        <w:t xml:space="preserve">, the submitting </w:t>
      </w:r>
      <w:r w:rsidR="006B51C7" w:rsidRPr="00DA1EA9">
        <w:t>a</w:t>
      </w:r>
      <w:r w:rsidRPr="00DA1EA9">
        <w:rPr>
          <w:lang w:eastAsia="zh-CN"/>
        </w:rPr>
        <w:t>dministrations propose WRC-23 to approve the following measures/proposals:</w:t>
      </w:r>
    </w:p>
    <w:p w14:paraId="4805B205" w14:textId="7E6B35B9" w:rsidR="00DF0134" w:rsidRPr="00DA1EA9" w:rsidRDefault="00DF0134" w:rsidP="00183988">
      <w:pPr>
        <w:pStyle w:val="enumlev1"/>
        <w:rPr>
          <w:lang w:eastAsia="zh-CN"/>
        </w:rPr>
      </w:pPr>
      <w:r w:rsidRPr="00DA1EA9">
        <w:rPr>
          <w:lang w:eastAsia="zh-CN"/>
        </w:rPr>
        <w:t>a)</w:t>
      </w:r>
      <w:r w:rsidRPr="00DA1EA9">
        <w:rPr>
          <w:lang w:eastAsia="zh-CN"/>
        </w:rPr>
        <w:tab/>
        <w:t>For multi-beam Plan assignments, if downlink single-entry C/I values are above 21</w:t>
      </w:r>
      <w:r w:rsidR="00AC38C3" w:rsidRPr="00DA1EA9">
        <w:rPr>
          <w:lang w:eastAsia="zh-CN"/>
        </w:rPr>
        <w:t> </w:t>
      </w:r>
      <w:r w:rsidRPr="00DA1EA9">
        <w:rPr>
          <w:lang w:eastAsia="zh-CN"/>
        </w:rPr>
        <w:t>dB except for one test-point where single-entry C/I is greater than 18</w:t>
      </w:r>
      <w:r w:rsidR="00AC38C3" w:rsidRPr="00DA1EA9">
        <w:rPr>
          <w:lang w:eastAsia="zh-CN"/>
        </w:rPr>
        <w:t> </w:t>
      </w:r>
      <w:r w:rsidRPr="00DA1EA9">
        <w:rPr>
          <w:lang w:eastAsia="zh-CN"/>
        </w:rPr>
        <w:t xml:space="preserve">dB, </w:t>
      </w:r>
      <w:r w:rsidR="000712CE" w:rsidRPr="00DA1EA9">
        <w:rPr>
          <w:lang w:eastAsia="zh-CN"/>
        </w:rPr>
        <w:t>Resolution</w:t>
      </w:r>
      <w:r w:rsidR="00AC38C3" w:rsidRPr="00DA1EA9">
        <w:rPr>
          <w:lang w:eastAsia="zh-CN"/>
        </w:rPr>
        <w:t> </w:t>
      </w:r>
      <w:r w:rsidR="000712CE" w:rsidRPr="00DA1EA9">
        <w:rPr>
          <w:b/>
          <w:bCs/>
          <w:lang w:eastAsia="zh-CN"/>
        </w:rPr>
        <w:t>559</w:t>
      </w:r>
      <w:r w:rsidR="000712CE" w:rsidRPr="00DA1EA9">
        <w:rPr>
          <w:lang w:eastAsia="zh-CN"/>
        </w:rPr>
        <w:t xml:space="preserve"> (WRC-19) </w:t>
      </w:r>
      <w:r w:rsidRPr="00DA1EA9">
        <w:rPr>
          <w:lang w:eastAsia="zh-CN"/>
        </w:rPr>
        <w:t>submissions and the corresponding Regions</w:t>
      </w:r>
      <w:r w:rsidR="00740E87" w:rsidRPr="00DA1EA9">
        <w:rPr>
          <w:lang w:eastAsia="zh-CN"/>
        </w:rPr>
        <w:t> </w:t>
      </w:r>
      <w:r w:rsidRPr="00DA1EA9">
        <w:rPr>
          <w:lang w:eastAsia="zh-CN"/>
        </w:rPr>
        <w:t xml:space="preserve">1 and 3 Plan frequency assignments </w:t>
      </w:r>
      <w:proofErr w:type="gramStart"/>
      <w:r w:rsidRPr="00DA1EA9">
        <w:rPr>
          <w:lang w:eastAsia="zh-CN"/>
        </w:rPr>
        <w:t>are considered</w:t>
      </w:r>
      <w:proofErr w:type="gramEnd"/>
      <w:r w:rsidRPr="00DA1EA9">
        <w:rPr>
          <w:lang w:eastAsia="zh-CN"/>
        </w:rPr>
        <w:t xml:space="preserve"> compatible. </w:t>
      </w:r>
      <w:proofErr w:type="gramStart"/>
      <w:r w:rsidRPr="00DA1EA9">
        <w:rPr>
          <w:lang w:eastAsia="zh-CN"/>
        </w:rPr>
        <w:t>In order to</w:t>
      </w:r>
      <w:proofErr w:type="gramEnd"/>
      <w:r w:rsidRPr="00DA1EA9">
        <w:rPr>
          <w:lang w:eastAsia="zh-CN"/>
        </w:rPr>
        <w:t xml:space="preserve"> preserve the same level of protection for such compatible cases of those Regions</w:t>
      </w:r>
      <w:r w:rsidR="006806AF" w:rsidRPr="00DA1EA9">
        <w:rPr>
          <w:lang w:eastAsia="zh-CN"/>
        </w:rPr>
        <w:t> </w:t>
      </w:r>
      <w:r w:rsidRPr="00DA1EA9">
        <w:rPr>
          <w:lang w:eastAsia="zh-CN"/>
        </w:rPr>
        <w:t>1 and</w:t>
      </w:r>
      <w:r w:rsidR="006806AF" w:rsidRPr="00DA1EA9">
        <w:rPr>
          <w:lang w:eastAsia="zh-CN"/>
        </w:rPr>
        <w:t> </w:t>
      </w:r>
      <w:r w:rsidRPr="00DA1EA9">
        <w:rPr>
          <w:lang w:eastAsia="zh-CN"/>
        </w:rPr>
        <w:t>3 Plan frequency assignments from incoming Article</w:t>
      </w:r>
      <w:r w:rsidR="006806AF" w:rsidRPr="00DA1EA9">
        <w:rPr>
          <w:lang w:eastAsia="zh-CN"/>
        </w:rPr>
        <w:t> </w:t>
      </w:r>
      <w:r w:rsidRPr="00DA1EA9">
        <w:rPr>
          <w:b/>
          <w:bCs/>
          <w:lang w:eastAsia="zh-CN"/>
        </w:rPr>
        <w:t>4</w:t>
      </w:r>
      <w:r w:rsidRPr="00DA1EA9">
        <w:rPr>
          <w:lang w:eastAsia="zh-CN"/>
        </w:rPr>
        <w:t xml:space="preserve"> submissions, the reference situation of those Regions</w:t>
      </w:r>
      <w:r w:rsidR="006806AF" w:rsidRPr="00DA1EA9">
        <w:rPr>
          <w:lang w:eastAsia="zh-CN"/>
        </w:rPr>
        <w:t> </w:t>
      </w:r>
      <w:r w:rsidRPr="00DA1EA9">
        <w:rPr>
          <w:lang w:eastAsia="zh-CN"/>
        </w:rPr>
        <w:t>1 and</w:t>
      </w:r>
      <w:r w:rsidR="006806AF" w:rsidRPr="00DA1EA9">
        <w:rPr>
          <w:lang w:eastAsia="zh-CN"/>
        </w:rPr>
        <w:t> </w:t>
      </w:r>
      <w:r w:rsidRPr="00DA1EA9">
        <w:rPr>
          <w:lang w:eastAsia="zh-CN"/>
        </w:rPr>
        <w:t xml:space="preserve">3 Plan frequency assignments shall not be updated when the </w:t>
      </w:r>
      <w:r w:rsidR="000712CE" w:rsidRPr="00DA1EA9">
        <w:rPr>
          <w:lang w:eastAsia="zh-CN"/>
        </w:rPr>
        <w:t>Resolution</w:t>
      </w:r>
      <w:r w:rsidR="00AC38C3" w:rsidRPr="00DA1EA9">
        <w:rPr>
          <w:lang w:eastAsia="zh-CN"/>
        </w:rPr>
        <w:t> </w:t>
      </w:r>
      <w:r w:rsidR="000712CE" w:rsidRPr="00DA1EA9">
        <w:rPr>
          <w:b/>
          <w:bCs/>
          <w:lang w:eastAsia="zh-CN"/>
        </w:rPr>
        <w:t>559</w:t>
      </w:r>
      <w:r w:rsidR="000712CE" w:rsidRPr="00DA1EA9">
        <w:rPr>
          <w:lang w:eastAsia="zh-CN"/>
        </w:rPr>
        <w:t xml:space="preserve"> </w:t>
      </w:r>
      <w:r w:rsidR="000712CE" w:rsidRPr="00DA1EA9">
        <w:rPr>
          <w:b/>
          <w:bCs/>
          <w:lang w:eastAsia="zh-CN"/>
        </w:rPr>
        <w:t>(WRC-19)</w:t>
      </w:r>
      <w:r w:rsidR="000712CE" w:rsidRPr="00DA1EA9">
        <w:rPr>
          <w:lang w:eastAsia="zh-CN"/>
        </w:rPr>
        <w:t xml:space="preserve"> </w:t>
      </w:r>
      <w:r w:rsidRPr="00DA1EA9">
        <w:rPr>
          <w:lang w:eastAsia="zh-CN"/>
        </w:rPr>
        <w:t xml:space="preserve">frequency assignments in the </w:t>
      </w:r>
      <w:r w:rsidR="00330308" w:rsidRPr="00DA1EA9">
        <w:rPr>
          <w:lang w:eastAsia="zh-CN"/>
        </w:rPr>
        <w:t>l</w:t>
      </w:r>
      <w:r w:rsidRPr="00DA1EA9">
        <w:rPr>
          <w:lang w:eastAsia="zh-CN"/>
        </w:rPr>
        <w:t>ist are included in the Plans.</w:t>
      </w:r>
    </w:p>
    <w:p w14:paraId="1D8B3C51" w14:textId="506EB51D" w:rsidR="00DF0134" w:rsidRPr="00DA1EA9" w:rsidRDefault="00DF0134" w:rsidP="00183988">
      <w:pPr>
        <w:pStyle w:val="enumlev1"/>
        <w:rPr>
          <w:lang w:eastAsia="zh-CN"/>
        </w:rPr>
      </w:pPr>
      <w:r w:rsidRPr="00DA1EA9">
        <w:rPr>
          <w:lang w:eastAsia="zh-CN"/>
        </w:rPr>
        <w:t>b)</w:t>
      </w:r>
      <w:r w:rsidRPr="00DA1EA9">
        <w:rPr>
          <w:lang w:eastAsia="zh-CN"/>
        </w:rPr>
        <w:tab/>
        <w:t>For multi-beam Plan assignments, if feeder-link single-entry C/I values are above 27</w:t>
      </w:r>
      <w:r w:rsidR="00183988" w:rsidRPr="00DA1EA9">
        <w:rPr>
          <w:lang w:eastAsia="zh-CN"/>
        </w:rPr>
        <w:t> </w:t>
      </w:r>
      <w:r w:rsidRPr="00DA1EA9">
        <w:rPr>
          <w:lang w:eastAsia="zh-CN"/>
        </w:rPr>
        <w:t xml:space="preserve">dB, </w:t>
      </w:r>
      <w:r w:rsidR="000712CE" w:rsidRPr="00DA1EA9">
        <w:rPr>
          <w:lang w:eastAsia="zh-CN"/>
        </w:rPr>
        <w:t>Resolution</w:t>
      </w:r>
      <w:r w:rsidR="00183988" w:rsidRPr="00DA1EA9">
        <w:rPr>
          <w:lang w:eastAsia="zh-CN"/>
        </w:rPr>
        <w:t> </w:t>
      </w:r>
      <w:r w:rsidR="000712CE" w:rsidRPr="00DA1EA9">
        <w:rPr>
          <w:b/>
          <w:bCs/>
          <w:lang w:eastAsia="zh-CN"/>
        </w:rPr>
        <w:t>559</w:t>
      </w:r>
      <w:r w:rsidR="000712CE" w:rsidRPr="00DA1EA9">
        <w:rPr>
          <w:lang w:eastAsia="zh-CN"/>
        </w:rPr>
        <w:t xml:space="preserve"> </w:t>
      </w:r>
      <w:r w:rsidR="000712CE" w:rsidRPr="00DA1EA9">
        <w:rPr>
          <w:b/>
          <w:bCs/>
          <w:lang w:eastAsia="zh-CN"/>
        </w:rPr>
        <w:t>(WRC-19)</w:t>
      </w:r>
      <w:r w:rsidR="000712CE" w:rsidRPr="00DA1EA9">
        <w:rPr>
          <w:lang w:eastAsia="zh-CN"/>
        </w:rPr>
        <w:t xml:space="preserve"> </w:t>
      </w:r>
      <w:r w:rsidRPr="00DA1EA9">
        <w:rPr>
          <w:lang w:eastAsia="zh-CN"/>
        </w:rPr>
        <w:t>submissions and the corresponding Regions</w:t>
      </w:r>
      <w:r w:rsidR="00183988" w:rsidRPr="00DA1EA9">
        <w:rPr>
          <w:lang w:eastAsia="zh-CN"/>
        </w:rPr>
        <w:t> </w:t>
      </w:r>
      <w:r w:rsidRPr="00DA1EA9">
        <w:rPr>
          <w:lang w:eastAsia="zh-CN"/>
        </w:rPr>
        <w:t>1 and</w:t>
      </w:r>
      <w:r w:rsidR="00183988" w:rsidRPr="00DA1EA9">
        <w:rPr>
          <w:lang w:eastAsia="zh-CN"/>
        </w:rPr>
        <w:t> </w:t>
      </w:r>
      <w:r w:rsidRPr="00DA1EA9">
        <w:rPr>
          <w:lang w:eastAsia="zh-CN"/>
        </w:rPr>
        <w:t xml:space="preserve">3 Plan frequency assignments </w:t>
      </w:r>
      <w:proofErr w:type="gramStart"/>
      <w:r w:rsidRPr="00DA1EA9">
        <w:rPr>
          <w:lang w:eastAsia="zh-CN"/>
        </w:rPr>
        <w:t>are considered</w:t>
      </w:r>
      <w:proofErr w:type="gramEnd"/>
      <w:r w:rsidRPr="00DA1EA9">
        <w:rPr>
          <w:lang w:eastAsia="zh-CN"/>
        </w:rPr>
        <w:t xml:space="preserve"> compatible. </w:t>
      </w:r>
      <w:proofErr w:type="gramStart"/>
      <w:r w:rsidRPr="00DA1EA9">
        <w:rPr>
          <w:lang w:eastAsia="zh-CN"/>
        </w:rPr>
        <w:t>In order to</w:t>
      </w:r>
      <w:proofErr w:type="gramEnd"/>
      <w:r w:rsidRPr="00DA1EA9">
        <w:rPr>
          <w:lang w:eastAsia="zh-CN"/>
        </w:rPr>
        <w:t xml:space="preserve"> preserve the same level of protection for such compatible cases of those Regions</w:t>
      </w:r>
      <w:r w:rsidR="00183988" w:rsidRPr="00DA1EA9">
        <w:rPr>
          <w:lang w:eastAsia="zh-CN"/>
        </w:rPr>
        <w:t> </w:t>
      </w:r>
      <w:r w:rsidRPr="00DA1EA9">
        <w:rPr>
          <w:lang w:eastAsia="zh-CN"/>
        </w:rPr>
        <w:t>1 and</w:t>
      </w:r>
      <w:r w:rsidR="00183988" w:rsidRPr="00DA1EA9">
        <w:rPr>
          <w:lang w:eastAsia="zh-CN"/>
        </w:rPr>
        <w:t> </w:t>
      </w:r>
      <w:r w:rsidRPr="00DA1EA9">
        <w:rPr>
          <w:lang w:eastAsia="zh-CN"/>
        </w:rPr>
        <w:t>3 Plan frequency assignments from incoming Article</w:t>
      </w:r>
      <w:r w:rsidR="00183988" w:rsidRPr="00DA1EA9">
        <w:rPr>
          <w:lang w:eastAsia="zh-CN"/>
        </w:rPr>
        <w:t> </w:t>
      </w:r>
      <w:r w:rsidRPr="00DA1EA9">
        <w:rPr>
          <w:b/>
          <w:bCs/>
          <w:lang w:eastAsia="zh-CN"/>
        </w:rPr>
        <w:t>4</w:t>
      </w:r>
      <w:r w:rsidRPr="00DA1EA9">
        <w:rPr>
          <w:lang w:eastAsia="zh-CN"/>
        </w:rPr>
        <w:t xml:space="preserve"> submissions, the reference situation of those Regions</w:t>
      </w:r>
      <w:r w:rsidR="00183988" w:rsidRPr="00DA1EA9">
        <w:rPr>
          <w:lang w:eastAsia="zh-CN"/>
        </w:rPr>
        <w:t> </w:t>
      </w:r>
      <w:r w:rsidRPr="00DA1EA9">
        <w:rPr>
          <w:lang w:eastAsia="zh-CN"/>
        </w:rPr>
        <w:t>1 and</w:t>
      </w:r>
      <w:r w:rsidR="00183988" w:rsidRPr="00DA1EA9">
        <w:rPr>
          <w:lang w:eastAsia="zh-CN"/>
        </w:rPr>
        <w:t> </w:t>
      </w:r>
      <w:r w:rsidRPr="00DA1EA9">
        <w:rPr>
          <w:lang w:eastAsia="zh-CN"/>
        </w:rPr>
        <w:t xml:space="preserve">3 Plan frequency assignments shall not be updated when the </w:t>
      </w:r>
      <w:r w:rsidR="000712CE" w:rsidRPr="00DA1EA9">
        <w:rPr>
          <w:lang w:eastAsia="zh-CN"/>
        </w:rPr>
        <w:t>Resolution</w:t>
      </w:r>
      <w:r w:rsidR="00183988" w:rsidRPr="00DA1EA9">
        <w:rPr>
          <w:lang w:eastAsia="zh-CN"/>
        </w:rPr>
        <w:t> </w:t>
      </w:r>
      <w:r w:rsidR="000712CE" w:rsidRPr="00DA1EA9">
        <w:rPr>
          <w:b/>
          <w:bCs/>
          <w:lang w:eastAsia="zh-CN"/>
        </w:rPr>
        <w:t>559</w:t>
      </w:r>
      <w:r w:rsidR="000712CE" w:rsidRPr="00DA1EA9">
        <w:rPr>
          <w:lang w:eastAsia="zh-CN"/>
        </w:rPr>
        <w:t xml:space="preserve"> </w:t>
      </w:r>
      <w:r w:rsidR="000712CE" w:rsidRPr="00DA1EA9">
        <w:rPr>
          <w:b/>
          <w:bCs/>
          <w:lang w:eastAsia="zh-CN"/>
        </w:rPr>
        <w:t>(WRC-19)</w:t>
      </w:r>
      <w:r w:rsidR="000712CE" w:rsidRPr="00DA1EA9">
        <w:rPr>
          <w:lang w:eastAsia="zh-CN"/>
        </w:rPr>
        <w:t xml:space="preserve"> </w:t>
      </w:r>
      <w:r w:rsidRPr="00DA1EA9">
        <w:rPr>
          <w:lang w:eastAsia="zh-CN"/>
        </w:rPr>
        <w:t xml:space="preserve">frequency assignments in the </w:t>
      </w:r>
      <w:r w:rsidR="005F7780" w:rsidRPr="00DA1EA9">
        <w:rPr>
          <w:lang w:eastAsia="zh-CN"/>
        </w:rPr>
        <w:t>l</w:t>
      </w:r>
      <w:r w:rsidRPr="00DA1EA9">
        <w:rPr>
          <w:lang w:eastAsia="zh-CN"/>
        </w:rPr>
        <w:t>ist are included in the Plans.</w:t>
      </w:r>
    </w:p>
    <w:p w14:paraId="0195A262" w14:textId="77777777" w:rsidR="00DF0134" w:rsidRPr="00DA1EA9" w:rsidRDefault="00DF0134" w:rsidP="00183988">
      <w:pPr>
        <w:rPr>
          <w:lang w:eastAsia="zh-CN"/>
        </w:rPr>
      </w:pPr>
      <w:r w:rsidRPr="00DA1EA9">
        <w:rPr>
          <w:lang w:eastAsia="zh-CN"/>
        </w:rPr>
        <w:t>6</w:t>
      </w:r>
      <w:r w:rsidRPr="00DA1EA9">
        <w:rPr>
          <w:lang w:eastAsia="zh-CN"/>
        </w:rPr>
        <w:tab/>
        <w:t>The Bureau shall:</w:t>
      </w:r>
    </w:p>
    <w:p w14:paraId="64832A7E" w14:textId="71F903EC" w:rsidR="00DF0134" w:rsidRPr="00DA1EA9" w:rsidRDefault="00DF0134" w:rsidP="00183988">
      <w:pPr>
        <w:pStyle w:val="enumlev1"/>
        <w:rPr>
          <w:lang w:eastAsia="zh-CN"/>
        </w:rPr>
      </w:pPr>
      <w:r w:rsidRPr="00DA1EA9">
        <w:rPr>
          <w:lang w:eastAsia="zh-CN"/>
        </w:rPr>
        <w:t>a)</w:t>
      </w:r>
      <w:r w:rsidRPr="00DA1EA9">
        <w:rPr>
          <w:lang w:eastAsia="zh-CN"/>
        </w:rPr>
        <w:tab/>
      </w:r>
      <w:r w:rsidR="000712CE" w:rsidRPr="00DA1EA9">
        <w:rPr>
          <w:lang w:eastAsia="zh-CN"/>
        </w:rPr>
        <w:t xml:space="preserve">Review </w:t>
      </w:r>
      <w:r w:rsidRPr="00DA1EA9">
        <w:rPr>
          <w:lang w:eastAsia="zh-CN"/>
        </w:rPr>
        <w:t xml:space="preserve">the status of all the remaining coordination cases </w:t>
      </w:r>
      <w:proofErr w:type="gramStart"/>
      <w:r w:rsidRPr="00DA1EA9">
        <w:rPr>
          <w:lang w:eastAsia="zh-CN"/>
        </w:rPr>
        <w:t>taking into account</w:t>
      </w:r>
      <w:proofErr w:type="gramEnd"/>
      <w:r w:rsidRPr="00DA1EA9">
        <w:rPr>
          <w:lang w:eastAsia="zh-CN"/>
        </w:rPr>
        <w:t xml:space="preserve"> all the above-mentioned proposals including those of the RRB and BR. In this connection, for the remaining coordination cases under §</w:t>
      </w:r>
      <w:r w:rsidR="00183988" w:rsidRPr="00DA1EA9">
        <w:rPr>
          <w:lang w:eastAsia="zh-CN"/>
        </w:rPr>
        <w:t> </w:t>
      </w:r>
      <w:r w:rsidRPr="00DA1EA9">
        <w:rPr>
          <w:lang w:eastAsia="zh-CN"/>
        </w:rPr>
        <w:t xml:space="preserve">4.1.1b) of </w:t>
      </w:r>
      <w:r w:rsidR="00330308" w:rsidRPr="00DA1EA9">
        <w:rPr>
          <w:lang w:eastAsia="zh-CN"/>
        </w:rPr>
        <w:t xml:space="preserve">RR </w:t>
      </w:r>
      <w:r w:rsidRPr="00DA1EA9">
        <w:rPr>
          <w:lang w:eastAsia="zh-CN"/>
        </w:rPr>
        <w:t>Appendix</w:t>
      </w:r>
      <w:r w:rsidR="00183988" w:rsidRPr="00DA1EA9">
        <w:rPr>
          <w:lang w:eastAsia="zh-CN"/>
        </w:rPr>
        <w:t> </w:t>
      </w:r>
      <w:r w:rsidRPr="00DA1EA9">
        <w:rPr>
          <w:b/>
          <w:bCs/>
          <w:lang w:eastAsia="zh-CN"/>
        </w:rPr>
        <w:t>30</w:t>
      </w:r>
      <w:r w:rsidRPr="00DA1EA9">
        <w:rPr>
          <w:lang w:eastAsia="zh-CN"/>
        </w:rPr>
        <w:t xml:space="preserve">, if after </w:t>
      </w:r>
      <w:proofErr w:type="gramStart"/>
      <w:r w:rsidRPr="00DA1EA9">
        <w:rPr>
          <w:lang w:eastAsia="zh-CN"/>
        </w:rPr>
        <w:t>taking into account</w:t>
      </w:r>
      <w:proofErr w:type="gramEnd"/>
      <w:r w:rsidRPr="00DA1EA9">
        <w:rPr>
          <w:lang w:eastAsia="zh-CN"/>
        </w:rPr>
        <w:t xml:space="preserve"> all the above-mentioned proposals, there is only one remaining test-point potentially affected, the coordination is deemed to be completed</w:t>
      </w:r>
      <w:r w:rsidR="000712CE" w:rsidRPr="00DA1EA9">
        <w:rPr>
          <w:lang w:eastAsia="zh-CN"/>
        </w:rPr>
        <w:t>.</w:t>
      </w:r>
    </w:p>
    <w:p w14:paraId="17021A04" w14:textId="1639BD13" w:rsidR="00DF0134" w:rsidRPr="00DA1EA9" w:rsidRDefault="00DF0134" w:rsidP="00183988">
      <w:pPr>
        <w:pStyle w:val="enumlev1"/>
        <w:rPr>
          <w:b/>
          <w:bCs/>
          <w:lang w:eastAsia="zh-CN"/>
        </w:rPr>
      </w:pPr>
      <w:r w:rsidRPr="00DA1EA9">
        <w:rPr>
          <w:lang w:eastAsia="zh-CN"/>
        </w:rPr>
        <w:t>b)</w:t>
      </w:r>
      <w:r w:rsidRPr="00DA1EA9">
        <w:rPr>
          <w:lang w:eastAsia="zh-CN"/>
        </w:rPr>
        <w:tab/>
      </w:r>
      <w:r w:rsidR="000712CE" w:rsidRPr="00DA1EA9">
        <w:rPr>
          <w:lang w:eastAsia="zh-CN"/>
        </w:rPr>
        <w:t xml:space="preserve">Apply </w:t>
      </w:r>
      <w:r w:rsidRPr="00DA1EA9">
        <w:rPr>
          <w:lang w:eastAsia="zh-CN"/>
        </w:rPr>
        <w:t xml:space="preserve">all the measures endorsed by WRC-23 to the </w:t>
      </w:r>
      <w:r w:rsidR="00A467C1" w:rsidRPr="00DA1EA9">
        <w:rPr>
          <w:lang w:eastAsia="zh-CN"/>
        </w:rPr>
        <w:t>Resolution</w:t>
      </w:r>
      <w:r w:rsidR="00183988" w:rsidRPr="00DA1EA9">
        <w:rPr>
          <w:lang w:eastAsia="zh-CN"/>
        </w:rPr>
        <w:t> </w:t>
      </w:r>
      <w:r w:rsidR="00A467C1" w:rsidRPr="00DA1EA9">
        <w:rPr>
          <w:b/>
          <w:bCs/>
          <w:lang w:eastAsia="zh-CN"/>
        </w:rPr>
        <w:t>559</w:t>
      </w:r>
      <w:r w:rsidR="00A467C1" w:rsidRPr="00DA1EA9">
        <w:rPr>
          <w:lang w:eastAsia="zh-CN"/>
        </w:rPr>
        <w:t xml:space="preserve"> </w:t>
      </w:r>
      <w:r w:rsidR="00A467C1" w:rsidRPr="00DA1EA9">
        <w:rPr>
          <w:b/>
          <w:bCs/>
          <w:lang w:eastAsia="zh-CN"/>
        </w:rPr>
        <w:t>(WRC</w:t>
      </w:r>
      <w:r w:rsidR="0007223D" w:rsidRPr="00DA1EA9">
        <w:rPr>
          <w:b/>
          <w:bCs/>
          <w:lang w:eastAsia="zh-CN"/>
        </w:rPr>
        <w:noBreakHyphen/>
      </w:r>
      <w:r w:rsidR="00A467C1" w:rsidRPr="00DA1EA9">
        <w:rPr>
          <w:b/>
          <w:bCs/>
          <w:lang w:eastAsia="zh-CN"/>
        </w:rPr>
        <w:t>19)</w:t>
      </w:r>
      <w:r w:rsidR="00AC38C3" w:rsidRPr="00DA1EA9">
        <w:rPr>
          <w:b/>
          <w:bCs/>
          <w:lang w:eastAsia="zh-CN"/>
        </w:rPr>
        <w:t xml:space="preserve"> </w:t>
      </w:r>
      <w:r w:rsidRPr="00DA1EA9">
        <w:rPr>
          <w:lang w:eastAsia="zh-CN"/>
        </w:rPr>
        <w:t xml:space="preserve">submissions of the </w:t>
      </w:r>
      <w:r w:rsidR="006B51C7" w:rsidRPr="00DA1EA9">
        <w:rPr>
          <w:lang w:eastAsia="zh-CN"/>
        </w:rPr>
        <w:t>a</w:t>
      </w:r>
      <w:r w:rsidRPr="00DA1EA9">
        <w:rPr>
          <w:lang w:eastAsia="zh-CN"/>
        </w:rPr>
        <w:t xml:space="preserve">dministrations of </w:t>
      </w:r>
      <w:r w:rsidR="003D1E72" w:rsidRPr="00DA1EA9">
        <w:rPr>
          <w:lang w:eastAsia="zh-CN"/>
        </w:rPr>
        <w:t>Afghanistan</w:t>
      </w:r>
      <w:r w:rsidRPr="00DA1EA9">
        <w:rPr>
          <w:lang w:eastAsia="zh-CN"/>
        </w:rPr>
        <w:t xml:space="preserve">, </w:t>
      </w:r>
      <w:r w:rsidR="00797CC7" w:rsidRPr="00DA1EA9">
        <w:rPr>
          <w:lang w:eastAsia="zh-CN"/>
        </w:rPr>
        <w:t>Equatorial Guinea</w:t>
      </w:r>
      <w:r w:rsidRPr="00DA1EA9">
        <w:rPr>
          <w:lang w:eastAsia="zh-CN"/>
        </w:rPr>
        <w:t xml:space="preserve">, </w:t>
      </w:r>
      <w:r w:rsidR="00797CC7" w:rsidRPr="00DA1EA9">
        <w:rPr>
          <w:lang w:eastAsia="zh-CN"/>
        </w:rPr>
        <w:t>Malta</w:t>
      </w:r>
      <w:r w:rsidRPr="00DA1EA9">
        <w:rPr>
          <w:lang w:eastAsia="zh-CN"/>
        </w:rPr>
        <w:t xml:space="preserve"> and </w:t>
      </w:r>
      <w:r w:rsidR="00797CC7" w:rsidRPr="00DA1EA9">
        <w:rPr>
          <w:lang w:eastAsia="zh-CN"/>
        </w:rPr>
        <w:t xml:space="preserve">Seychelles </w:t>
      </w:r>
      <w:r w:rsidRPr="00DA1EA9">
        <w:rPr>
          <w:lang w:eastAsia="zh-CN"/>
        </w:rPr>
        <w:t>and to the future applications of §</w:t>
      </w:r>
      <w:r w:rsidR="00A467C1" w:rsidRPr="00DA1EA9">
        <w:rPr>
          <w:lang w:eastAsia="zh-CN"/>
        </w:rPr>
        <w:t>§</w:t>
      </w:r>
      <w:r w:rsidR="00183988" w:rsidRPr="00DA1EA9">
        <w:rPr>
          <w:lang w:eastAsia="zh-CN"/>
        </w:rPr>
        <w:t> </w:t>
      </w:r>
      <w:r w:rsidRPr="00DA1EA9">
        <w:rPr>
          <w:lang w:eastAsia="zh-CN"/>
        </w:rPr>
        <w:t>4.1.26 or</w:t>
      </w:r>
      <w:r w:rsidR="00183988" w:rsidRPr="00DA1EA9">
        <w:rPr>
          <w:lang w:eastAsia="zh-CN"/>
        </w:rPr>
        <w:t> </w:t>
      </w:r>
      <w:r w:rsidRPr="00DA1EA9">
        <w:rPr>
          <w:lang w:eastAsia="zh-CN"/>
        </w:rPr>
        <w:t>4.1.27 of Article</w:t>
      </w:r>
      <w:r w:rsidR="00183988" w:rsidRPr="00DA1EA9">
        <w:rPr>
          <w:lang w:eastAsia="zh-CN"/>
        </w:rPr>
        <w:t> </w:t>
      </w:r>
      <w:r w:rsidRPr="00DA1EA9">
        <w:rPr>
          <w:b/>
          <w:bCs/>
          <w:lang w:eastAsia="zh-CN"/>
        </w:rPr>
        <w:t>4</w:t>
      </w:r>
      <w:r w:rsidRPr="00DA1EA9">
        <w:rPr>
          <w:lang w:eastAsia="zh-CN"/>
        </w:rPr>
        <w:t xml:space="preserve"> of </w:t>
      </w:r>
      <w:r w:rsidR="00A467C1" w:rsidRPr="00DA1EA9">
        <w:rPr>
          <w:lang w:eastAsia="zh-CN"/>
        </w:rPr>
        <w:t xml:space="preserve">RR </w:t>
      </w:r>
      <w:r w:rsidRPr="00DA1EA9">
        <w:rPr>
          <w:lang w:eastAsia="zh-CN"/>
        </w:rPr>
        <w:t>Appendices</w:t>
      </w:r>
      <w:r w:rsidR="00183988" w:rsidRPr="00DA1EA9">
        <w:rPr>
          <w:lang w:eastAsia="zh-CN"/>
        </w:rPr>
        <w:t> </w:t>
      </w:r>
      <w:r w:rsidRPr="00DA1EA9">
        <w:rPr>
          <w:b/>
          <w:bCs/>
          <w:lang w:eastAsia="zh-CN"/>
        </w:rPr>
        <w:t>30</w:t>
      </w:r>
      <w:r w:rsidRPr="00DA1EA9">
        <w:rPr>
          <w:lang w:eastAsia="zh-CN"/>
        </w:rPr>
        <w:t xml:space="preserve"> and</w:t>
      </w:r>
      <w:r w:rsidR="00183988" w:rsidRPr="00DA1EA9">
        <w:rPr>
          <w:lang w:eastAsia="zh-CN"/>
        </w:rPr>
        <w:t> </w:t>
      </w:r>
      <w:r w:rsidRPr="00DA1EA9">
        <w:rPr>
          <w:b/>
          <w:bCs/>
          <w:lang w:eastAsia="zh-CN"/>
        </w:rPr>
        <w:t>30A</w:t>
      </w:r>
      <w:r w:rsidRPr="00DA1EA9">
        <w:rPr>
          <w:lang w:eastAsia="zh-CN"/>
        </w:rPr>
        <w:t>, which has the same nature as Resolution</w:t>
      </w:r>
      <w:r w:rsidR="00183988" w:rsidRPr="00DA1EA9">
        <w:rPr>
          <w:lang w:eastAsia="zh-CN"/>
        </w:rPr>
        <w:t> </w:t>
      </w:r>
      <w:r w:rsidRPr="00DA1EA9">
        <w:rPr>
          <w:b/>
          <w:bCs/>
          <w:lang w:eastAsia="zh-CN"/>
        </w:rPr>
        <w:t>559</w:t>
      </w:r>
      <w:r w:rsidRPr="00DA1EA9">
        <w:rPr>
          <w:lang w:eastAsia="zh-CN"/>
        </w:rPr>
        <w:t xml:space="preserve"> </w:t>
      </w:r>
      <w:r w:rsidRPr="00DA1EA9">
        <w:rPr>
          <w:b/>
          <w:bCs/>
          <w:lang w:eastAsia="zh-CN"/>
        </w:rPr>
        <w:t>(WRC-19).</w:t>
      </w:r>
    </w:p>
    <w:p w14:paraId="5180004B" w14:textId="77777777" w:rsidR="001943D2" w:rsidRPr="00DA1EA9" w:rsidRDefault="001943D2" w:rsidP="001943D2">
      <w:pPr>
        <w:pStyle w:val="Reasons"/>
        <w:rPr>
          <w:lang w:eastAsia="zh-CN"/>
        </w:rPr>
      </w:pPr>
    </w:p>
    <w:p w14:paraId="6529E895" w14:textId="77777777" w:rsidR="00DF0134" w:rsidRPr="003F47B5" w:rsidRDefault="00DF0134">
      <w:pPr>
        <w:jc w:val="center"/>
      </w:pPr>
      <w:r w:rsidRPr="00DA1EA9">
        <w:t>______________</w:t>
      </w:r>
    </w:p>
    <w:sectPr w:rsidR="00DF0134" w:rsidRPr="003F47B5" w:rsidSect="0039169B">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B127" w14:textId="77777777" w:rsidR="00152699" w:rsidRDefault="00152699">
      <w:r>
        <w:separator/>
      </w:r>
    </w:p>
  </w:endnote>
  <w:endnote w:type="continuationSeparator" w:id="0">
    <w:p w14:paraId="0F9C3DC8" w14:textId="77777777" w:rsidR="00152699" w:rsidRDefault="0015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F07B" w14:textId="77777777" w:rsidR="00E45D05" w:rsidRDefault="00E45D05">
    <w:pPr>
      <w:framePr w:wrap="around" w:vAnchor="text" w:hAnchor="margin" w:xAlign="right" w:y="1"/>
    </w:pPr>
    <w:r>
      <w:fldChar w:fldCharType="begin"/>
    </w:r>
    <w:r>
      <w:instrText xml:space="preserve">PAGE  </w:instrText>
    </w:r>
    <w:r>
      <w:fldChar w:fldCharType="end"/>
    </w:r>
  </w:p>
  <w:p w14:paraId="768C8987" w14:textId="28545AD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943D2">
      <w:rPr>
        <w:noProof/>
      </w:rPr>
      <w:t>27.10.23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C114" w14:textId="1B3582D5" w:rsidR="00E45D05" w:rsidRDefault="00E45D05" w:rsidP="009B1EA1">
    <w:pPr>
      <w:pStyle w:val="Footer"/>
    </w:pPr>
    <w:r>
      <w:fldChar w:fldCharType="begin"/>
    </w:r>
    <w:r w:rsidRPr="0041348E">
      <w:rPr>
        <w:lang w:val="en-US"/>
      </w:rPr>
      <w:instrText xml:space="preserve"> FILENAME \p  \* MERGEFORMAT </w:instrText>
    </w:r>
    <w:r>
      <w:fldChar w:fldCharType="separate"/>
    </w:r>
    <w:r w:rsidR="00927AEE">
      <w:rPr>
        <w:lang w:val="en-US"/>
      </w:rPr>
      <w:t>P:\ENG\ITU-R\CONF-R\CMR23\000\087ADD25E.doc</w:t>
    </w:r>
    <w:r>
      <w:fldChar w:fldCharType="end"/>
    </w:r>
    <w:r w:rsidR="00927AEE">
      <w:t xml:space="preserve"> (530017)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74F6" w14:textId="34F09CC3" w:rsidR="00927AEE" w:rsidRDefault="00494E0D">
    <w:pPr>
      <w:pStyle w:val="Footer"/>
    </w:pPr>
    <w:r>
      <w:fldChar w:fldCharType="begin"/>
    </w:r>
    <w:r>
      <w:instrText xml:space="preserve"> FILENAME \p \* MERGEFORMAT </w:instrText>
    </w:r>
    <w:r>
      <w:fldChar w:fldCharType="separate"/>
    </w:r>
    <w:r w:rsidR="00927AEE">
      <w:t>P:\ENG\ITU-R\CONF-R\CMR23\000\087ADD25E.doc</w:t>
    </w:r>
    <w:r>
      <w:fldChar w:fldCharType="end"/>
    </w:r>
    <w:r w:rsidR="00927AEE">
      <w:t xml:space="preserve"> (530017)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EF15" w14:textId="77777777" w:rsidR="00152699" w:rsidRDefault="00152699">
      <w:r>
        <w:rPr>
          <w:b/>
        </w:rPr>
        <w:t>_______________</w:t>
      </w:r>
    </w:p>
  </w:footnote>
  <w:footnote w:type="continuationSeparator" w:id="0">
    <w:p w14:paraId="1C7EB915" w14:textId="77777777" w:rsidR="00152699" w:rsidRDefault="00152699">
      <w:r>
        <w:continuationSeparator/>
      </w:r>
    </w:p>
  </w:footnote>
  <w:footnote w:id="1">
    <w:p w14:paraId="67D40F28" w14:textId="4BE18059" w:rsidR="00DF0134" w:rsidRDefault="00DF0134" w:rsidP="00DF0134">
      <w:pPr>
        <w:pStyle w:val="FootnoteText"/>
      </w:pPr>
      <w:r>
        <w:rPr>
          <w:rStyle w:val="FootnoteReference"/>
        </w:rPr>
        <w:t>1</w:t>
      </w:r>
      <w:r>
        <w:t xml:space="preserve"> </w:t>
      </w:r>
      <w:r>
        <w:tab/>
        <w:t xml:space="preserve">This agenda sub-item is </w:t>
      </w:r>
      <w:proofErr w:type="gramStart"/>
      <w:r>
        <w:t>strictly limited</w:t>
      </w:r>
      <w:proofErr w:type="gramEnd"/>
      <w:r>
        <w:t xml:space="preserve"> to the Report of the Director on any difficulties or inconsistencies encountered in the application of the Radio Regulations and the comments from </w:t>
      </w:r>
      <w:r w:rsidR="00AC0E3F" w:rsidRPr="00D179C1">
        <w:t>a</w:t>
      </w:r>
      <w:r w:rsidRPr="00D179C1">
        <w:t>d</w:t>
      </w:r>
      <w:r>
        <w:t xml:space="preserve">ministrations. Administrations </w:t>
      </w:r>
      <w:proofErr w:type="gramStart"/>
      <w:r>
        <w:t>are invited</w:t>
      </w:r>
      <w:proofErr w:type="gramEnd"/>
      <w:r>
        <w:t xml:space="preserve"> to inform the Director of the Radiocommunication Bureau of any difficulties or inconsistencies encountered in the Radio Regulations.</w:t>
      </w:r>
    </w:p>
  </w:footnote>
  <w:footnote w:id="2">
    <w:p w14:paraId="1730D881" w14:textId="7DD27117" w:rsidR="002047DE" w:rsidRDefault="002047DE">
      <w:pPr>
        <w:pStyle w:val="FootnoteText"/>
      </w:pPr>
      <w:r>
        <w:rPr>
          <w:rStyle w:val="FootnoteReference"/>
        </w:rPr>
        <w:t>1</w:t>
      </w:r>
      <w:r>
        <w:tab/>
      </w:r>
      <w:r w:rsidRPr="00D31FC0">
        <w:t>Submissions under Resolution</w:t>
      </w:r>
      <w:r w:rsidR="00183988">
        <w:t> </w:t>
      </w:r>
      <w:r w:rsidRPr="009E19E8">
        <w:rPr>
          <w:b/>
          <w:bCs/>
        </w:rPr>
        <w:t>559 (WRC-19)</w:t>
      </w:r>
      <w:r w:rsidRPr="00D31FC0">
        <w:t xml:space="preserve"> and under RR Article</w:t>
      </w:r>
      <w:r w:rsidR="00BF2619">
        <w:t> </w:t>
      </w:r>
      <w:r w:rsidRPr="00BF2619">
        <w:rPr>
          <w:b/>
          <w:bCs/>
        </w:rPr>
        <w:t>4</w:t>
      </w:r>
      <w:r w:rsidRPr="00D31FC0">
        <w:t xml:space="preserve"> of Appendices</w:t>
      </w:r>
      <w:r w:rsidR="00183988">
        <w:t> </w:t>
      </w:r>
      <w:r w:rsidRPr="009E19E8">
        <w:rPr>
          <w:b/>
          <w:bCs/>
        </w:rPr>
        <w:t>30</w:t>
      </w:r>
      <w:r w:rsidRPr="00D31FC0">
        <w:t xml:space="preserve"> and</w:t>
      </w:r>
      <w:r w:rsidR="00183988">
        <w:t> </w:t>
      </w:r>
      <w:r w:rsidRPr="009E19E8">
        <w:rPr>
          <w:b/>
          <w:bCs/>
        </w:rPr>
        <w:t>30A</w:t>
      </w:r>
      <w:r w:rsidRPr="00D31FC0">
        <w:t xml:space="preserve"> from the Administrations of Mauritius</w:t>
      </w:r>
      <w:r>
        <w:t>,</w:t>
      </w:r>
      <w:r w:rsidRPr="00B54427">
        <w:t xml:space="preserve"> </w:t>
      </w:r>
      <w:r w:rsidRPr="00D31FC0">
        <w:t>Madagascar</w:t>
      </w:r>
      <w:r>
        <w:t xml:space="preserve"> and</w:t>
      </w:r>
      <w:r w:rsidRPr="00D31FC0">
        <w:t xml:space="preserve"> Seychelles</w:t>
      </w:r>
      <w:r>
        <w:t xml:space="preserve">. They </w:t>
      </w:r>
      <w:proofErr w:type="gramStart"/>
      <w:r>
        <w:t>are referred</w:t>
      </w:r>
      <w:proofErr w:type="gramEnd"/>
      <w:r>
        <w:t xml:space="preserve"> to as </w:t>
      </w:r>
      <w:bookmarkStart w:id="7" w:name="_Hlk149141561"/>
      <w:r w:rsidRPr="00D31FC0">
        <w:t>Resolution</w:t>
      </w:r>
      <w:r w:rsidR="00183988">
        <w:t> </w:t>
      </w:r>
      <w:r w:rsidRPr="009E19E8">
        <w:rPr>
          <w:b/>
          <w:bCs/>
        </w:rPr>
        <w:t>559 (WRC-19)</w:t>
      </w:r>
      <w:r w:rsidRPr="00D31FC0">
        <w:t xml:space="preserve"> </w:t>
      </w:r>
      <w:bookmarkEnd w:id="7"/>
      <w:r>
        <w:t>submissions.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DDB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86D1DC1" w14:textId="16DFF70C" w:rsidR="00A066F1" w:rsidRPr="00A066F1" w:rsidRDefault="00BC75DE" w:rsidP="00241FA2">
    <w:pPr>
      <w:pStyle w:val="Header"/>
    </w:pPr>
    <w:r>
      <w:t>WRC</w:t>
    </w:r>
    <w:r w:rsidR="006D70B0">
      <w:t>23</w:t>
    </w:r>
    <w:r w:rsidR="00A066F1">
      <w:t>/</w:t>
    </w:r>
    <w:bookmarkStart w:id="8" w:name="OLE_LINK1"/>
    <w:bookmarkStart w:id="9" w:name="OLE_LINK2"/>
    <w:bookmarkStart w:id="10" w:name="OLE_LINK3"/>
    <w:bookmarkEnd w:id="8"/>
    <w:bookmarkEnd w:id="9"/>
    <w:bookmarkEnd w:id="10"/>
    <w:r w:rsidR="007F7EB1">
      <w:t>87</w:t>
    </w:r>
    <w:r w:rsidR="00A43B07">
      <w:t>(</w:t>
    </w:r>
    <w:r w:rsidR="007F7EB1">
      <w:t>A</w:t>
    </w:r>
    <w:r w:rsidR="00A43B07">
      <w:t>dd.</w:t>
    </w:r>
    <w:r w:rsidR="00D0678F">
      <w:t>25</w:t>
    </w:r>
    <w:r w:rsidR="00A43B07">
      <w:t>)</w:t>
    </w:r>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49764007">
    <w:abstractNumId w:val="0"/>
  </w:num>
  <w:num w:numId="2" w16cid:durableId="4327524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6761"/>
    <w:rsid w:val="00047961"/>
    <w:rsid w:val="00051E39"/>
    <w:rsid w:val="000705F2"/>
    <w:rsid w:val="000712CE"/>
    <w:rsid w:val="0007223D"/>
    <w:rsid w:val="00077239"/>
    <w:rsid w:val="0007795D"/>
    <w:rsid w:val="0008262F"/>
    <w:rsid w:val="00086491"/>
    <w:rsid w:val="0009127A"/>
    <w:rsid w:val="00091346"/>
    <w:rsid w:val="0009706C"/>
    <w:rsid w:val="000D154B"/>
    <w:rsid w:val="000D2DAF"/>
    <w:rsid w:val="000D3DFF"/>
    <w:rsid w:val="000E463E"/>
    <w:rsid w:val="000F143C"/>
    <w:rsid w:val="000F73FF"/>
    <w:rsid w:val="00114CF7"/>
    <w:rsid w:val="00116C7A"/>
    <w:rsid w:val="00123B68"/>
    <w:rsid w:val="00126F2E"/>
    <w:rsid w:val="00146F6F"/>
    <w:rsid w:val="00152699"/>
    <w:rsid w:val="00161F26"/>
    <w:rsid w:val="00183988"/>
    <w:rsid w:val="00187BD9"/>
    <w:rsid w:val="00190B55"/>
    <w:rsid w:val="001943D2"/>
    <w:rsid w:val="001C3B5F"/>
    <w:rsid w:val="001D058F"/>
    <w:rsid w:val="001D3C96"/>
    <w:rsid w:val="001E665A"/>
    <w:rsid w:val="002009EA"/>
    <w:rsid w:val="00202756"/>
    <w:rsid w:val="00202CA0"/>
    <w:rsid w:val="002047DE"/>
    <w:rsid w:val="00216B6D"/>
    <w:rsid w:val="0022757F"/>
    <w:rsid w:val="00241FA2"/>
    <w:rsid w:val="00243F85"/>
    <w:rsid w:val="00251E84"/>
    <w:rsid w:val="00271316"/>
    <w:rsid w:val="002B349C"/>
    <w:rsid w:val="002D58BE"/>
    <w:rsid w:val="002F4747"/>
    <w:rsid w:val="00302605"/>
    <w:rsid w:val="00330308"/>
    <w:rsid w:val="00361B37"/>
    <w:rsid w:val="00377BD3"/>
    <w:rsid w:val="00384088"/>
    <w:rsid w:val="003852CE"/>
    <w:rsid w:val="0039169B"/>
    <w:rsid w:val="003A7F8C"/>
    <w:rsid w:val="003B2284"/>
    <w:rsid w:val="003B532E"/>
    <w:rsid w:val="003C1CB7"/>
    <w:rsid w:val="003D0F8B"/>
    <w:rsid w:val="003D1E72"/>
    <w:rsid w:val="003E0DB6"/>
    <w:rsid w:val="003E1E9B"/>
    <w:rsid w:val="003F47B5"/>
    <w:rsid w:val="0041348E"/>
    <w:rsid w:val="00420873"/>
    <w:rsid w:val="00477167"/>
    <w:rsid w:val="00492075"/>
    <w:rsid w:val="00494E0D"/>
    <w:rsid w:val="004969AD"/>
    <w:rsid w:val="004A26C4"/>
    <w:rsid w:val="004B13CB"/>
    <w:rsid w:val="004C414C"/>
    <w:rsid w:val="004D26EA"/>
    <w:rsid w:val="004D2BFB"/>
    <w:rsid w:val="004D5D5C"/>
    <w:rsid w:val="004F3DC0"/>
    <w:rsid w:val="0050139F"/>
    <w:rsid w:val="0051352B"/>
    <w:rsid w:val="0055140B"/>
    <w:rsid w:val="005861D7"/>
    <w:rsid w:val="005929DC"/>
    <w:rsid w:val="005964AB"/>
    <w:rsid w:val="005C099A"/>
    <w:rsid w:val="005C31A5"/>
    <w:rsid w:val="005C7841"/>
    <w:rsid w:val="005D2E33"/>
    <w:rsid w:val="005E10C9"/>
    <w:rsid w:val="005E290B"/>
    <w:rsid w:val="005E61DD"/>
    <w:rsid w:val="005F04D8"/>
    <w:rsid w:val="005F7780"/>
    <w:rsid w:val="006023DF"/>
    <w:rsid w:val="00615426"/>
    <w:rsid w:val="00616219"/>
    <w:rsid w:val="00645B7D"/>
    <w:rsid w:val="00657DE0"/>
    <w:rsid w:val="0068038A"/>
    <w:rsid w:val="006806AF"/>
    <w:rsid w:val="00680E04"/>
    <w:rsid w:val="00685313"/>
    <w:rsid w:val="00692833"/>
    <w:rsid w:val="00694ADE"/>
    <w:rsid w:val="00696D00"/>
    <w:rsid w:val="006A6E9B"/>
    <w:rsid w:val="006B51C7"/>
    <w:rsid w:val="006B7C2A"/>
    <w:rsid w:val="006C23DA"/>
    <w:rsid w:val="006D70B0"/>
    <w:rsid w:val="006E3D45"/>
    <w:rsid w:val="006E6C2F"/>
    <w:rsid w:val="0070607A"/>
    <w:rsid w:val="007149F9"/>
    <w:rsid w:val="007170C0"/>
    <w:rsid w:val="00717180"/>
    <w:rsid w:val="00733A30"/>
    <w:rsid w:val="00740E87"/>
    <w:rsid w:val="00745AEE"/>
    <w:rsid w:val="00750F10"/>
    <w:rsid w:val="007742CA"/>
    <w:rsid w:val="00790D70"/>
    <w:rsid w:val="00794476"/>
    <w:rsid w:val="00797CC7"/>
    <w:rsid w:val="007A6F1F"/>
    <w:rsid w:val="007D5320"/>
    <w:rsid w:val="007F7EB1"/>
    <w:rsid w:val="00800972"/>
    <w:rsid w:val="00804475"/>
    <w:rsid w:val="00811633"/>
    <w:rsid w:val="00814037"/>
    <w:rsid w:val="00821DE1"/>
    <w:rsid w:val="00841216"/>
    <w:rsid w:val="00842AF0"/>
    <w:rsid w:val="0086171E"/>
    <w:rsid w:val="00872FC8"/>
    <w:rsid w:val="008845D0"/>
    <w:rsid w:val="00884D60"/>
    <w:rsid w:val="00896E56"/>
    <w:rsid w:val="008B43F2"/>
    <w:rsid w:val="008B6CFF"/>
    <w:rsid w:val="00911E28"/>
    <w:rsid w:val="009274B4"/>
    <w:rsid w:val="00927AEE"/>
    <w:rsid w:val="00934EA2"/>
    <w:rsid w:val="00944A5C"/>
    <w:rsid w:val="00952A66"/>
    <w:rsid w:val="009A3B42"/>
    <w:rsid w:val="009B1EA1"/>
    <w:rsid w:val="009B7C9A"/>
    <w:rsid w:val="009C56E5"/>
    <w:rsid w:val="009C7716"/>
    <w:rsid w:val="009E19E8"/>
    <w:rsid w:val="009E5FC8"/>
    <w:rsid w:val="009E687A"/>
    <w:rsid w:val="009F236F"/>
    <w:rsid w:val="00A066F1"/>
    <w:rsid w:val="00A141AF"/>
    <w:rsid w:val="00A16D29"/>
    <w:rsid w:val="00A30305"/>
    <w:rsid w:val="00A31D2D"/>
    <w:rsid w:val="00A43B07"/>
    <w:rsid w:val="00A4600A"/>
    <w:rsid w:val="00A467C1"/>
    <w:rsid w:val="00A538A6"/>
    <w:rsid w:val="00A54C25"/>
    <w:rsid w:val="00A6747C"/>
    <w:rsid w:val="00A710E7"/>
    <w:rsid w:val="00A71D97"/>
    <w:rsid w:val="00A7372E"/>
    <w:rsid w:val="00A8284C"/>
    <w:rsid w:val="00A93B85"/>
    <w:rsid w:val="00AA0B18"/>
    <w:rsid w:val="00AA0E36"/>
    <w:rsid w:val="00AA3C65"/>
    <w:rsid w:val="00AA666F"/>
    <w:rsid w:val="00AC0E3F"/>
    <w:rsid w:val="00AC38C3"/>
    <w:rsid w:val="00AD7914"/>
    <w:rsid w:val="00AE514B"/>
    <w:rsid w:val="00B04A54"/>
    <w:rsid w:val="00B05304"/>
    <w:rsid w:val="00B40888"/>
    <w:rsid w:val="00B639E9"/>
    <w:rsid w:val="00B817CD"/>
    <w:rsid w:val="00B81A7D"/>
    <w:rsid w:val="00B91EF7"/>
    <w:rsid w:val="00B94AD0"/>
    <w:rsid w:val="00BB3A95"/>
    <w:rsid w:val="00BB7951"/>
    <w:rsid w:val="00BC03DB"/>
    <w:rsid w:val="00BC75DE"/>
    <w:rsid w:val="00BD6CCE"/>
    <w:rsid w:val="00BF2619"/>
    <w:rsid w:val="00C0018F"/>
    <w:rsid w:val="00C12604"/>
    <w:rsid w:val="00C16A03"/>
    <w:rsid w:val="00C16A5A"/>
    <w:rsid w:val="00C20466"/>
    <w:rsid w:val="00C214ED"/>
    <w:rsid w:val="00C234E6"/>
    <w:rsid w:val="00C2494E"/>
    <w:rsid w:val="00C324A8"/>
    <w:rsid w:val="00C54517"/>
    <w:rsid w:val="00C56F70"/>
    <w:rsid w:val="00C57B91"/>
    <w:rsid w:val="00C64CD8"/>
    <w:rsid w:val="00C73B1E"/>
    <w:rsid w:val="00C82695"/>
    <w:rsid w:val="00C97C68"/>
    <w:rsid w:val="00CA1A47"/>
    <w:rsid w:val="00CA3DFC"/>
    <w:rsid w:val="00CB0D34"/>
    <w:rsid w:val="00CB4052"/>
    <w:rsid w:val="00CB44E5"/>
    <w:rsid w:val="00CC134B"/>
    <w:rsid w:val="00CC247A"/>
    <w:rsid w:val="00CE388F"/>
    <w:rsid w:val="00CE5E47"/>
    <w:rsid w:val="00CF020F"/>
    <w:rsid w:val="00CF2B5B"/>
    <w:rsid w:val="00D0678F"/>
    <w:rsid w:val="00D14CE0"/>
    <w:rsid w:val="00D179C1"/>
    <w:rsid w:val="00D255D4"/>
    <w:rsid w:val="00D268B3"/>
    <w:rsid w:val="00D52FD6"/>
    <w:rsid w:val="00D54009"/>
    <w:rsid w:val="00D5651D"/>
    <w:rsid w:val="00D57A34"/>
    <w:rsid w:val="00D74898"/>
    <w:rsid w:val="00D801ED"/>
    <w:rsid w:val="00D936BC"/>
    <w:rsid w:val="00D96530"/>
    <w:rsid w:val="00DA1CB1"/>
    <w:rsid w:val="00DA1EA9"/>
    <w:rsid w:val="00DD44AF"/>
    <w:rsid w:val="00DD4A1F"/>
    <w:rsid w:val="00DE2AC3"/>
    <w:rsid w:val="00DE5692"/>
    <w:rsid w:val="00DE6300"/>
    <w:rsid w:val="00DF0134"/>
    <w:rsid w:val="00DF4BC6"/>
    <w:rsid w:val="00DF78E0"/>
    <w:rsid w:val="00E03C94"/>
    <w:rsid w:val="00E205BC"/>
    <w:rsid w:val="00E26226"/>
    <w:rsid w:val="00E45D05"/>
    <w:rsid w:val="00E55816"/>
    <w:rsid w:val="00E55AEF"/>
    <w:rsid w:val="00E90509"/>
    <w:rsid w:val="00E93C43"/>
    <w:rsid w:val="00E94E3B"/>
    <w:rsid w:val="00E976C1"/>
    <w:rsid w:val="00EA12E5"/>
    <w:rsid w:val="00EB0812"/>
    <w:rsid w:val="00EB54B2"/>
    <w:rsid w:val="00EB55C6"/>
    <w:rsid w:val="00EF1932"/>
    <w:rsid w:val="00EF29E5"/>
    <w:rsid w:val="00EF71B6"/>
    <w:rsid w:val="00F02766"/>
    <w:rsid w:val="00F05BD4"/>
    <w:rsid w:val="00F06473"/>
    <w:rsid w:val="00F320AA"/>
    <w:rsid w:val="00F6155B"/>
    <w:rsid w:val="00F6513F"/>
    <w:rsid w:val="00F65C19"/>
    <w:rsid w:val="00F6716E"/>
    <w:rsid w:val="00F67C70"/>
    <w:rsid w:val="00F72D37"/>
    <w:rsid w:val="00F822B0"/>
    <w:rsid w:val="00F9237B"/>
    <w:rsid w:val="00FD08E2"/>
    <w:rsid w:val="00FD18DA"/>
    <w:rsid w:val="00FD2546"/>
    <w:rsid w:val="00FD772E"/>
    <w:rsid w:val="00FE03DB"/>
    <w:rsid w:val="00FE19F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6415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ECC Footnote,fn,ft"/>
    <w:basedOn w:val="Normal"/>
    <w:link w:val="FootnoteTextChar"/>
    <w:qFormat/>
    <w:rsid w:val="00745AEE"/>
    <w:pPr>
      <w:keepLines/>
      <w:tabs>
        <w:tab w:val="left" w:pos="255"/>
      </w:tabs>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rsid w:val="00DF0134"/>
    <w:rPr>
      <w:rFonts w:ascii="Times New Roman" w:hAnsi="Times New Roman"/>
      <w:b/>
      <w:sz w:val="28"/>
      <w:lang w:val="en-GB" w:eastAsia="en-US"/>
    </w:rPr>
  </w:style>
  <w:style w:type="table" w:styleId="TableGrid">
    <w:name w:val="Table Grid"/>
    <w:basedOn w:val="TableNormal"/>
    <w:rsid w:val="00DF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1D97"/>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046761"/>
    <w:rPr>
      <w:color w:val="605E5C"/>
      <w:shd w:val="clear" w:color="auto" w:fill="E1DFDD"/>
    </w:rPr>
  </w:style>
  <w:style w:type="character" w:styleId="CommentReference">
    <w:name w:val="annotation reference"/>
    <w:basedOn w:val="DefaultParagraphFont"/>
    <w:semiHidden/>
    <w:unhideWhenUsed/>
    <w:rsid w:val="00183988"/>
    <w:rPr>
      <w:sz w:val="16"/>
      <w:szCs w:val="16"/>
    </w:rPr>
  </w:style>
  <w:style w:type="paragraph" w:styleId="CommentText">
    <w:name w:val="annotation text"/>
    <w:basedOn w:val="Normal"/>
    <w:link w:val="CommentTextChar"/>
    <w:unhideWhenUsed/>
    <w:rsid w:val="00183988"/>
    <w:rPr>
      <w:sz w:val="20"/>
    </w:rPr>
  </w:style>
  <w:style w:type="character" w:customStyle="1" w:styleId="CommentTextChar">
    <w:name w:val="Comment Text Char"/>
    <w:basedOn w:val="DefaultParagraphFont"/>
    <w:link w:val="CommentText"/>
    <w:rsid w:val="0018398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83988"/>
    <w:rPr>
      <w:b/>
      <w:bCs/>
    </w:rPr>
  </w:style>
  <w:style w:type="character" w:customStyle="1" w:styleId="CommentSubjectChar">
    <w:name w:val="Comment Subject Char"/>
    <w:basedOn w:val="CommentTextChar"/>
    <w:link w:val="CommentSubject"/>
    <w:semiHidden/>
    <w:rsid w:val="0018398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AEB1-BFB5-446B-8D41-CAD0F558DF5C}">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0C439886-4464-4575-90DC-7ED3FB357C34}">
  <ds:schemaRefs>
    <ds:schemaRef ds:uri="http://schemas.microsoft.com/sharepoint/events"/>
  </ds:schemaRefs>
</ds:datastoreItem>
</file>

<file path=customXml/itemProps3.xml><?xml version="1.0" encoding="utf-8"?>
<ds:datastoreItem xmlns:ds="http://schemas.openxmlformats.org/officeDocument/2006/customXml" ds:itemID="{4F0F00E3-FB24-4AE8-9C70-79AB1C0F5B09}">
  <ds:schemaRefs>
    <ds:schemaRef ds:uri="http://schemas.microsoft.com/sharepoint/v3/contenttype/forms"/>
  </ds:schemaRefs>
</ds:datastoreItem>
</file>

<file path=customXml/itemProps4.xml><?xml version="1.0" encoding="utf-8"?>
<ds:datastoreItem xmlns:ds="http://schemas.openxmlformats.org/officeDocument/2006/customXml" ds:itemID="{B5580C42-8316-486F-8118-B6E3368B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B49D3F-0430-4D84-8386-1E7075AD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2220</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R23-WRC23-C-!MSW-E</vt:lpstr>
    </vt:vector>
  </TitlesOfParts>
  <Manager>General Secretariat - Pool</Manager>
  <Company>International Telecommunication Union (ITU)</Company>
  <LinksUpToDate>false</LinksUpToDate>
  <CharactersWithSpaces>14436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R23-WRC23-C-!MSW-E</dc:title>
  <dc:subject>World Radiocommunication Conference - 2023</dc:subject>
  <dc:creator>Documents Proposals Manager (DPM)</dc:creator>
  <cp:keywords>DPM_v2023.8.1.1_prod</cp:keywords>
  <dc:description>Uploaded on 2015.07.06</dc:description>
  <cp:lastModifiedBy>TPU E RR</cp:lastModifiedBy>
  <cp:revision>8</cp:revision>
  <cp:lastPrinted>2017-02-10T08:23:00Z</cp:lastPrinted>
  <dcterms:created xsi:type="dcterms:W3CDTF">2023-10-27T09:58:00Z</dcterms:created>
  <dcterms:modified xsi:type="dcterms:W3CDTF">2023-10-30T12:42:00Z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