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F11A8D" w14:paraId="06341942" w14:textId="77777777" w:rsidTr="00C1305F">
        <w:trPr>
          <w:cantSplit/>
        </w:trPr>
        <w:tc>
          <w:tcPr>
            <w:tcW w:w="1418" w:type="dxa"/>
            <w:vAlign w:val="center"/>
          </w:tcPr>
          <w:p w14:paraId="14932070" w14:textId="77777777" w:rsidR="00C1305F" w:rsidRPr="00F11A8D" w:rsidRDefault="00C1305F" w:rsidP="00215FE7">
            <w:pPr>
              <w:spacing w:before="0"/>
              <w:rPr>
                <w:rFonts w:ascii="Verdana" w:hAnsi="Verdana"/>
                <w:b/>
                <w:bCs/>
                <w:sz w:val="20"/>
              </w:rPr>
            </w:pPr>
            <w:r w:rsidRPr="00F11A8D">
              <w:drawing>
                <wp:inline distT="0" distB="0" distL="0" distR="0" wp14:anchorId="489E4092" wp14:editId="7A200391">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6B5015B8" w14:textId="0961221D" w:rsidR="00C1305F" w:rsidRPr="00F11A8D" w:rsidRDefault="00C1305F" w:rsidP="00215FE7">
            <w:pPr>
              <w:spacing w:before="400" w:after="48"/>
              <w:rPr>
                <w:rFonts w:ascii="Verdana" w:hAnsi="Verdana"/>
                <w:b/>
                <w:bCs/>
                <w:sz w:val="20"/>
              </w:rPr>
            </w:pPr>
            <w:r w:rsidRPr="00F11A8D">
              <w:rPr>
                <w:rFonts w:ascii="Verdana" w:hAnsi="Verdana"/>
                <w:b/>
                <w:bCs/>
                <w:sz w:val="20"/>
              </w:rPr>
              <w:t>Conférence mondiale des radiocommunications (CMR-23)</w:t>
            </w:r>
            <w:r w:rsidRPr="00F11A8D">
              <w:rPr>
                <w:rFonts w:ascii="Verdana" w:hAnsi="Verdana"/>
                <w:b/>
                <w:bCs/>
                <w:sz w:val="20"/>
              </w:rPr>
              <w:br/>
            </w:r>
            <w:r w:rsidRPr="00F11A8D">
              <w:rPr>
                <w:rFonts w:ascii="Verdana" w:hAnsi="Verdana"/>
                <w:b/>
                <w:bCs/>
                <w:sz w:val="18"/>
                <w:szCs w:val="18"/>
              </w:rPr>
              <w:t xml:space="preserve">Dubaï, 20 novembre </w:t>
            </w:r>
            <w:r w:rsidR="00F17734" w:rsidRPr="00F11A8D">
              <w:rPr>
                <w:rFonts w:ascii="Verdana" w:hAnsi="Verdana"/>
                <w:b/>
                <w:bCs/>
                <w:sz w:val="18"/>
                <w:szCs w:val="18"/>
              </w:rPr>
              <w:t>–</w:t>
            </w:r>
            <w:r w:rsidRPr="00F11A8D">
              <w:rPr>
                <w:rFonts w:ascii="Verdana" w:hAnsi="Verdana"/>
                <w:b/>
                <w:bCs/>
                <w:sz w:val="18"/>
                <w:szCs w:val="18"/>
              </w:rPr>
              <w:t xml:space="preserve"> 15 décembre 2023</w:t>
            </w:r>
          </w:p>
        </w:tc>
        <w:tc>
          <w:tcPr>
            <w:tcW w:w="1809" w:type="dxa"/>
            <w:vAlign w:val="center"/>
          </w:tcPr>
          <w:p w14:paraId="7A5E140C" w14:textId="77777777" w:rsidR="00C1305F" w:rsidRPr="00F11A8D" w:rsidRDefault="00C1305F" w:rsidP="00215FE7">
            <w:pPr>
              <w:spacing w:before="0"/>
            </w:pPr>
            <w:bookmarkStart w:id="0" w:name="ditulogo"/>
            <w:bookmarkEnd w:id="0"/>
            <w:r w:rsidRPr="00F11A8D">
              <w:drawing>
                <wp:inline distT="0" distB="0" distL="0" distR="0" wp14:anchorId="3935CC69" wp14:editId="5FEFA000">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F11A8D" w14:paraId="75ACCFD2" w14:textId="77777777" w:rsidTr="0050008E">
        <w:trPr>
          <w:cantSplit/>
        </w:trPr>
        <w:tc>
          <w:tcPr>
            <w:tcW w:w="6911" w:type="dxa"/>
            <w:gridSpan w:val="2"/>
            <w:tcBorders>
              <w:bottom w:val="single" w:sz="12" w:space="0" w:color="auto"/>
            </w:tcBorders>
          </w:tcPr>
          <w:p w14:paraId="17B9A70F" w14:textId="77777777" w:rsidR="00BB1D82" w:rsidRPr="00F11A8D" w:rsidRDefault="00BB1D82" w:rsidP="00215FE7">
            <w:pPr>
              <w:spacing w:before="0" w:after="48"/>
              <w:rPr>
                <w:b/>
                <w:smallCaps/>
                <w:szCs w:val="24"/>
              </w:rPr>
            </w:pPr>
            <w:bookmarkStart w:id="1" w:name="dhead"/>
          </w:p>
        </w:tc>
        <w:tc>
          <w:tcPr>
            <w:tcW w:w="3120" w:type="dxa"/>
            <w:gridSpan w:val="2"/>
            <w:tcBorders>
              <w:bottom w:val="single" w:sz="12" w:space="0" w:color="auto"/>
            </w:tcBorders>
          </w:tcPr>
          <w:p w14:paraId="484AB920" w14:textId="77777777" w:rsidR="00BB1D82" w:rsidRPr="00F11A8D" w:rsidRDefault="00BB1D82" w:rsidP="00215FE7">
            <w:pPr>
              <w:spacing w:before="0"/>
              <w:rPr>
                <w:rFonts w:ascii="Verdana" w:hAnsi="Verdana"/>
                <w:szCs w:val="24"/>
              </w:rPr>
            </w:pPr>
          </w:p>
        </w:tc>
      </w:tr>
      <w:tr w:rsidR="00BB1D82" w:rsidRPr="00F11A8D" w14:paraId="7CFAFB21" w14:textId="77777777" w:rsidTr="00BB1D82">
        <w:trPr>
          <w:cantSplit/>
        </w:trPr>
        <w:tc>
          <w:tcPr>
            <w:tcW w:w="6911" w:type="dxa"/>
            <w:gridSpan w:val="2"/>
            <w:tcBorders>
              <w:top w:val="single" w:sz="12" w:space="0" w:color="auto"/>
            </w:tcBorders>
          </w:tcPr>
          <w:p w14:paraId="01ADAB45" w14:textId="77777777" w:rsidR="00BB1D82" w:rsidRPr="00F11A8D" w:rsidRDefault="00BB1D82" w:rsidP="00215FE7">
            <w:pPr>
              <w:spacing w:before="0" w:after="48"/>
              <w:rPr>
                <w:rFonts w:ascii="Verdana" w:hAnsi="Verdana"/>
                <w:b/>
                <w:smallCaps/>
                <w:sz w:val="20"/>
              </w:rPr>
            </w:pPr>
          </w:p>
        </w:tc>
        <w:tc>
          <w:tcPr>
            <w:tcW w:w="3120" w:type="dxa"/>
            <w:gridSpan w:val="2"/>
            <w:tcBorders>
              <w:top w:val="single" w:sz="12" w:space="0" w:color="auto"/>
            </w:tcBorders>
          </w:tcPr>
          <w:p w14:paraId="7E9032D4" w14:textId="77777777" w:rsidR="00BB1D82" w:rsidRPr="00F11A8D" w:rsidRDefault="00BB1D82" w:rsidP="00215FE7">
            <w:pPr>
              <w:spacing w:before="0"/>
              <w:rPr>
                <w:rFonts w:ascii="Verdana" w:hAnsi="Verdana"/>
                <w:sz w:val="20"/>
              </w:rPr>
            </w:pPr>
          </w:p>
        </w:tc>
      </w:tr>
      <w:tr w:rsidR="00BB1D82" w:rsidRPr="00F11A8D" w14:paraId="563FBE21" w14:textId="77777777" w:rsidTr="00BB1D82">
        <w:trPr>
          <w:cantSplit/>
        </w:trPr>
        <w:tc>
          <w:tcPr>
            <w:tcW w:w="6911" w:type="dxa"/>
            <w:gridSpan w:val="2"/>
          </w:tcPr>
          <w:p w14:paraId="43812B88" w14:textId="77777777" w:rsidR="00BB1D82" w:rsidRPr="00F11A8D" w:rsidRDefault="006D4724" w:rsidP="00215FE7">
            <w:pPr>
              <w:spacing w:before="0"/>
              <w:rPr>
                <w:rFonts w:ascii="Verdana" w:hAnsi="Verdana"/>
                <w:b/>
                <w:sz w:val="20"/>
              </w:rPr>
            </w:pPr>
            <w:r w:rsidRPr="00F11A8D">
              <w:rPr>
                <w:rFonts w:ascii="Verdana" w:hAnsi="Verdana"/>
                <w:b/>
                <w:sz w:val="20"/>
              </w:rPr>
              <w:t>SÉANCE PLÉNIÈRE</w:t>
            </w:r>
          </w:p>
        </w:tc>
        <w:tc>
          <w:tcPr>
            <w:tcW w:w="3120" w:type="dxa"/>
            <w:gridSpan w:val="2"/>
          </w:tcPr>
          <w:p w14:paraId="4D6FD4B3" w14:textId="77777777" w:rsidR="00BB1D82" w:rsidRPr="00F11A8D" w:rsidRDefault="006D4724" w:rsidP="00215FE7">
            <w:pPr>
              <w:spacing w:before="0"/>
              <w:rPr>
                <w:rFonts w:ascii="Verdana" w:hAnsi="Verdana"/>
                <w:sz w:val="20"/>
              </w:rPr>
            </w:pPr>
            <w:r w:rsidRPr="00F11A8D">
              <w:rPr>
                <w:rFonts w:ascii="Verdana" w:hAnsi="Verdana"/>
                <w:b/>
                <w:sz w:val="20"/>
              </w:rPr>
              <w:t>Addendum 3 au</w:t>
            </w:r>
            <w:r w:rsidRPr="00F11A8D">
              <w:rPr>
                <w:rFonts w:ascii="Verdana" w:hAnsi="Verdana"/>
                <w:b/>
                <w:sz w:val="20"/>
              </w:rPr>
              <w:br/>
              <w:t>Document 87(Add.24)</w:t>
            </w:r>
            <w:r w:rsidR="00BB1D82" w:rsidRPr="00F11A8D">
              <w:rPr>
                <w:rFonts w:ascii="Verdana" w:hAnsi="Verdana"/>
                <w:b/>
                <w:sz w:val="20"/>
              </w:rPr>
              <w:t>-</w:t>
            </w:r>
            <w:r w:rsidRPr="00F11A8D">
              <w:rPr>
                <w:rFonts w:ascii="Verdana" w:hAnsi="Verdana"/>
                <w:b/>
                <w:sz w:val="20"/>
              </w:rPr>
              <w:t>F</w:t>
            </w:r>
          </w:p>
        </w:tc>
      </w:tr>
      <w:bookmarkEnd w:id="1"/>
      <w:tr w:rsidR="00690C7B" w:rsidRPr="00F11A8D" w14:paraId="3E5693D3" w14:textId="77777777" w:rsidTr="00BB1D82">
        <w:trPr>
          <w:cantSplit/>
        </w:trPr>
        <w:tc>
          <w:tcPr>
            <w:tcW w:w="6911" w:type="dxa"/>
            <w:gridSpan w:val="2"/>
          </w:tcPr>
          <w:p w14:paraId="666DCF6D" w14:textId="77777777" w:rsidR="00690C7B" w:rsidRPr="00F11A8D" w:rsidRDefault="00690C7B" w:rsidP="00215FE7">
            <w:pPr>
              <w:spacing w:before="0"/>
              <w:rPr>
                <w:rFonts w:ascii="Verdana" w:hAnsi="Verdana"/>
                <w:b/>
                <w:sz w:val="20"/>
              </w:rPr>
            </w:pPr>
          </w:p>
        </w:tc>
        <w:tc>
          <w:tcPr>
            <w:tcW w:w="3120" w:type="dxa"/>
            <w:gridSpan w:val="2"/>
          </w:tcPr>
          <w:p w14:paraId="1DBB87D4" w14:textId="77777777" w:rsidR="00690C7B" w:rsidRPr="00F11A8D" w:rsidRDefault="00690C7B" w:rsidP="00215FE7">
            <w:pPr>
              <w:spacing w:before="0"/>
              <w:rPr>
                <w:rFonts w:ascii="Verdana" w:hAnsi="Verdana"/>
                <w:b/>
                <w:sz w:val="20"/>
              </w:rPr>
            </w:pPr>
            <w:r w:rsidRPr="00F11A8D">
              <w:rPr>
                <w:rFonts w:ascii="Verdana" w:hAnsi="Verdana"/>
                <w:b/>
                <w:sz w:val="20"/>
              </w:rPr>
              <w:t>23 octobre 2023</w:t>
            </w:r>
          </w:p>
        </w:tc>
      </w:tr>
      <w:tr w:rsidR="00690C7B" w:rsidRPr="00F11A8D" w14:paraId="3C6E8944" w14:textId="77777777" w:rsidTr="00BB1D82">
        <w:trPr>
          <w:cantSplit/>
        </w:trPr>
        <w:tc>
          <w:tcPr>
            <w:tcW w:w="6911" w:type="dxa"/>
            <w:gridSpan w:val="2"/>
          </w:tcPr>
          <w:p w14:paraId="1A71EE41" w14:textId="77777777" w:rsidR="00690C7B" w:rsidRPr="00F11A8D" w:rsidRDefault="00690C7B" w:rsidP="00215FE7">
            <w:pPr>
              <w:spacing w:before="0" w:after="48"/>
              <w:rPr>
                <w:rFonts w:ascii="Verdana" w:hAnsi="Verdana"/>
                <w:b/>
                <w:smallCaps/>
                <w:sz w:val="20"/>
              </w:rPr>
            </w:pPr>
          </w:p>
        </w:tc>
        <w:tc>
          <w:tcPr>
            <w:tcW w:w="3120" w:type="dxa"/>
            <w:gridSpan w:val="2"/>
          </w:tcPr>
          <w:p w14:paraId="1FCDFCF8" w14:textId="77777777" w:rsidR="00690C7B" w:rsidRPr="00F11A8D" w:rsidRDefault="00690C7B" w:rsidP="00215FE7">
            <w:pPr>
              <w:spacing w:before="0"/>
              <w:rPr>
                <w:rFonts w:ascii="Verdana" w:hAnsi="Verdana"/>
                <w:b/>
                <w:sz w:val="20"/>
              </w:rPr>
            </w:pPr>
            <w:r w:rsidRPr="00F11A8D">
              <w:rPr>
                <w:rFonts w:ascii="Verdana" w:hAnsi="Verdana"/>
                <w:b/>
                <w:sz w:val="20"/>
              </w:rPr>
              <w:t>Original: anglais</w:t>
            </w:r>
          </w:p>
        </w:tc>
      </w:tr>
      <w:tr w:rsidR="00690C7B" w:rsidRPr="00F11A8D" w14:paraId="20BD3242" w14:textId="77777777" w:rsidTr="00C11970">
        <w:trPr>
          <w:cantSplit/>
        </w:trPr>
        <w:tc>
          <w:tcPr>
            <w:tcW w:w="10031" w:type="dxa"/>
            <w:gridSpan w:val="4"/>
          </w:tcPr>
          <w:p w14:paraId="7794C101" w14:textId="77777777" w:rsidR="00690C7B" w:rsidRPr="00F11A8D" w:rsidRDefault="00690C7B" w:rsidP="00215FE7">
            <w:pPr>
              <w:spacing w:before="0"/>
              <w:rPr>
                <w:rFonts w:ascii="Verdana" w:hAnsi="Verdana"/>
                <w:b/>
                <w:sz w:val="20"/>
              </w:rPr>
            </w:pPr>
          </w:p>
        </w:tc>
      </w:tr>
      <w:tr w:rsidR="00690C7B" w:rsidRPr="00F11A8D" w14:paraId="01F619FB" w14:textId="77777777" w:rsidTr="0050008E">
        <w:trPr>
          <w:cantSplit/>
        </w:trPr>
        <w:tc>
          <w:tcPr>
            <w:tcW w:w="10031" w:type="dxa"/>
            <w:gridSpan w:val="4"/>
          </w:tcPr>
          <w:p w14:paraId="153DE13A" w14:textId="77777777" w:rsidR="00690C7B" w:rsidRPr="00F11A8D" w:rsidRDefault="00690C7B" w:rsidP="00215FE7">
            <w:pPr>
              <w:pStyle w:val="Source"/>
            </w:pPr>
            <w:bookmarkStart w:id="2" w:name="dsource" w:colFirst="0" w:colLast="0"/>
            <w:r w:rsidRPr="00F11A8D">
              <w:t>Propositions africaines communes</w:t>
            </w:r>
          </w:p>
        </w:tc>
      </w:tr>
      <w:tr w:rsidR="00690C7B" w:rsidRPr="00F11A8D" w14:paraId="588578D7" w14:textId="77777777" w:rsidTr="0050008E">
        <w:trPr>
          <w:cantSplit/>
        </w:trPr>
        <w:tc>
          <w:tcPr>
            <w:tcW w:w="10031" w:type="dxa"/>
            <w:gridSpan w:val="4"/>
          </w:tcPr>
          <w:p w14:paraId="594F7698" w14:textId="6A693DD1" w:rsidR="00690C7B" w:rsidRPr="00F11A8D" w:rsidRDefault="00F17734" w:rsidP="00215FE7">
            <w:pPr>
              <w:pStyle w:val="Title1"/>
            </w:pPr>
            <w:bookmarkStart w:id="3" w:name="dtitle1" w:colFirst="0" w:colLast="0"/>
            <w:bookmarkEnd w:id="2"/>
            <w:r w:rsidRPr="00F11A8D">
              <w:t>Propositions pour les travaux de la conférence</w:t>
            </w:r>
          </w:p>
        </w:tc>
      </w:tr>
      <w:tr w:rsidR="00690C7B" w:rsidRPr="00F11A8D" w14:paraId="3F428606" w14:textId="77777777" w:rsidTr="0050008E">
        <w:trPr>
          <w:cantSplit/>
        </w:trPr>
        <w:tc>
          <w:tcPr>
            <w:tcW w:w="10031" w:type="dxa"/>
            <w:gridSpan w:val="4"/>
          </w:tcPr>
          <w:p w14:paraId="1379B5DC" w14:textId="77777777" w:rsidR="00690C7B" w:rsidRPr="00F11A8D" w:rsidRDefault="00690C7B" w:rsidP="00215FE7">
            <w:pPr>
              <w:pStyle w:val="Title2"/>
            </w:pPr>
            <w:bookmarkStart w:id="4" w:name="dtitle2" w:colFirst="0" w:colLast="0"/>
            <w:bookmarkEnd w:id="3"/>
          </w:p>
        </w:tc>
      </w:tr>
      <w:tr w:rsidR="00690C7B" w:rsidRPr="00F11A8D" w14:paraId="3B2E6D91" w14:textId="77777777" w:rsidTr="0050008E">
        <w:trPr>
          <w:cantSplit/>
        </w:trPr>
        <w:tc>
          <w:tcPr>
            <w:tcW w:w="10031" w:type="dxa"/>
            <w:gridSpan w:val="4"/>
          </w:tcPr>
          <w:p w14:paraId="761C6A7E" w14:textId="77777777" w:rsidR="00690C7B" w:rsidRPr="00F11A8D" w:rsidRDefault="00690C7B" w:rsidP="00215FE7">
            <w:pPr>
              <w:pStyle w:val="Agendaitem"/>
              <w:rPr>
                <w:lang w:val="fr-FR"/>
              </w:rPr>
            </w:pPr>
            <w:bookmarkStart w:id="5" w:name="dtitle3" w:colFirst="0" w:colLast="0"/>
            <w:bookmarkEnd w:id="4"/>
            <w:r w:rsidRPr="00F11A8D">
              <w:rPr>
                <w:lang w:val="fr-FR"/>
              </w:rPr>
              <w:t>Point 9.1(9.1-c) de l'ordre du jour</w:t>
            </w:r>
          </w:p>
        </w:tc>
      </w:tr>
    </w:tbl>
    <w:bookmarkEnd w:id="5"/>
    <w:p w14:paraId="7F2E2F03" w14:textId="77777777" w:rsidR="0032201A" w:rsidRPr="00F11A8D" w:rsidRDefault="002E6F1D" w:rsidP="00215FE7">
      <w:r w:rsidRPr="00F11A8D">
        <w:t>9</w:t>
      </w:r>
      <w:r w:rsidRPr="00F11A8D">
        <w:tab/>
        <w:t>examiner et approuver le rapport du Directeur du Bureau des radiocommunications, conformément à l'article 7 de la Convention de l'UIT:</w:t>
      </w:r>
    </w:p>
    <w:p w14:paraId="29CE700A" w14:textId="77777777" w:rsidR="0032201A" w:rsidRPr="00F11A8D" w:rsidRDefault="002E6F1D" w:rsidP="00215FE7">
      <w:r w:rsidRPr="00F11A8D">
        <w:t>9.1</w:t>
      </w:r>
      <w:r w:rsidRPr="00F11A8D">
        <w:tab/>
        <w:t>sur les activités du Secteur des radiocommunications de l'UIT depuis la CMR</w:t>
      </w:r>
      <w:r w:rsidRPr="00F11A8D">
        <w:noBreakHyphen/>
        <w:t>19;</w:t>
      </w:r>
    </w:p>
    <w:p w14:paraId="6FAD037A" w14:textId="77777777" w:rsidR="0032201A" w:rsidRPr="00F11A8D" w:rsidRDefault="002E6F1D" w:rsidP="00215FE7">
      <w:r w:rsidRPr="00F11A8D">
        <w:t>(9.1-c)</w:t>
      </w:r>
      <w:r w:rsidRPr="00F11A8D">
        <w:tab/>
        <w:t xml:space="preserve">Étudier l'utilisation des systèmes de Télécommunications mobiles internationales pour le large bande hertzien fixe dans les bandes de fréquences attribuées au service fixe à titre primaire, conformément à la Résolution </w:t>
      </w:r>
      <w:r w:rsidRPr="00F11A8D">
        <w:rPr>
          <w:b/>
          <w:bCs/>
        </w:rPr>
        <w:t>175 (CMR</w:t>
      </w:r>
      <w:r w:rsidRPr="00F11A8D">
        <w:rPr>
          <w:b/>
          <w:bCs/>
        </w:rPr>
        <w:noBreakHyphen/>
        <w:t>19)</w:t>
      </w:r>
      <w:r w:rsidRPr="00F11A8D">
        <w:t>;</w:t>
      </w:r>
    </w:p>
    <w:p w14:paraId="5B6B42F9" w14:textId="77E53652" w:rsidR="0032201A" w:rsidRPr="00F11A8D" w:rsidRDefault="002E6F1D" w:rsidP="00215FE7">
      <w:r w:rsidRPr="00F11A8D">
        <w:t xml:space="preserve">Résolution </w:t>
      </w:r>
      <w:r w:rsidRPr="00F11A8D">
        <w:rPr>
          <w:b/>
          <w:bCs/>
        </w:rPr>
        <w:t>175 (CMR-19)</w:t>
      </w:r>
      <w:r w:rsidRPr="00F11A8D">
        <w:t xml:space="preserve"> </w:t>
      </w:r>
      <w:r w:rsidR="00215FE7" w:rsidRPr="00F11A8D">
        <w:t>–</w:t>
      </w:r>
      <w:r w:rsidRPr="00F11A8D">
        <w:t xml:space="preserve"> Utilisation des systèmes de Télécommunications mobiles internationales pour le large bande hertzien fixe dans les bandes de fréquences attribuées au service fixe à titre primaire</w:t>
      </w:r>
    </w:p>
    <w:p w14:paraId="26DCA27C" w14:textId="77777777" w:rsidR="0015203F" w:rsidRPr="00F11A8D" w:rsidRDefault="0015203F" w:rsidP="00215FE7">
      <w:pPr>
        <w:tabs>
          <w:tab w:val="clear" w:pos="1134"/>
          <w:tab w:val="clear" w:pos="1871"/>
          <w:tab w:val="clear" w:pos="2268"/>
        </w:tabs>
        <w:overflowPunct/>
        <w:autoSpaceDE/>
        <w:autoSpaceDN/>
        <w:adjustRightInd/>
        <w:spacing w:before="0"/>
        <w:textAlignment w:val="auto"/>
      </w:pPr>
      <w:r w:rsidRPr="00F11A8D">
        <w:br w:type="page"/>
      </w:r>
    </w:p>
    <w:p w14:paraId="79523FBE" w14:textId="446CC2B5" w:rsidR="001C273E" w:rsidRPr="00F11A8D" w:rsidRDefault="002E6F1D" w:rsidP="00215FE7">
      <w:pPr>
        <w:pStyle w:val="Proposal"/>
      </w:pPr>
      <w:r w:rsidRPr="00F11A8D">
        <w:lastRenderedPageBreak/>
        <w:t>SUP</w:t>
      </w:r>
      <w:r w:rsidRPr="00F11A8D">
        <w:tab/>
        <w:t>AFCP/87A24A3/1</w:t>
      </w:r>
      <w:r w:rsidR="0078630C" w:rsidRPr="00F11A8D">
        <w:rPr>
          <w:vanish/>
          <w:color w:val="7F7F7F" w:themeColor="text1" w:themeTint="80"/>
          <w:vertAlign w:val="superscript"/>
        </w:rPr>
        <w:t>#2213</w:t>
      </w:r>
    </w:p>
    <w:p w14:paraId="63644DEA" w14:textId="77777777" w:rsidR="0032201A" w:rsidRPr="00F11A8D" w:rsidRDefault="002E6F1D" w:rsidP="00215FE7">
      <w:pPr>
        <w:pStyle w:val="ResNo"/>
      </w:pPr>
      <w:bookmarkStart w:id="6" w:name="_Toc39829185"/>
      <w:r w:rsidRPr="00F11A8D">
        <w:rPr>
          <w:caps w:val="0"/>
        </w:rPr>
        <w:t xml:space="preserve">RÉSOLUTION </w:t>
      </w:r>
      <w:r w:rsidRPr="00F11A8D">
        <w:rPr>
          <w:rStyle w:val="href"/>
          <w:caps w:val="0"/>
        </w:rPr>
        <w:t>175</w:t>
      </w:r>
      <w:r w:rsidRPr="00F11A8D">
        <w:rPr>
          <w:caps w:val="0"/>
        </w:rPr>
        <w:t xml:space="preserve"> (CMR-19)</w:t>
      </w:r>
      <w:bookmarkEnd w:id="6"/>
    </w:p>
    <w:p w14:paraId="1A0DE772" w14:textId="77777777" w:rsidR="0032201A" w:rsidRPr="00F11A8D" w:rsidRDefault="002E6F1D" w:rsidP="00215FE7">
      <w:pPr>
        <w:pStyle w:val="Restitle"/>
      </w:pPr>
      <w:bookmarkStart w:id="7" w:name="_Toc35933784"/>
      <w:bookmarkStart w:id="8" w:name="_Toc39829186"/>
      <w:r w:rsidRPr="00F11A8D">
        <w:t xml:space="preserve">Utilisation des systèmes de Télécommunications mobiles internationales </w:t>
      </w:r>
      <w:r w:rsidRPr="00F11A8D">
        <w:br/>
        <w:t xml:space="preserve">pour le large bande hertzien fixe dans les bandes de fréquences </w:t>
      </w:r>
      <w:r w:rsidRPr="00F11A8D">
        <w:br/>
        <w:t>attribuées au service fixe à titre primaire</w:t>
      </w:r>
      <w:bookmarkEnd w:id="7"/>
      <w:bookmarkEnd w:id="8"/>
    </w:p>
    <w:p w14:paraId="750E8200" w14:textId="413286C1" w:rsidR="001C273E" w:rsidRPr="00F11A8D" w:rsidRDefault="002E6F1D" w:rsidP="00215FE7">
      <w:pPr>
        <w:pStyle w:val="Reasons"/>
      </w:pPr>
      <w:r w:rsidRPr="00F11A8D">
        <w:rPr>
          <w:b/>
        </w:rPr>
        <w:t>Motifs:</w:t>
      </w:r>
      <w:r w:rsidRPr="00F11A8D">
        <w:tab/>
      </w:r>
      <w:r w:rsidR="00EC51F4" w:rsidRPr="00F11A8D">
        <w:t>L</w:t>
      </w:r>
      <w:r w:rsidR="00215FE7" w:rsidRPr="00F11A8D">
        <w:t>'</w:t>
      </w:r>
      <w:r w:rsidR="00EC51F4" w:rsidRPr="00F11A8D">
        <w:t xml:space="preserve">UAT </w:t>
      </w:r>
      <w:r w:rsidR="009503DA" w:rsidRPr="00F11A8D">
        <w:t>est favorable à l</w:t>
      </w:r>
      <w:r w:rsidR="00C46957" w:rsidRPr="00F11A8D">
        <w:t xml:space="preserve">a </w:t>
      </w:r>
      <w:r w:rsidR="00C46957" w:rsidRPr="00F11A8D">
        <w:rPr>
          <w:b/>
          <w:bCs/>
        </w:rPr>
        <w:t>Variante 2 de l</w:t>
      </w:r>
      <w:r w:rsidR="00215FE7" w:rsidRPr="00F11A8D">
        <w:rPr>
          <w:b/>
          <w:bCs/>
        </w:rPr>
        <w:t>'</w:t>
      </w:r>
      <w:r w:rsidR="00C46957" w:rsidRPr="00F11A8D">
        <w:rPr>
          <w:b/>
          <w:bCs/>
        </w:rPr>
        <w:t>Approche 2</w:t>
      </w:r>
      <w:r w:rsidR="00CE0CE4" w:rsidRPr="00F11A8D">
        <w:t xml:space="preserve"> et </w:t>
      </w:r>
      <w:r w:rsidR="00717041" w:rsidRPr="00F11A8D">
        <w:t xml:space="preserve">préconise, par principe, </w:t>
      </w:r>
      <w:r w:rsidR="00A91353" w:rsidRPr="00F11A8D">
        <w:t xml:space="preserve">de </w:t>
      </w:r>
      <w:r w:rsidR="00162EE9" w:rsidRPr="00F11A8D">
        <w:t xml:space="preserve">ne pas </w:t>
      </w:r>
      <w:r w:rsidR="005A153C" w:rsidRPr="00F11A8D">
        <w:t>procéder à l</w:t>
      </w:r>
      <w:r w:rsidR="00215FE7" w:rsidRPr="00F11A8D">
        <w:t>'</w:t>
      </w:r>
      <w:r w:rsidR="005A153C" w:rsidRPr="00F11A8D">
        <w:t xml:space="preserve">élaboration </w:t>
      </w:r>
      <w:r w:rsidR="00162EE9" w:rsidRPr="00F11A8D">
        <w:t>d</w:t>
      </w:r>
      <w:r w:rsidR="00215FE7" w:rsidRPr="00F11A8D">
        <w:t>'</w:t>
      </w:r>
      <w:r w:rsidR="005A153C" w:rsidRPr="00F11A8D">
        <w:t>une ou de plusieurs</w:t>
      </w:r>
      <w:r w:rsidR="00162EE9" w:rsidRPr="00F11A8D">
        <w:t xml:space="preserve"> </w:t>
      </w:r>
      <w:r w:rsidR="00A644EA" w:rsidRPr="00F11A8D">
        <w:t>nouvelle</w:t>
      </w:r>
      <w:r w:rsidR="005A153C" w:rsidRPr="00F11A8D">
        <w:t>s</w:t>
      </w:r>
      <w:r w:rsidR="00A644EA" w:rsidRPr="00F11A8D">
        <w:t xml:space="preserve"> </w:t>
      </w:r>
      <w:r w:rsidR="00215FE7" w:rsidRPr="00F11A8D">
        <w:t>r</w:t>
      </w:r>
      <w:r w:rsidR="00A644EA" w:rsidRPr="00F11A8D">
        <w:t>ecommandation</w:t>
      </w:r>
      <w:r w:rsidR="005A153C" w:rsidRPr="00F11A8D">
        <w:t>s</w:t>
      </w:r>
      <w:r w:rsidR="00A644EA" w:rsidRPr="00F11A8D">
        <w:t xml:space="preserve"> UIT-R et </w:t>
      </w:r>
      <w:r w:rsidR="00162EE9" w:rsidRPr="00F11A8D">
        <w:t>d</w:t>
      </w:r>
      <w:r w:rsidR="00215FE7" w:rsidRPr="00F11A8D">
        <w:t>'</w:t>
      </w:r>
      <w:r w:rsidR="003C40D6" w:rsidRPr="00F11A8D">
        <w:t xml:space="preserve">un ou de plusieurs </w:t>
      </w:r>
      <w:r w:rsidR="00A644EA" w:rsidRPr="00F11A8D">
        <w:t xml:space="preserve">nouveaux </w:t>
      </w:r>
      <w:r w:rsidR="00215FE7" w:rsidRPr="00F11A8D">
        <w:t>r</w:t>
      </w:r>
      <w:r w:rsidR="00A644EA" w:rsidRPr="00F11A8D">
        <w:t>apports et manuels de l'UIT-R</w:t>
      </w:r>
      <w:r w:rsidR="00717041" w:rsidRPr="00F11A8D">
        <w:t xml:space="preserve">, </w:t>
      </w:r>
      <w:r w:rsidR="006D1759" w:rsidRPr="00F11A8D">
        <w:t>sauf si</w:t>
      </w:r>
      <w:r w:rsidR="00717041" w:rsidRPr="00F11A8D">
        <w:t xml:space="preserve"> la modification d</w:t>
      </w:r>
      <w:r w:rsidR="00215FE7" w:rsidRPr="00F11A8D">
        <w:t>'</w:t>
      </w:r>
      <w:r w:rsidR="00717041" w:rsidRPr="00F11A8D">
        <w:t xml:space="preserve">une ou de plusieurs </w:t>
      </w:r>
      <w:r w:rsidR="00215FE7" w:rsidRPr="00F11A8D">
        <w:t>r</w:t>
      </w:r>
      <w:r w:rsidR="00717041" w:rsidRPr="00F11A8D">
        <w:t>ecommandations</w:t>
      </w:r>
      <w:r w:rsidR="00F54C11" w:rsidRPr="00F11A8D">
        <w:t xml:space="preserve"> et d</w:t>
      </w:r>
      <w:r w:rsidR="00215FE7" w:rsidRPr="00F11A8D">
        <w:t>'</w:t>
      </w:r>
      <w:r w:rsidR="00F54C11" w:rsidRPr="00F11A8D">
        <w:t>un ou de plusieurs</w:t>
      </w:r>
      <w:r w:rsidR="00717041" w:rsidRPr="00F11A8D">
        <w:t xml:space="preserve"> </w:t>
      </w:r>
      <w:r w:rsidR="00215FE7" w:rsidRPr="00F11A8D">
        <w:t>r</w:t>
      </w:r>
      <w:r w:rsidR="00717041" w:rsidRPr="00F11A8D">
        <w:t xml:space="preserve">apports et/ou </w:t>
      </w:r>
      <w:r w:rsidR="006D1759" w:rsidRPr="00F11A8D">
        <w:t>m</w:t>
      </w:r>
      <w:r w:rsidR="00717041" w:rsidRPr="00F11A8D">
        <w:t xml:space="preserve">anuels existants ne </w:t>
      </w:r>
      <w:r w:rsidR="003C40D6" w:rsidRPr="00F11A8D">
        <w:t xml:space="preserve">permet pas de traiter la question </w:t>
      </w:r>
      <w:r w:rsidR="00717041" w:rsidRPr="00F11A8D">
        <w:t>(Approche 2)</w:t>
      </w:r>
      <w:r w:rsidR="00F17734" w:rsidRPr="00F11A8D">
        <w:t>.</w:t>
      </w:r>
    </w:p>
    <w:p w14:paraId="223B77E8" w14:textId="5DF0703D" w:rsidR="00F17734" w:rsidRPr="00F11A8D" w:rsidRDefault="00F17734" w:rsidP="00DC2E7B">
      <w:pPr>
        <w:pStyle w:val="Headingi"/>
      </w:pPr>
      <w:r w:rsidRPr="00F11A8D">
        <w:t>Approche 2:</w:t>
      </w:r>
    </w:p>
    <w:p w14:paraId="6C0EAE12" w14:textId="730F34DE" w:rsidR="00FD5159" w:rsidRPr="00F11A8D" w:rsidRDefault="00FD5159" w:rsidP="00215FE7">
      <w:r w:rsidRPr="00F11A8D">
        <w:t xml:space="preserve">Procéder à la révision de la ou des </w:t>
      </w:r>
      <w:r w:rsidR="00215FE7" w:rsidRPr="00F11A8D">
        <w:t>r</w:t>
      </w:r>
      <w:r w:rsidRPr="00F11A8D">
        <w:t xml:space="preserve">ecommandations UIT-R et du ou des </w:t>
      </w:r>
      <w:r w:rsidR="00215FE7" w:rsidRPr="00F11A8D">
        <w:t>r</w:t>
      </w:r>
      <w:r w:rsidRPr="00F11A8D">
        <w:t xml:space="preserve">apports et manuels de l'UIT-R, en soumettant des contributions aux réunions ultérieures concernées de l'UIT-R. </w:t>
      </w:r>
      <w:r w:rsidR="001C2A57" w:rsidRPr="00F11A8D">
        <w:t>Ce</w:t>
      </w:r>
      <w:r w:rsidR="00EC51F4" w:rsidRPr="00F11A8D">
        <w:t>tte</w:t>
      </w:r>
      <w:r w:rsidR="001C2A57" w:rsidRPr="00F11A8D">
        <w:t xml:space="preserve"> contribution devrait </w:t>
      </w:r>
      <w:r w:rsidRPr="00F11A8D">
        <w:t xml:space="preserve">présenter des arguments démontrant que la ou les </w:t>
      </w:r>
      <w:r w:rsidR="00985250" w:rsidRPr="00F11A8D">
        <w:t>r</w:t>
      </w:r>
      <w:r w:rsidRPr="00F11A8D">
        <w:t xml:space="preserve">ecommandations et le ou les </w:t>
      </w:r>
      <w:r w:rsidR="00985250" w:rsidRPr="00F11A8D">
        <w:t>r</w:t>
      </w:r>
      <w:r w:rsidRPr="00F11A8D">
        <w:t xml:space="preserve">apports et manuels existants répondent en partie ou comme il convient aux objectifs du point 9.1, question c), de l'ordre du jour de la CMR-23 visés dans la Résolution </w:t>
      </w:r>
      <w:r w:rsidRPr="00F11A8D">
        <w:rPr>
          <w:b/>
          <w:bCs/>
        </w:rPr>
        <w:t>175 (CMR-19)</w:t>
      </w:r>
      <w:r w:rsidRPr="00F11A8D">
        <w:t xml:space="preserve">. Dès réception des contributions susmentionnées, les </w:t>
      </w:r>
      <w:r w:rsidR="00A97425" w:rsidRPr="00F11A8D">
        <w:t xml:space="preserve">Groupes de travail </w:t>
      </w:r>
      <w:r w:rsidR="001C2A57" w:rsidRPr="00F11A8D">
        <w:t>(</w:t>
      </w:r>
      <w:r w:rsidRPr="00F11A8D">
        <w:t>GT</w:t>
      </w:r>
      <w:r w:rsidR="001C2A57" w:rsidRPr="00F11A8D">
        <w:t>)</w:t>
      </w:r>
      <w:r w:rsidRPr="00F11A8D">
        <w:t xml:space="preserve"> 5A et 5C agiront en conséquence. Si cette révision ne permet pas de répondre aux besoins associés à cette question, une ou plusieurs </w:t>
      </w:r>
      <w:r w:rsidR="00215FE7" w:rsidRPr="00F11A8D">
        <w:t>r</w:t>
      </w:r>
      <w:r w:rsidRPr="00F11A8D">
        <w:t xml:space="preserve">ecommandations et un ou plusieurs nouveaux </w:t>
      </w:r>
      <w:r w:rsidR="00215FE7" w:rsidRPr="00F11A8D">
        <w:t>r</w:t>
      </w:r>
      <w:r w:rsidRPr="00F11A8D">
        <w:t>apports et manuels pourront être élaborés par l'UIT</w:t>
      </w:r>
      <w:r w:rsidR="00215FE7" w:rsidRPr="00F11A8D">
        <w:noBreakHyphen/>
      </w:r>
      <w:r w:rsidRPr="00F11A8D">
        <w:t>R.</w:t>
      </w:r>
    </w:p>
    <w:p w14:paraId="401BD7C9" w14:textId="498C079C" w:rsidR="00FD5159" w:rsidRPr="00F11A8D" w:rsidRDefault="00FD5159" w:rsidP="00215FE7">
      <w:r w:rsidRPr="00F11A8D">
        <w:t>Un certain nombre de publications de l'UIT-R, portant sur diverses technologies et interfaces qui pourraient également présenter un intérêt pour l'utilisation des technologies IMT pour les applications hertziennes fixes, notamment les liaisons de raccordement, les réseaux centraux, les réseaux de transport, etc., appellent un examen complémentaire.</w:t>
      </w:r>
    </w:p>
    <w:p w14:paraId="1C0CBF85" w14:textId="3414D434" w:rsidR="00FD5159" w:rsidRPr="00F11A8D" w:rsidRDefault="00FD5159" w:rsidP="00215FE7">
      <w:r w:rsidRPr="00F11A8D">
        <w:t xml:space="preserve">Les </w:t>
      </w:r>
      <w:r w:rsidR="00985250" w:rsidRPr="00F11A8D">
        <w:t>r</w:t>
      </w:r>
      <w:r w:rsidRPr="00F11A8D">
        <w:t>ecommandations et rapports UIT-R publiés sur différents types de systèmes hertziens fixes et le Manuel intitulé «Accès hertzien fixe» sont brièvement présentés dans le «</w:t>
      </w:r>
      <w:hyperlink r:id="rId13" w:history="1">
        <w:r w:rsidRPr="00F11A8D">
          <w:rPr>
            <w:rStyle w:val="Hyperlink"/>
          </w:rPr>
          <w:t>Guide</w:t>
        </w:r>
        <w:r w:rsidRPr="00F11A8D">
          <w:rPr>
            <w:rStyle w:val="Hyperlink"/>
          </w:rPr>
          <w:t xml:space="preserve"> </w:t>
        </w:r>
        <w:r w:rsidRPr="00F11A8D">
          <w:rPr>
            <w:rStyle w:val="Hyperlink"/>
          </w:rPr>
          <w:t>pour l'utilisation des textes de l'UIT-R relatifs au service mobile terrestre, y compris l'accès hertzien dans le service fixe</w:t>
        </w:r>
      </w:hyperlink>
      <w:r w:rsidRPr="00F11A8D">
        <w:t xml:space="preserve">», disponible sur les pages web du </w:t>
      </w:r>
      <w:hyperlink r:id="rId14" w:history="1">
        <w:r w:rsidRPr="00F11A8D">
          <w:rPr>
            <w:rStyle w:val="Hyperlink"/>
          </w:rPr>
          <w:t>GT</w:t>
        </w:r>
        <w:r w:rsidRPr="00F11A8D">
          <w:rPr>
            <w:rStyle w:val="Hyperlink"/>
          </w:rPr>
          <w:t xml:space="preserve"> </w:t>
        </w:r>
        <w:r w:rsidRPr="00F11A8D">
          <w:rPr>
            <w:rStyle w:val="Hyperlink"/>
          </w:rPr>
          <w:t>5A</w:t>
        </w:r>
      </w:hyperlink>
      <w:r w:rsidRPr="00F11A8D">
        <w:t xml:space="preserve"> et du </w:t>
      </w:r>
      <w:hyperlink r:id="rId15" w:history="1">
        <w:r w:rsidRPr="00F11A8D">
          <w:rPr>
            <w:rStyle w:val="Hyperlink"/>
          </w:rPr>
          <w:t>GT 5</w:t>
        </w:r>
        <w:r w:rsidRPr="00F11A8D">
          <w:rPr>
            <w:rStyle w:val="Hyperlink"/>
          </w:rPr>
          <w:t>C</w:t>
        </w:r>
      </w:hyperlink>
      <w:r w:rsidRPr="00F11A8D">
        <w:t>, qui peut être considéré comme relevant du point 9.1, question c), de l'ordre du jour de la CMR-23. Cette liste n'est pas exhaustive, étant donné que ces publications ne traitent que de certains types d'applications hertziennes fixes (liaisons de raccordement, réseaux centraux, réseaux de transport, etc.).</w:t>
      </w:r>
    </w:p>
    <w:p w14:paraId="708E202B" w14:textId="5242F032" w:rsidR="00FD5159" w:rsidRPr="00F11A8D" w:rsidRDefault="00FD5159" w:rsidP="00215FE7">
      <w:r w:rsidRPr="00F11A8D">
        <w:t>Dans un premier temps, des propositions de révision et de mise à jour des Recommandations</w:t>
      </w:r>
      <w:r w:rsidR="00985250" w:rsidRPr="00F11A8D">
        <w:t> </w:t>
      </w:r>
      <w:r w:rsidRPr="00F11A8D">
        <w:t>UIT</w:t>
      </w:r>
      <w:r w:rsidR="00985250" w:rsidRPr="00F11A8D">
        <w:noBreakHyphen/>
      </w:r>
      <w:r w:rsidRPr="00F11A8D">
        <w:t>R</w:t>
      </w:r>
      <w:r w:rsidR="00985250" w:rsidRPr="00F11A8D">
        <w:t> </w:t>
      </w:r>
      <w:r w:rsidRPr="00F11A8D">
        <w:t xml:space="preserve">F.1401-1 et UIT-R F.1763-1 ont été soumises, afin de mieux rendre compte de l'état actuel des techniques, y compris les technologies IMT pour l'accès hertzien fixe large bande. Des propositions ont également été présentées en vue de réviser d'autres </w:t>
      </w:r>
      <w:r w:rsidR="0045216E" w:rsidRPr="00F11A8D">
        <w:t>R</w:t>
      </w:r>
      <w:r w:rsidRPr="00F11A8D">
        <w:t xml:space="preserve">ecommandations de la série F/rapports sur les applications hertziennes fixes (accès et raccordement). D'autres propositions de nouveaux rapports et de nouvelles </w:t>
      </w:r>
      <w:r w:rsidR="00985250" w:rsidRPr="00F11A8D">
        <w:t>r</w:t>
      </w:r>
      <w:r w:rsidRPr="00F11A8D">
        <w:t xml:space="preserve">ecommandations de l'UIT-R (voir également l'Annexe 18 du Document </w:t>
      </w:r>
      <w:hyperlink r:id="rId16" w:history="1">
        <w:r w:rsidRPr="00F11A8D">
          <w:rPr>
            <w:rStyle w:val="Hyperlink"/>
          </w:rPr>
          <w:t>5A</w:t>
        </w:r>
        <w:r w:rsidRPr="00F11A8D">
          <w:rPr>
            <w:rStyle w:val="Hyperlink"/>
          </w:rPr>
          <w:t>/</w:t>
        </w:r>
        <w:r w:rsidRPr="00F11A8D">
          <w:rPr>
            <w:rStyle w:val="Hyperlink"/>
          </w:rPr>
          <w:t>221</w:t>
        </w:r>
      </w:hyperlink>
      <w:r w:rsidRPr="00F11A8D">
        <w:t>) concernant les nouvelles capacités des systèmes et technologies IMT pour prendre en charge diverses applications du large bande hertzien fixe dans le service fixe, notamment les capacités d'accès et de raccordement, ont été soumises. Toutes ces propositions devront être examinées plus avant.</w:t>
      </w:r>
    </w:p>
    <w:p w14:paraId="636FB5D7" w14:textId="5857EED6" w:rsidR="00FD5159" w:rsidRPr="00F11A8D" w:rsidRDefault="00FD5159" w:rsidP="00215FE7">
      <w:r w:rsidRPr="00F11A8D">
        <w:t xml:space="preserve">En conséquence, une nouvelle </w:t>
      </w:r>
      <w:r w:rsidR="00985250" w:rsidRPr="00F11A8D">
        <w:t>q</w:t>
      </w:r>
      <w:r w:rsidRPr="00F11A8D">
        <w:t xml:space="preserve">uestion de l'UIT-R pourra être élaborée, si nécessaire, pour faire avancer les travaux relatifs aux </w:t>
      </w:r>
      <w:r w:rsidR="00985250" w:rsidRPr="00F11A8D">
        <w:t>r</w:t>
      </w:r>
      <w:r w:rsidRPr="00F11A8D">
        <w:t xml:space="preserve">ecommandations, aux rapports et aux </w:t>
      </w:r>
      <w:r w:rsidR="00985250" w:rsidRPr="00F11A8D">
        <w:t>m</w:t>
      </w:r>
      <w:r w:rsidRPr="00F11A8D">
        <w:t>anuels de l'UIT-R existants ou nouveaux. Il a également été proposé d'envisager de proroger la date d'achèvement des études au titre de la Question UIT-R 215-4/5, qui est actuellement fixée en 2019.</w:t>
      </w:r>
    </w:p>
    <w:p w14:paraId="11F0DCD6" w14:textId="4F9FE8E6" w:rsidR="00FD5159" w:rsidRPr="00F11A8D" w:rsidRDefault="00FD5159" w:rsidP="00215FE7">
      <w:r w:rsidRPr="00F11A8D">
        <w:lastRenderedPageBreak/>
        <w:t>L'utilisation des termes «technologie IMT» et «système IMT» a fait l'objet d'un échange de vues. Il a été précisé que ce sujet concernait les applications hertziennes fixes utilisant les technologies IMT dans les bandes de fréquences attribuées au service fixe à titre primaire.</w:t>
      </w:r>
    </w:p>
    <w:p w14:paraId="372E2BF1" w14:textId="7915145A" w:rsidR="00FD5159" w:rsidRPr="00F11A8D" w:rsidRDefault="00FD5159" w:rsidP="00DC2E7B">
      <w:pPr>
        <w:pStyle w:val="Headingi"/>
      </w:pPr>
      <w:r w:rsidRPr="00F11A8D">
        <w:t>Variante 2:</w:t>
      </w:r>
    </w:p>
    <w:p w14:paraId="645D5B0D" w14:textId="09FA0C1F" w:rsidR="00FD5159" w:rsidRPr="00F11A8D" w:rsidRDefault="00FD5159" w:rsidP="00985250">
      <w:r w:rsidRPr="00F11A8D">
        <w:t xml:space="preserve">Pour </w:t>
      </w:r>
      <w:r w:rsidR="00A97425" w:rsidRPr="00F11A8D">
        <w:t>l'UAT</w:t>
      </w:r>
      <w:r w:rsidRPr="00F11A8D">
        <w:t xml:space="preserve">, il n'y a pas lieu de faire figurer un projet de </w:t>
      </w:r>
      <w:r w:rsidR="00985250" w:rsidRPr="00F11A8D">
        <w:t>r</w:t>
      </w:r>
      <w:r w:rsidRPr="00F11A8D">
        <w:t xml:space="preserve">ésolution, nouvelle ou révisée, sur cette question dans le projet de texte de la RPC (voir la Pièce jointe 2), car cela n'entrerait pas dans le cadre du décide de la Résolution </w:t>
      </w:r>
      <w:r w:rsidRPr="00F11A8D">
        <w:rPr>
          <w:b/>
          <w:bCs/>
        </w:rPr>
        <w:t>175 (CMR-19)</w:t>
      </w:r>
      <w:r w:rsidRPr="00F11A8D">
        <w:t xml:space="preserve"> et, par conséquent, ne serait pas conforme à la Résolution UIT-R 2 8, Annexe 1 (Méthodes de travail), § A1.2.8. Par conséquent, </w:t>
      </w:r>
      <w:r w:rsidR="00A97425" w:rsidRPr="00F11A8D">
        <w:t xml:space="preserve">l'UAT </w:t>
      </w:r>
      <w:r w:rsidR="00FE5ADC" w:rsidRPr="00F11A8D">
        <w:t xml:space="preserve">est favorable </w:t>
      </w:r>
      <w:r w:rsidRPr="00F11A8D">
        <w:t xml:space="preserve">à l'idée de n'apporter aucune modification au Règlement des radiocommunications au titre du point 9.1, </w:t>
      </w:r>
      <w:r w:rsidR="0045216E" w:rsidRPr="00F11A8D">
        <w:t>q</w:t>
      </w:r>
      <w:r w:rsidRPr="00F11A8D">
        <w:t>uestion c), de l'ordre du jour</w:t>
      </w:r>
      <w:r w:rsidR="00874B3D" w:rsidRPr="00F11A8D">
        <w:t xml:space="preserve"> de la CMR-23</w:t>
      </w:r>
      <w:r w:rsidRPr="00F11A8D">
        <w:t xml:space="preserve">, à l'exception de la suppression de la Résolution </w:t>
      </w:r>
      <w:r w:rsidRPr="00F11A8D">
        <w:rPr>
          <w:b/>
          <w:bCs/>
        </w:rPr>
        <w:t>175 (CMR-19)</w:t>
      </w:r>
      <w:r w:rsidRPr="00F11A8D">
        <w:t>.</w:t>
      </w:r>
    </w:p>
    <w:p w14:paraId="38E6B254" w14:textId="1A62B89C" w:rsidR="00FD5159" w:rsidRPr="00F11A8D" w:rsidRDefault="00FD5159" w:rsidP="00985250">
      <w:r w:rsidRPr="00F11A8D">
        <w:t xml:space="preserve">En ce qui concerne le procès-verbal de la CMR-19 visé dans la Variante 1 </w:t>
      </w:r>
      <w:r w:rsidR="00D2590E" w:rsidRPr="00F11A8D">
        <w:t xml:space="preserve">décrite </w:t>
      </w:r>
      <w:r w:rsidR="00216F62" w:rsidRPr="00F11A8D">
        <w:t>au</w:t>
      </w:r>
      <w:r w:rsidR="00D2590E" w:rsidRPr="00F11A8D">
        <w:t xml:space="preserve"> §</w:t>
      </w:r>
      <w:r w:rsidR="00BA40CB" w:rsidRPr="00F11A8D">
        <w:t> 5/9.1-c du Rapport de la RPC</w:t>
      </w:r>
      <w:r w:rsidRPr="00F11A8D">
        <w:t>, il est fait mention d'un accord visant à inclure le texte proposé par le délégué d'une administration dans le procès-verbal de la conférence. Cette proposition ne saurait être considérée comme une décision formelle de la conférence visant à inscrire un point à l'ordre du jour de la CMR-27. Si la Conférence avait pris une décision formelle dans ce sens, la CMR-19 aurait alors pris une décision en bonne et due forme, par exemple en inscrivant un point provisoire à l'ordre du jour de la CMR-27. En outre, les conférences sont souveraines et ce texte figurant dans le procès-verbal ne saurait être considéré comme liant une conférence future pour qu'elle prenne une mesure particulière en l'espèce.</w:t>
      </w:r>
    </w:p>
    <w:p w14:paraId="05541D5B" w14:textId="77777777" w:rsidR="00FD5159" w:rsidRPr="00F11A8D" w:rsidRDefault="00FD5159" w:rsidP="00215FE7">
      <w:pPr>
        <w:jc w:val="center"/>
      </w:pPr>
      <w:r w:rsidRPr="00F11A8D">
        <w:t>______________</w:t>
      </w:r>
    </w:p>
    <w:sectPr w:rsidR="00FD5159" w:rsidRPr="00F11A8D">
      <w:headerReference w:type="default" r:id="rId17"/>
      <w:footerReference w:type="even" r:id="rId18"/>
      <w:footerReference w:type="default" r:id="rId19"/>
      <w:footerReference w:type="first" r:id="rId20"/>
      <w:type w:val="oddPage"/>
      <w:pgSz w:w="11907" w:h="16840" w:code="9"/>
      <w:pgMar w:top="1418" w:right="1134" w:bottom="1134" w:left="1134" w:header="567"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211C1" w14:textId="77777777" w:rsidR="00CB685A" w:rsidRDefault="00CB685A">
      <w:r>
        <w:separator/>
      </w:r>
    </w:p>
  </w:endnote>
  <w:endnote w:type="continuationSeparator" w:id="0">
    <w:p w14:paraId="2BD46D89"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986B4" w14:textId="2E5DCD5B"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A868D1">
      <w:rPr>
        <w:noProof/>
      </w:rPr>
      <w:t>07.11.23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63F6" w14:textId="0CCE9CB4"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985250">
      <w:rPr>
        <w:lang w:val="en-US"/>
      </w:rPr>
      <w:t>P:\FRA\ITU-R\CONF-R\CMR23\000\087ADD24ADD03F.docx</w:t>
    </w:r>
    <w:r>
      <w:fldChar w:fldCharType="end"/>
    </w:r>
    <w:r w:rsidR="000F2B04" w:rsidRPr="00EC51F4">
      <w:rPr>
        <w:lang w:val="en-GB"/>
      </w:rPr>
      <w:t xml:space="preserve"> (530015)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8F49" w14:textId="2543D3BB"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215FE7">
      <w:rPr>
        <w:lang w:val="en-US"/>
      </w:rPr>
      <w:t>P:\FRA\ITU-R\CONF-R\CMR23\000\087ADD24ADD03F.docx</w:t>
    </w:r>
    <w:r>
      <w:fldChar w:fldCharType="end"/>
    </w:r>
    <w:r w:rsidR="000F2B04" w:rsidRPr="00EC51F4">
      <w:rPr>
        <w:lang w:val="en-GB"/>
      </w:rPr>
      <w:t xml:space="preserve"> (530015)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A0143" w14:textId="77777777" w:rsidR="00CB685A" w:rsidRDefault="00CB685A">
      <w:r>
        <w:rPr>
          <w:b/>
        </w:rPr>
        <w:t>_______________</w:t>
      </w:r>
    </w:p>
  </w:footnote>
  <w:footnote w:type="continuationSeparator" w:id="0">
    <w:p w14:paraId="641164DB" w14:textId="77777777" w:rsidR="00CB685A" w:rsidRDefault="00CB6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2A9F"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4D620DB9" w14:textId="77777777" w:rsidR="004F1F8E" w:rsidRDefault="00225CF2" w:rsidP="00FD7AA3">
    <w:pPr>
      <w:pStyle w:val="Header"/>
    </w:pPr>
    <w:r>
      <w:t>WRC</w:t>
    </w:r>
    <w:r w:rsidR="00D3426F">
      <w:t>23</w:t>
    </w:r>
    <w:r w:rsidR="004F1F8E">
      <w:t>/</w:t>
    </w:r>
    <w:r w:rsidR="006A4B45">
      <w:t>87(Add.24)(Add.3)-</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66647989">
    <w:abstractNumId w:val="0"/>
  </w:num>
  <w:num w:numId="2" w16cid:durableId="9772197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0F2B04"/>
    <w:rsid w:val="001167B9"/>
    <w:rsid w:val="001267A0"/>
    <w:rsid w:val="0015203F"/>
    <w:rsid w:val="00160C64"/>
    <w:rsid w:val="00162EE9"/>
    <w:rsid w:val="0018169B"/>
    <w:rsid w:val="0019352B"/>
    <w:rsid w:val="001960D0"/>
    <w:rsid w:val="001A11F6"/>
    <w:rsid w:val="001C273E"/>
    <w:rsid w:val="001C2A57"/>
    <w:rsid w:val="001F17E8"/>
    <w:rsid w:val="00204306"/>
    <w:rsid w:val="00215FE7"/>
    <w:rsid w:val="00216F62"/>
    <w:rsid w:val="00225CF2"/>
    <w:rsid w:val="00232FD2"/>
    <w:rsid w:val="0026554E"/>
    <w:rsid w:val="002A4622"/>
    <w:rsid w:val="002A6F8F"/>
    <w:rsid w:val="002B17E5"/>
    <w:rsid w:val="002C0EBF"/>
    <w:rsid w:val="002C28A4"/>
    <w:rsid w:val="002D7E0A"/>
    <w:rsid w:val="002E6F1D"/>
    <w:rsid w:val="00315AFE"/>
    <w:rsid w:val="0032201A"/>
    <w:rsid w:val="003411F6"/>
    <w:rsid w:val="003606A6"/>
    <w:rsid w:val="0036650C"/>
    <w:rsid w:val="00393ACD"/>
    <w:rsid w:val="003A583E"/>
    <w:rsid w:val="003C40D6"/>
    <w:rsid w:val="003E112B"/>
    <w:rsid w:val="003E1D1C"/>
    <w:rsid w:val="003E7B05"/>
    <w:rsid w:val="003F3719"/>
    <w:rsid w:val="003F6F2D"/>
    <w:rsid w:val="0045216E"/>
    <w:rsid w:val="00466211"/>
    <w:rsid w:val="00483196"/>
    <w:rsid w:val="004834A9"/>
    <w:rsid w:val="004D01FC"/>
    <w:rsid w:val="004E28C3"/>
    <w:rsid w:val="004F1F8E"/>
    <w:rsid w:val="00512A32"/>
    <w:rsid w:val="00524222"/>
    <w:rsid w:val="005343DA"/>
    <w:rsid w:val="00553433"/>
    <w:rsid w:val="00560874"/>
    <w:rsid w:val="00586CF2"/>
    <w:rsid w:val="005A153C"/>
    <w:rsid w:val="005A7C75"/>
    <w:rsid w:val="005C3768"/>
    <w:rsid w:val="005C6C3F"/>
    <w:rsid w:val="00613635"/>
    <w:rsid w:val="0062093D"/>
    <w:rsid w:val="00637ECF"/>
    <w:rsid w:val="00647B59"/>
    <w:rsid w:val="00690C7B"/>
    <w:rsid w:val="006922F4"/>
    <w:rsid w:val="006A4B45"/>
    <w:rsid w:val="006D1759"/>
    <w:rsid w:val="006D4724"/>
    <w:rsid w:val="006F5FA2"/>
    <w:rsid w:val="0070076C"/>
    <w:rsid w:val="00701BAE"/>
    <w:rsid w:val="0071165E"/>
    <w:rsid w:val="00717041"/>
    <w:rsid w:val="00721F04"/>
    <w:rsid w:val="00730E95"/>
    <w:rsid w:val="007426B9"/>
    <w:rsid w:val="00752606"/>
    <w:rsid w:val="00764342"/>
    <w:rsid w:val="00774362"/>
    <w:rsid w:val="0078630C"/>
    <w:rsid w:val="00786598"/>
    <w:rsid w:val="00790C74"/>
    <w:rsid w:val="007A04E8"/>
    <w:rsid w:val="007B2C34"/>
    <w:rsid w:val="007F282B"/>
    <w:rsid w:val="008072A0"/>
    <w:rsid w:val="00830086"/>
    <w:rsid w:val="00851625"/>
    <w:rsid w:val="00863C0A"/>
    <w:rsid w:val="00874B3D"/>
    <w:rsid w:val="008A3120"/>
    <w:rsid w:val="008A4B97"/>
    <w:rsid w:val="008C5B8E"/>
    <w:rsid w:val="008C5DD5"/>
    <w:rsid w:val="008C7123"/>
    <w:rsid w:val="008D41BE"/>
    <w:rsid w:val="008D58D3"/>
    <w:rsid w:val="008E3BC9"/>
    <w:rsid w:val="00923064"/>
    <w:rsid w:val="00930FFD"/>
    <w:rsid w:val="00936D25"/>
    <w:rsid w:val="00941EA5"/>
    <w:rsid w:val="00945CB2"/>
    <w:rsid w:val="009503DA"/>
    <w:rsid w:val="00964700"/>
    <w:rsid w:val="00966C16"/>
    <w:rsid w:val="00985250"/>
    <w:rsid w:val="0098732F"/>
    <w:rsid w:val="009A045F"/>
    <w:rsid w:val="009A6A2B"/>
    <w:rsid w:val="009B13C2"/>
    <w:rsid w:val="009C7E7C"/>
    <w:rsid w:val="00A00473"/>
    <w:rsid w:val="00A03C9B"/>
    <w:rsid w:val="00A2372C"/>
    <w:rsid w:val="00A37105"/>
    <w:rsid w:val="00A606C3"/>
    <w:rsid w:val="00A644EA"/>
    <w:rsid w:val="00A83B09"/>
    <w:rsid w:val="00A84541"/>
    <w:rsid w:val="00A868D1"/>
    <w:rsid w:val="00A91353"/>
    <w:rsid w:val="00A97425"/>
    <w:rsid w:val="00AE36A0"/>
    <w:rsid w:val="00B00294"/>
    <w:rsid w:val="00B3749C"/>
    <w:rsid w:val="00B64FD0"/>
    <w:rsid w:val="00BA40CB"/>
    <w:rsid w:val="00BA5BD0"/>
    <w:rsid w:val="00BB1D82"/>
    <w:rsid w:val="00BC217E"/>
    <w:rsid w:val="00BD51C5"/>
    <w:rsid w:val="00BF26E7"/>
    <w:rsid w:val="00C1305F"/>
    <w:rsid w:val="00C46957"/>
    <w:rsid w:val="00C53FCA"/>
    <w:rsid w:val="00C71DEB"/>
    <w:rsid w:val="00C76BAF"/>
    <w:rsid w:val="00C814B9"/>
    <w:rsid w:val="00CB685A"/>
    <w:rsid w:val="00CD516F"/>
    <w:rsid w:val="00CE0CE4"/>
    <w:rsid w:val="00D119A7"/>
    <w:rsid w:val="00D2590E"/>
    <w:rsid w:val="00D25FBA"/>
    <w:rsid w:val="00D32B28"/>
    <w:rsid w:val="00D3426F"/>
    <w:rsid w:val="00D42954"/>
    <w:rsid w:val="00D66EAC"/>
    <w:rsid w:val="00D730DF"/>
    <w:rsid w:val="00D772F0"/>
    <w:rsid w:val="00D77BDC"/>
    <w:rsid w:val="00DC2E7B"/>
    <w:rsid w:val="00DC402B"/>
    <w:rsid w:val="00DE0932"/>
    <w:rsid w:val="00DF15E8"/>
    <w:rsid w:val="00E03A27"/>
    <w:rsid w:val="00E049F1"/>
    <w:rsid w:val="00E37A25"/>
    <w:rsid w:val="00E537FF"/>
    <w:rsid w:val="00E60CB2"/>
    <w:rsid w:val="00E6539B"/>
    <w:rsid w:val="00E70A31"/>
    <w:rsid w:val="00E723A7"/>
    <w:rsid w:val="00EA3F38"/>
    <w:rsid w:val="00EA5AB6"/>
    <w:rsid w:val="00EC51F4"/>
    <w:rsid w:val="00EC7615"/>
    <w:rsid w:val="00ED16AA"/>
    <w:rsid w:val="00ED6B8D"/>
    <w:rsid w:val="00EE3D7B"/>
    <w:rsid w:val="00EF662E"/>
    <w:rsid w:val="00F10064"/>
    <w:rsid w:val="00F11A8D"/>
    <w:rsid w:val="00F148F1"/>
    <w:rsid w:val="00F17734"/>
    <w:rsid w:val="00F54C11"/>
    <w:rsid w:val="00F711A7"/>
    <w:rsid w:val="00FA3BBF"/>
    <w:rsid w:val="00FC41F8"/>
    <w:rsid w:val="00FD5159"/>
    <w:rsid w:val="00FD7AA3"/>
    <w:rsid w:val="00FE5ADC"/>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C2B4FF3"/>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DD4258"/>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553433"/>
    <w:rPr>
      <w:color w:val="605E5C"/>
      <w:shd w:val="clear" w:color="auto" w:fill="E1DFDD"/>
    </w:rPr>
  </w:style>
  <w:style w:type="character" w:styleId="FollowedHyperlink">
    <w:name w:val="FollowedHyperlink"/>
    <w:basedOn w:val="DefaultParagraphFont"/>
    <w:semiHidden/>
    <w:unhideWhenUsed/>
    <w:rsid w:val="000F2B04"/>
    <w:rPr>
      <w:color w:val="800080" w:themeColor="followedHyperlink"/>
      <w:u w:val="single"/>
    </w:rPr>
  </w:style>
  <w:style w:type="paragraph" w:styleId="Revision">
    <w:name w:val="Revision"/>
    <w:hidden/>
    <w:uiPriority w:val="99"/>
    <w:semiHidden/>
    <w:rsid w:val="00945CB2"/>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u.int/oth/R0A06000001/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R19-WP5A-C-0221/e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tu.int/en/ITU-R/study-groups/rsg5/rwp5c/Pages/default.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R/study-groups/rsg5/rwp5a/Pages/default.asp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R23-WRC23-C-0087!A24-A3!MSW-F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83EE28-E879-40FC-846A-993692D02D78}">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D778DEF8-367C-4B87-9A1A-22C751737CA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B797784A-E75D-4DF7-B3D4-F02B101129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978</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R23-WRC23-C-0087!A24-A3!MSW-F</vt:lpstr>
    </vt:vector>
  </TitlesOfParts>
  <Manager>Secrétariat général - Pool</Manager>
  <Company>Union internationale des télécommunications (UIT)</Company>
  <LinksUpToDate>false</LinksUpToDate>
  <CharactersWithSpaces>6688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R23-WRC23-C-0087!A24-A3!MSW-F</dc:title>
  <dc:subject>Conférence mondiale des radiocommunications - 2019</dc:subject>
  <dc:creator>Documents Proposals Manager (DPM)</dc:creator>
  <cp:keywords>DPM_v2023.8.1.1_prod</cp:keywords>
  <dc:description/>
  <cp:lastModifiedBy>French</cp:lastModifiedBy>
  <cp:revision>5</cp:revision>
  <cp:lastPrinted>2003-06-05T19:34:00Z</cp:lastPrinted>
  <dcterms:created xsi:type="dcterms:W3CDTF">2023-11-09T10:57:00Z</dcterms:created>
  <dcterms:modified xsi:type="dcterms:W3CDTF">2023-11-09T11:19:00Z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