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F2D5E" w14:paraId="17A43AD1" w14:textId="77777777" w:rsidTr="00F320AA">
        <w:trPr>
          <w:cantSplit/>
        </w:trPr>
        <w:tc>
          <w:tcPr>
            <w:tcW w:w="1418" w:type="dxa"/>
            <w:vAlign w:val="center"/>
          </w:tcPr>
          <w:p w14:paraId="0A7E6A68" w14:textId="77777777" w:rsidR="00F320AA" w:rsidRPr="001F2D5E" w:rsidRDefault="00F320AA" w:rsidP="00F320AA">
            <w:pPr>
              <w:spacing w:before="0"/>
              <w:rPr>
                <w:rFonts w:ascii="Verdana" w:hAnsi="Verdana"/>
                <w:position w:val="6"/>
              </w:rPr>
            </w:pPr>
            <w:r w:rsidRPr="001F2D5E">
              <w:rPr>
                <w:noProof/>
              </w:rPr>
              <w:drawing>
                <wp:inline distT="0" distB="0" distL="0" distR="0" wp14:anchorId="4C48B750" wp14:editId="1CAD5C8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EC4C244" w14:textId="77777777" w:rsidR="00F320AA" w:rsidRPr="001F2D5E" w:rsidRDefault="00F320AA" w:rsidP="00F320AA">
            <w:pPr>
              <w:spacing w:before="400" w:after="48" w:line="240" w:lineRule="atLeast"/>
              <w:rPr>
                <w:rFonts w:ascii="Verdana" w:hAnsi="Verdana"/>
                <w:position w:val="6"/>
              </w:rPr>
            </w:pPr>
            <w:r w:rsidRPr="001F2D5E">
              <w:rPr>
                <w:rFonts w:ascii="Verdana" w:hAnsi="Verdana" w:cs="Times"/>
                <w:b/>
                <w:position w:val="6"/>
                <w:sz w:val="22"/>
                <w:szCs w:val="22"/>
              </w:rPr>
              <w:t>World Radiocommunication Conference (WRC-23)</w:t>
            </w:r>
            <w:r w:rsidRPr="001F2D5E">
              <w:rPr>
                <w:rFonts w:ascii="Verdana" w:hAnsi="Verdana" w:cs="Times"/>
                <w:b/>
                <w:position w:val="6"/>
                <w:sz w:val="26"/>
                <w:szCs w:val="26"/>
              </w:rPr>
              <w:br/>
            </w:r>
            <w:r w:rsidRPr="001F2D5E">
              <w:rPr>
                <w:rFonts w:ascii="Verdana" w:hAnsi="Verdana"/>
                <w:b/>
                <w:bCs/>
                <w:position w:val="6"/>
                <w:sz w:val="18"/>
                <w:szCs w:val="18"/>
              </w:rPr>
              <w:t>Dubai, 20 November - 15 December 2023</w:t>
            </w:r>
          </w:p>
        </w:tc>
        <w:tc>
          <w:tcPr>
            <w:tcW w:w="1951" w:type="dxa"/>
            <w:vAlign w:val="center"/>
          </w:tcPr>
          <w:p w14:paraId="4D5D842B" w14:textId="77777777" w:rsidR="00F320AA" w:rsidRPr="001F2D5E" w:rsidRDefault="00EB0812" w:rsidP="00F320AA">
            <w:pPr>
              <w:spacing w:before="0" w:line="240" w:lineRule="atLeast"/>
            </w:pPr>
            <w:r w:rsidRPr="001F2D5E">
              <w:rPr>
                <w:noProof/>
              </w:rPr>
              <w:drawing>
                <wp:inline distT="0" distB="0" distL="0" distR="0" wp14:anchorId="41C40A3A" wp14:editId="18C922B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F2D5E" w14:paraId="27BD3C56" w14:textId="77777777">
        <w:trPr>
          <w:cantSplit/>
        </w:trPr>
        <w:tc>
          <w:tcPr>
            <w:tcW w:w="6911" w:type="dxa"/>
            <w:gridSpan w:val="2"/>
            <w:tcBorders>
              <w:bottom w:val="single" w:sz="12" w:space="0" w:color="auto"/>
            </w:tcBorders>
          </w:tcPr>
          <w:p w14:paraId="12712B8F" w14:textId="77777777" w:rsidR="00A066F1" w:rsidRPr="001F2D5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AA0D94E" w14:textId="77777777" w:rsidR="00A066F1" w:rsidRPr="001F2D5E" w:rsidRDefault="00A066F1" w:rsidP="00A066F1">
            <w:pPr>
              <w:spacing w:before="0" w:line="240" w:lineRule="atLeast"/>
              <w:rPr>
                <w:rFonts w:ascii="Verdana" w:hAnsi="Verdana"/>
                <w:szCs w:val="24"/>
              </w:rPr>
            </w:pPr>
          </w:p>
        </w:tc>
      </w:tr>
      <w:tr w:rsidR="00A066F1" w:rsidRPr="001F2D5E" w14:paraId="1FB49132" w14:textId="77777777">
        <w:trPr>
          <w:cantSplit/>
        </w:trPr>
        <w:tc>
          <w:tcPr>
            <w:tcW w:w="6911" w:type="dxa"/>
            <w:gridSpan w:val="2"/>
            <w:tcBorders>
              <w:top w:val="single" w:sz="12" w:space="0" w:color="auto"/>
            </w:tcBorders>
          </w:tcPr>
          <w:p w14:paraId="21C06F28" w14:textId="77777777" w:rsidR="00A066F1" w:rsidRPr="001F2D5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E75290C" w14:textId="77777777" w:rsidR="00A066F1" w:rsidRPr="001F2D5E" w:rsidRDefault="00A066F1" w:rsidP="00A066F1">
            <w:pPr>
              <w:spacing w:before="0" w:line="240" w:lineRule="atLeast"/>
              <w:rPr>
                <w:rFonts w:ascii="Verdana" w:hAnsi="Verdana"/>
                <w:sz w:val="20"/>
              </w:rPr>
            </w:pPr>
          </w:p>
        </w:tc>
      </w:tr>
      <w:tr w:rsidR="00A066F1" w:rsidRPr="001F2D5E" w14:paraId="169C45DC" w14:textId="77777777">
        <w:trPr>
          <w:cantSplit/>
          <w:trHeight w:val="23"/>
        </w:trPr>
        <w:tc>
          <w:tcPr>
            <w:tcW w:w="6911" w:type="dxa"/>
            <w:gridSpan w:val="2"/>
            <w:shd w:val="clear" w:color="auto" w:fill="auto"/>
          </w:tcPr>
          <w:p w14:paraId="6D32EAED" w14:textId="77777777" w:rsidR="00A066F1" w:rsidRPr="001F2D5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F2D5E">
              <w:rPr>
                <w:rFonts w:ascii="Verdana" w:hAnsi="Verdana"/>
                <w:sz w:val="20"/>
                <w:szCs w:val="20"/>
              </w:rPr>
              <w:t>PLENARY MEETING</w:t>
            </w:r>
          </w:p>
        </w:tc>
        <w:tc>
          <w:tcPr>
            <w:tcW w:w="3120" w:type="dxa"/>
            <w:gridSpan w:val="2"/>
          </w:tcPr>
          <w:p w14:paraId="556B760A" w14:textId="77777777" w:rsidR="00A066F1" w:rsidRPr="001F2D5E" w:rsidRDefault="00E55816" w:rsidP="00AA666F">
            <w:pPr>
              <w:tabs>
                <w:tab w:val="left" w:pos="851"/>
              </w:tabs>
              <w:spacing w:before="0" w:line="240" w:lineRule="atLeast"/>
              <w:rPr>
                <w:rFonts w:ascii="Verdana" w:hAnsi="Verdana"/>
                <w:sz w:val="20"/>
              </w:rPr>
            </w:pPr>
            <w:r w:rsidRPr="001F2D5E">
              <w:rPr>
                <w:rFonts w:ascii="Verdana" w:hAnsi="Verdana"/>
                <w:b/>
                <w:sz w:val="20"/>
              </w:rPr>
              <w:t>Addendum 3 to</w:t>
            </w:r>
            <w:r w:rsidRPr="001F2D5E">
              <w:rPr>
                <w:rFonts w:ascii="Verdana" w:hAnsi="Verdana"/>
                <w:b/>
                <w:sz w:val="20"/>
              </w:rPr>
              <w:br/>
              <w:t>Document 87(Add.24)</w:t>
            </w:r>
            <w:r w:rsidR="00A066F1" w:rsidRPr="001F2D5E">
              <w:rPr>
                <w:rFonts w:ascii="Verdana" w:hAnsi="Verdana"/>
                <w:b/>
                <w:sz w:val="20"/>
              </w:rPr>
              <w:t>-</w:t>
            </w:r>
            <w:r w:rsidR="005E10C9" w:rsidRPr="001F2D5E">
              <w:rPr>
                <w:rFonts w:ascii="Verdana" w:hAnsi="Verdana"/>
                <w:b/>
                <w:sz w:val="20"/>
              </w:rPr>
              <w:t>E</w:t>
            </w:r>
          </w:p>
        </w:tc>
      </w:tr>
      <w:tr w:rsidR="00A066F1" w:rsidRPr="001F2D5E" w14:paraId="3087FFE5" w14:textId="77777777">
        <w:trPr>
          <w:cantSplit/>
          <w:trHeight w:val="23"/>
        </w:trPr>
        <w:tc>
          <w:tcPr>
            <w:tcW w:w="6911" w:type="dxa"/>
            <w:gridSpan w:val="2"/>
            <w:shd w:val="clear" w:color="auto" w:fill="auto"/>
          </w:tcPr>
          <w:p w14:paraId="0430D5CD" w14:textId="77777777" w:rsidR="00A066F1" w:rsidRPr="001F2D5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086DAE2" w14:textId="77777777" w:rsidR="00A066F1" w:rsidRPr="001F2D5E" w:rsidRDefault="00420873" w:rsidP="00A066F1">
            <w:pPr>
              <w:tabs>
                <w:tab w:val="left" w:pos="993"/>
              </w:tabs>
              <w:spacing w:before="0"/>
              <w:rPr>
                <w:rFonts w:ascii="Verdana" w:hAnsi="Verdana"/>
                <w:sz w:val="20"/>
              </w:rPr>
            </w:pPr>
            <w:r w:rsidRPr="001F2D5E">
              <w:rPr>
                <w:rFonts w:ascii="Verdana" w:hAnsi="Verdana"/>
                <w:b/>
                <w:sz w:val="20"/>
              </w:rPr>
              <w:t>23 October 2023</w:t>
            </w:r>
          </w:p>
        </w:tc>
      </w:tr>
      <w:tr w:rsidR="00A066F1" w:rsidRPr="001F2D5E" w14:paraId="5B93E0DE" w14:textId="77777777">
        <w:trPr>
          <w:cantSplit/>
          <w:trHeight w:val="23"/>
        </w:trPr>
        <w:tc>
          <w:tcPr>
            <w:tcW w:w="6911" w:type="dxa"/>
            <w:gridSpan w:val="2"/>
            <w:shd w:val="clear" w:color="auto" w:fill="auto"/>
          </w:tcPr>
          <w:p w14:paraId="6C70CE54" w14:textId="77777777" w:rsidR="00A066F1" w:rsidRPr="001F2D5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EA85A10" w14:textId="77777777" w:rsidR="00A066F1" w:rsidRPr="001F2D5E" w:rsidRDefault="00E55816" w:rsidP="00A066F1">
            <w:pPr>
              <w:tabs>
                <w:tab w:val="left" w:pos="993"/>
              </w:tabs>
              <w:spacing w:before="0"/>
              <w:rPr>
                <w:rFonts w:ascii="Verdana" w:hAnsi="Verdana"/>
                <w:b/>
                <w:sz w:val="20"/>
              </w:rPr>
            </w:pPr>
            <w:r w:rsidRPr="001F2D5E">
              <w:rPr>
                <w:rFonts w:ascii="Verdana" w:hAnsi="Verdana"/>
                <w:b/>
                <w:sz w:val="20"/>
              </w:rPr>
              <w:t>Original: English</w:t>
            </w:r>
          </w:p>
        </w:tc>
      </w:tr>
      <w:tr w:rsidR="00A066F1" w:rsidRPr="001F2D5E" w14:paraId="0761EC7D" w14:textId="77777777" w:rsidTr="00025864">
        <w:trPr>
          <w:cantSplit/>
          <w:trHeight w:val="23"/>
        </w:trPr>
        <w:tc>
          <w:tcPr>
            <w:tcW w:w="10031" w:type="dxa"/>
            <w:gridSpan w:val="4"/>
            <w:shd w:val="clear" w:color="auto" w:fill="auto"/>
          </w:tcPr>
          <w:p w14:paraId="5326824F" w14:textId="77777777" w:rsidR="00A066F1" w:rsidRPr="001F2D5E" w:rsidRDefault="00A066F1" w:rsidP="00A066F1">
            <w:pPr>
              <w:tabs>
                <w:tab w:val="left" w:pos="993"/>
              </w:tabs>
              <w:spacing w:before="0"/>
              <w:rPr>
                <w:rFonts w:ascii="Verdana" w:hAnsi="Verdana"/>
                <w:b/>
                <w:sz w:val="20"/>
              </w:rPr>
            </w:pPr>
          </w:p>
        </w:tc>
      </w:tr>
      <w:tr w:rsidR="00E55816" w:rsidRPr="001F2D5E" w14:paraId="4DFA5662" w14:textId="77777777" w:rsidTr="00025864">
        <w:trPr>
          <w:cantSplit/>
          <w:trHeight w:val="23"/>
        </w:trPr>
        <w:tc>
          <w:tcPr>
            <w:tcW w:w="10031" w:type="dxa"/>
            <w:gridSpan w:val="4"/>
            <w:shd w:val="clear" w:color="auto" w:fill="auto"/>
          </w:tcPr>
          <w:p w14:paraId="52BA3E71" w14:textId="77777777" w:rsidR="00E55816" w:rsidRPr="001F2D5E" w:rsidRDefault="00884D60" w:rsidP="00E55816">
            <w:pPr>
              <w:pStyle w:val="Source"/>
            </w:pPr>
            <w:r w:rsidRPr="001F2D5E">
              <w:t>African Common Proposals</w:t>
            </w:r>
          </w:p>
        </w:tc>
      </w:tr>
      <w:tr w:rsidR="00E55816" w:rsidRPr="001F2D5E" w14:paraId="3F382EF5" w14:textId="77777777" w:rsidTr="00025864">
        <w:trPr>
          <w:cantSplit/>
          <w:trHeight w:val="23"/>
        </w:trPr>
        <w:tc>
          <w:tcPr>
            <w:tcW w:w="10031" w:type="dxa"/>
            <w:gridSpan w:val="4"/>
            <w:shd w:val="clear" w:color="auto" w:fill="auto"/>
          </w:tcPr>
          <w:p w14:paraId="17D0C592" w14:textId="77777777" w:rsidR="00E55816" w:rsidRPr="001F2D5E" w:rsidRDefault="007D5320" w:rsidP="00E55816">
            <w:pPr>
              <w:pStyle w:val="Title1"/>
            </w:pPr>
            <w:r w:rsidRPr="001F2D5E">
              <w:t>Proposals for the work of the conference</w:t>
            </w:r>
          </w:p>
        </w:tc>
      </w:tr>
      <w:tr w:rsidR="00E55816" w:rsidRPr="001F2D5E" w14:paraId="44C093BD" w14:textId="77777777" w:rsidTr="00025864">
        <w:trPr>
          <w:cantSplit/>
          <w:trHeight w:val="23"/>
        </w:trPr>
        <w:tc>
          <w:tcPr>
            <w:tcW w:w="10031" w:type="dxa"/>
            <w:gridSpan w:val="4"/>
            <w:shd w:val="clear" w:color="auto" w:fill="auto"/>
          </w:tcPr>
          <w:p w14:paraId="696E3A54" w14:textId="77777777" w:rsidR="00E55816" w:rsidRPr="001F2D5E" w:rsidRDefault="00E55816" w:rsidP="00E55816">
            <w:pPr>
              <w:pStyle w:val="Title2"/>
            </w:pPr>
          </w:p>
        </w:tc>
      </w:tr>
      <w:tr w:rsidR="00A538A6" w:rsidRPr="001F2D5E" w14:paraId="69ED0BF4" w14:textId="77777777" w:rsidTr="00025864">
        <w:trPr>
          <w:cantSplit/>
          <w:trHeight w:val="23"/>
        </w:trPr>
        <w:tc>
          <w:tcPr>
            <w:tcW w:w="10031" w:type="dxa"/>
            <w:gridSpan w:val="4"/>
            <w:shd w:val="clear" w:color="auto" w:fill="auto"/>
          </w:tcPr>
          <w:p w14:paraId="2AF090BA" w14:textId="77777777" w:rsidR="00A538A6" w:rsidRPr="001F2D5E" w:rsidRDefault="004B13CB" w:rsidP="004B13CB">
            <w:pPr>
              <w:pStyle w:val="Agendaitem"/>
              <w:rPr>
                <w:lang w:val="en-GB"/>
              </w:rPr>
            </w:pPr>
            <w:r w:rsidRPr="001F2D5E">
              <w:rPr>
                <w:lang w:val="en-GB"/>
              </w:rPr>
              <w:t>Agenda item 9.1(9.1-c)</w:t>
            </w:r>
          </w:p>
        </w:tc>
      </w:tr>
    </w:tbl>
    <w:bookmarkEnd w:id="5"/>
    <w:bookmarkEnd w:id="6"/>
    <w:p w14:paraId="45F08E6B" w14:textId="77777777" w:rsidR="00187BD9" w:rsidRPr="001F2D5E" w:rsidRDefault="00A95A46" w:rsidP="006965F8">
      <w:r w:rsidRPr="001F2D5E">
        <w:t>9</w:t>
      </w:r>
      <w:r w:rsidRPr="001F2D5E">
        <w:tab/>
        <w:t>to consider and approve the Report of the Director of the Radiocommunication Bureau, in accordance with Article 7 of the ITU Convention</w:t>
      </w:r>
      <w:r w:rsidRPr="001F2D5E">
        <w:rPr>
          <w:bCs/>
        </w:rPr>
        <w:t>;</w:t>
      </w:r>
    </w:p>
    <w:p w14:paraId="38948599" w14:textId="77777777" w:rsidR="00187BD9" w:rsidRPr="001F2D5E" w:rsidRDefault="00A95A46" w:rsidP="00570495">
      <w:r w:rsidRPr="001F2D5E">
        <w:t>9.1</w:t>
      </w:r>
      <w:r w:rsidRPr="001F2D5E">
        <w:tab/>
        <w:t>on the activities of the ITU Radiocommunication Sector since WRC</w:t>
      </w:r>
      <w:r w:rsidRPr="001F2D5E">
        <w:noBreakHyphen/>
        <w:t>19:</w:t>
      </w:r>
    </w:p>
    <w:p w14:paraId="34D6198C" w14:textId="77777777" w:rsidR="00C318B1" w:rsidRPr="001F2D5E" w:rsidRDefault="00A95A46" w:rsidP="001555AD">
      <w:pPr>
        <w:jc w:val="both"/>
      </w:pPr>
      <w:r w:rsidRPr="001F2D5E">
        <w:t>(9.1-c)</w:t>
      </w:r>
      <w:r w:rsidRPr="001F2D5E">
        <w:tab/>
      </w:r>
      <w:r w:rsidRPr="001F2D5E">
        <w:rPr>
          <w:bCs/>
          <w:lang w:eastAsia="nl-NL"/>
        </w:rPr>
        <w:t>S</w:t>
      </w:r>
      <w:r w:rsidRPr="001F2D5E">
        <w:rPr>
          <w:rFonts w:cstheme="minorHAnsi"/>
          <w:szCs w:val="24"/>
        </w:rPr>
        <w:t xml:space="preserve">tudy the use of International Mobile Telecommunication systems for fixed wireless broadband in the frequency bands allocated to the fixed service on a primary basis, in accordance with Resolution </w:t>
      </w:r>
      <w:r w:rsidRPr="001F2D5E">
        <w:rPr>
          <w:b/>
          <w:bCs/>
        </w:rPr>
        <w:t>175</w:t>
      </w:r>
      <w:r w:rsidRPr="001F2D5E">
        <w:rPr>
          <w:rFonts w:cstheme="minorHAnsi"/>
          <w:b/>
          <w:bCs/>
          <w:szCs w:val="24"/>
        </w:rPr>
        <w:t xml:space="preserve"> (WRC</w:t>
      </w:r>
      <w:r w:rsidRPr="001F2D5E">
        <w:rPr>
          <w:rFonts w:cstheme="minorHAnsi"/>
          <w:b/>
          <w:bCs/>
          <w:szCs w:val="24"/>
        </w:rPr>
        <w:noBreakHyphen/>
        <w:t>19)</w:t>
      </w:r>
      <w:r w:rsidRPr="001F2D5E">
        <w:rPr>
          <w:rFonts w:cstheme="minorHAnsi"/>
          <w:szCs w:val="24"/>
        </w:rPr>
        <w:t>;</w:t>
      </w:r>
    </w:p>
    <w:p w14:paraId="149ED6F8" w14:textId="02956266" w:rsidR="00187BD9" w:rsidRPr="001F2D5E" w:rsidRDefault="00A95A46" w:rsidP="001555AD">
      <w:pPr>
        <w:jc w:val="both"/>
      </w:pPr>
      <w:r w:rsidRPr="001F2D5E">
        <w:t xml:space="preserve">Resolution </w:t>
      </w:r>
      <w:r w:rsidRPr="001F2D5E">
        <w:rPr>
          <w:b/>
          <w:bCs/>
        </w:rPr>
        <w:t>175 (WRC-19)</w:t>
      </w:r>
      <w:r w:rsidRPr="001F2D5E">
        <w:t xml:space="preserve"> – Use of International Mobile Telecommunication systems for fixed wireless broadband in the frequency bands allocated to the fixed service on primary basis</w:t>
      </w:r>
    </w:p>
    <w:p w14:paraId="2CA9AA08" w14:textId="77777777" w:rsidR="00241FA2" w:rsidRPr="001F2D5E" w:rsidRDefault="00241FA2" w:rsidP="00EB54B2"/>
    <w:p w14:paraId="03ECC8C1" w14:textId="77777777" w:rsidR="00187BD9" w:rsidRPr="001F2D5E" w:rsidRDefault="00187BD9" w:rsidP="00187BD9">
      <w:pPr>
        <w:tabs>
          <w:tab w:val="clear" w:pos="1134"/>
          <w:tab w:val="clear" w:pos="1871"/>
          <w:tab w:val="clear" w:pos="2268"/>
        </w:tabs>
        <w:overflowPunct/>
        <w:autoSpaceDE/>
        <w:autoSpaceDN/>
        <w:adjustRightInd/>
        <w:spacing w:before="0"/>
        <w:textAlignment w:val="auto"/>
      </w:pPr>
      <w:r w:rsidRPr="001F2D5E">
        <w:br w:type="page"/>
      </w:r>
    </w:p>
    <w:p w14:paraId="2DDE5168" w14:textId="77777777" w:rsidR="007038DF" w:rsidRPr="001F2D5E" w:rsidRDefault="00A95A46">
      <w:pPr>
        <w:pStyle w:val="Proposal"/>
      </w:pPr>
      <w:r w:rsidRPr="001F2D5E">
        <w:lastRenderedPageBreak/>
        <w:t>SUP</w:t>
      </w:r>
      <w:r w:rsidRPr="001F2D5E">
        <w:tab/>
        <w:t>AFCP/87A24A3/1</w:t>
      </w:r>
      <w:r w:rsidRPr="001F2D5E">
        <w:rPr>
          <w:vanish/>
          <w:color w:val="7F7F7F" w:themeColor="text1" w:themeTint="80"/>
          <w:vertAlign w:val="superscript"/>
        </w:rPr>
        <w:t>#2213</w:t>
      </w:r>
    </w:p>
    <w:p w14:paraId="44E5CC96" w14:textId="77777777" w:rsidR="00C318B1" w:rsidRPr="001F2D5E" w:rsidRDefault="00A95A46" w:rsidP="003A4B04">
      <w:pPr>
        <w:pStyle w:val="ResNo"/>
        <w:keepNext w:val="0"/>
        <w:keepLines w:val="0"/>
      </w:pPr>
      <w:bookmarkStart w:id="7" w:name="_Toc39649415"/>
      <w:r w:rsidRPr="001F2D5E">
        <w:t xml:space="preserve">RESOLUTION </w:t>
      </w:r>
      <w:r w:rsidRPr="001F2D5E">
        <w:rPr>
          <w:rStyle w:val="href"/>
        </w:rPr>
        <w:t>175</w:t>
      </w:r>
      <w:r w:rsidRPr="001F2D5E">
        <w:t xml:space="preserve"> (WRC</w:t>
      </w:r>
      <w:r w:rsidRPr="001F2D5E">
        <w:noBreakHyphen/>
        <w:t>19)</w:t>
      </w:r>
      <w:bookmarkEnd w:id="7"/>
    </w:p>
    <w:p w14:paraId="3EE66D1C" w14:textId="77777777" w:rsidR="00C318B1" w:rsidRPr="001F2D5E" w:rsidRDefault="00A95A46" w:rsidP="003A4B04">
      <w:pPr>
        <w:pStyle w:val="Restitle"/>
        <w:keepNext w:val="0"/>
        <w:keepLines w:val="0"/>
      </w:pPr>
      <w:bookmarkStart w:id="8" w:name="_Toc35789299"/>
      <w:bookmarkStart w:id="9" w:name="_Toc35856996"/>
      <w:bookmarkStart w:id="10" w:name="_Toc35877631"/>
      <w:bookmarkStart w:id="11" w:name="_Toc35963574"/>
      <w:bookmarkStart w:id="12" w:name="_Toc39649416"/>
      <w:r w:rsidRPr="001F2D5E">
        <w:t xml:space="preserve">Use of International Mobile Telecommunications systems for fixed </w:t>
      </w:r>
      <w:r w:rsidRPr="001F2D5E">
        <w:br/>
        <w:t xml:space="preserve">wireless broadband in the frequency bands allocated to the </w:t>
      </w:r>
      <w:r w:rsidRPr="001F2D5E">
        <w:br/>
        <w:t>fixed service on a primary basis</w:t>
      </w:r>
      <w:bookmarkEnd w:id="8"/>
      <w:bookmarkEnd w:id="9"/>
      <w:bookmarkEnd w:id="10"/>
      <w:bookmarkEnd w:id="11"/>
      <w:bookmarkEnd w:id="12"/>
    </w:p>
    <w:p w14:paraId="28F4A41D" w14:textId="39C1F132" w:rsidR="007038DF" w:rsidRPr="001F2D5E" w:rsidRDefault="00A95A46">
      <w:pPr>
        <w:pStyle w:val="Reasons"/>
      </w:pPr>
      <w:r w:rsidRPr="001F2D5E">
        <w:rPr>
          <w:b/>
        </w:rPr>
        <w:t>Reasons:</w:t>
      </w:r>
      <w:r w:rsidRPr="001F2D5E">
        <w:tab/>
      </w:r>
      <w:r w:rsidR="005600D9" w:rsidRPr="001F2D5E">
        <w:t xml:space="preserve">The ATU support </w:t>
      </w:r>
      <w:r w:rsidR="005600D9" w:rsidRPr="001F2D5E">
        <w:rPr>
          <w:b/>
        </w:rPr>
        <w:t>Approach 2 Alternative 2</w:t>
      </w:r>
      <w:r w:rsidR="005600D9" w:rsidRPr="001F2D5E">
        <w:t>, and that as  matter of principle, the development of any new ITU-R Recommendation(s), Report(s) and Handbook should not be undertaken, unless modifying existing ITU-R Recommendation(s), Report(s), and/or Handbook does not address the matter (Approach 2).</w:t>
      </w:r>
    </w:p>
    <w:p w14:paraId="617E7958" w14:textId="77777777" w:rsidR="00AA0D94" w:rsidRPr="001F2D5E" w:rsidRDefault="00AA0D94" w:rsidP="005D2E74">
      <w:pPr>
        <w:pStyle w:val="Headingi"/>
      </w:pPr>
      <w:r w:rsidRPr="001F2D5E">
        <w:t>Approach 2</w:t>
      </w:r>
    </w:p>
    <w:p w14:paraId="4C021DAE" w14:textId="79A8558C" w:rsidR="00AA0D94" w:rsidRPr="001F2D5E" w:rsidRDefault="00AA0D94" w:rsidP="00AA0D94">
      <w:r w:rsidRPr="001F2D5E">
        <w:t>Proceed with the revision of Recommendation(s), Report(s</w:t>
      </w:r>
      <w:proofErr w:type="gramStart"/>
      <w:r w:rsidRPr="001F2D5E">
        <w:t>)</w:t>
      </w:r>
      <w:proofErr w:type="gramEnd"/>
      <w:r w:rsidRPr="001F2D5E">
        <w:t xml:space="preserve"> and Handbook through submission of contribution to relevant ITU</w:t>
      </w:r>
      <w:r w:rsidRPr="001F2D5E">
        <w:noBreakHyphen/>
        <w:t>R subsequent meetings. Such contributions should include arguments that current Recommendation(s), Report(s) and Handbook cover partially or adequately the objectives of WRC</w:t>
      </w:r>
      <w:r w:rsidRPr="001F2D5E">
        <w:noBreakHyphen/>
        <w:t xml:space="preserve">23 agenda item 9.1, topic c) as referred to in Resolution </w:t>
      </w:r>
      <w:r w:rsidRPr="001F2D5E">
        <w:rPr>
          <w:b/>
          <w:bCs/>
        </w:rPr>
        <w:t>175 (WRC</w:t>
      </w:r>
      <w:r w:rsidRPr="001F2D5E">
        <w:rPr>
          <w:b/>
          <w:bCs/>
        </w:rPr>
        <w:noBreakHyphen/>
        <w:t>19)</w:t>
      </w:r>
      <w:r w:rsidRPr="001F2D5E">
        <w:t xml:space="preserve">. Upon receipt of the above-mentioned contributions, </w:t>
      </w:r>
      <w:r w:rsidR="00F51BAC" w:rsidRPr="001F2D5E">
        <w:t>Working Part</w:t>
      </w:r>
      <w:r w:rsidR="001F4403" w:rsidRPr="001F2D5E">
        <w:t>ies</w:t>
      </w:r>
      <w:r w:rsidR="00F51BAC" w:rsidRPr="001F2D5E">
        <w:t xml:space="preserve"> (WPs)</w:t>
      </w:r>
      <w:r w:rsidRPr="001F2D5E">
        <w:t xml:space="preserve"> 5A and 5C would proceed accordingly. Should such a revision still not satisfy the requirements of this topic, then new Recommendation(s), Report(s), and/or Handbook can be developed in ITU-R.</w:t>
      </w:r>
    </w:p>
    <w:p w14:paraId="08396798" w14:textId="77777777" w:rsidR="00AA0D94" w:rsidRPr="001F2D5E" w:rsidRDefault="00AA0D94" w:rsidP="00AA0D94">
      <w:r w:rsidRPr="001F2D5E">
        <w:t xml:space="preserve">There are </w:t>
      </w:r>
      <w:proofErr w:type="gramStart"/>
      <w:r w:rsidRPr="001F2D5E">
        <w:t>a number of</w:t>
      </w:r>
      <w:proofErr w:type="gramEnd"/>
      <w:r w:rsidRPr="001F2D5E">
        <w:t xml:space="preserve"> ITU</w:t>
      </w:r>
      <w:r w:rsidRPr="001F2D5E">
        <w:noBreakHyphen/>
        <w:t>R publications, covering a variety of technologies and interfaces that could be also of relevance for the use of IMT technologies for fixed wireless applications including backhaul, core, transport and others which need further consideration.</w:t>
      </w:r>
    </w:p>
    <w:p w14:paraId="1D47DB5B" w14:textId="77777777" w:rsidR="00AA0D94" w:rsidRPr="001F2D5E" w:rsidRDefault="00AA0D94" w:rsidP="00AA0D94">
      <w:pPr>
        <w:rPr>
          <w:lang w:eastAsia="zh-CN"/>
        </w:rPr>
      </w:pPr>
      <w:r w:rsidRPr="001F2D5E">
        <w:lastRenderedPageBreak/>
        <w:t>The published ITU</w:t>
      </w:r>
      <w:r w:rsidRPr="001F2D5E">
        <w:noBreakHyphen/>
        <w:t>R Recommendations and Reports on various types of fixed wireless and Handbook on “Fixed wireless access” are summarized in the “</w:t>
      </w:r>
      <w:hyperlink r:id="rId14" w:history="1">
        <w:r w:rsidRPr="001F2D5E">
          <w:rPr>
            <w:rStyle w:val="Hyperlink"/>
            <w:szCs w:val="24"/>
          </w:rPr>
          <w:t>Guide to the use of ITU</w:t>
        </w:r>
        <w:r w:rsidRPr="001F2D5E">
          <w:rPr>
            <w:rStyle w:val="Hyperlink"/>
            <w:szCs w:val="24"/>
          </w:rPr>
          <w:noBreakHyphen/>
          <w:t>R texts relating to the land mobile service, including wireless access in the fixed service</w:t>
        </w:r>
      </w:hyperlink>
      <w:r w:rsidRPr="001F2D5E">
        <w:t xml:space="preserve">”, available on the </w:t>
      </w:r>
      <w:hyperlink r:id="rId15" w:history="1">
        <w:r w:rsidRPr="001F2D5E">
          <w:rPr>
            <w:rStyle w:val="Hyperlink"/>
          </w:rPr>
          <w:t>WP 5A</w:t>
        </w:r>
      </w:hyperlink>
      <w:r w:rsidRPr="001F2D5E">
        <w:t xml:space="preserve"> and </w:t>
      </w:r>
      <w:hyperlink r:id="rId16" w:history="1">
        <w:r w:rsidRPr="001F2D5E">
          <w:rPr>
            <w:rStyle w:val="Hyperlink"/>
            <w:szCs w:val="24"/>
          </w:rPr>
          <w:t>WP 5C</w:t>
        </w:r>
      </w:hyperlink>
      <w:r w:rsidRPr="001F2D5E">
        <w:t xml:space="preserve"> webpage</w:t>
      </w:r>
      <w:r w:rsidRPr="001F2D5E">
        <w:rPr>
          <w:szCs w:val="24"/>
        </w:rPr>
        <w:t>s</w:t>
      </w:r>
      <w:r w:rsidRPr="001F2D5E">
        <w:t>, which can be considered relevant to WRC</w:t>
      </w:r>
      <w:r w:rsidRPr="001F2D5E">
        <w:noBreakHyphen/>
        <w:t xml:space="preserve">23 agenda item 9.1, topic c). This list is non-exhaustive as this roster of publications addresses some, but not all types of fixed wireless applications (backhaul, core, </w:t>
      </w:r>
      <w:proofErr w:type="gramStart"/>
      <w:r w:rsidRPr="001F2D5E">
        <w:t>transport</w:t>
      </w:r>
      <w:proofErr w:type="gramEnd"/>
      <w:r w:rsidRPr="001F2D5E">
        <w:t xml:space="preserve"> and others).</w:t>
      </w:r>
    </w:p>
    <w:p w14:paraId="68B7012E" w14:textId="77777777" w:rsidR="00AA0D94" w:rsidRPr="001F2D5E" w:rsidRDefault="00AA0D94" w:rsidP="00AA0D94">
      <w:pPr>
        <w:rPr>
          <w:lang w:eastAsia="zh-CN"/>
        </w:rPr>
      </w:pPr>
      <w:r w:rsidRPr="001F2D5E">
        <w:rPr>
          <w:lang w:eastAsia="zh-CN"/>
        </w:rPr>
        <w:t>As a starting point, proposals were received to revise and update Recommendations ITU</w:t>
      </w:r>
      <w:r w:rsidRPr="001F2D5E">
        <w:rPr>
          <w:lang w:eastAsia="zh-CN"/>
        </w:rPr>
        <w:noBreakHyphen/>
        <w:t>R F.1401</w:t>
      </w:r>
      <w:r w:rsidRPr="001F2D5E">
        <w:rPr>
          <w:lang w:eastAsia="zh-CN"/>
        </w:rPr>
        <w:noBreakHyphen/>
        <w:t>1 and ITU</w:t>
      </w:r>
      <w:r w:rsidRPr="001F2D5E">
        <w:rPr>
          <w:lang w:eastAsia="zh-CN"/>
        </w:rPr>
        <w:noBreakHyphen/>
        <w:t>R F.1763</w:t>
      </w:r>
      <w:r w:rsidRPr="001F2D5E">
        <w:rPr>
          <w:lang w:eastAsia="zh-CN"/>
        </w:rPr>
        <w:noBreakHyphen/>
        <w:t>1, so that they are more reflective of the current state of technology including IMT technology for broadband fixed wireless access. Proposals were also received to revise other relevant F-Series Recommendations/Reports fixed wireless applications (access and backhaul). Other proposals of new ITU</w:t>
      </w:r>
      <w:r w:rsidRPr="001F2D5E">
        <w:rPr>
          <w:lang w:eastAsia="zh-CN"/>
        </w:rPr>
        <w:noBreakHyphen/>
        <w:t xml:space="preserve">R Reports and Recommendations (see also Annex 18 to Document </w:t>
      </w:r>
      <w:hyperlink r:id="rId17" w:history="1">
        <w:r w:rsidRPr="001F2D5E">
          <w:rPr>
            <w:rStyle w:val="Hyperlink"/>
            <w:lang w:eastAsia="zh-CN"/>
          </w:rPr>
          <w:t>5A/221</w:t>
        </w:r>
      </w:hyperlink>
      <w:r w:rsidRPr="001F2D5E">
        <w:rPr>
          <w:lang w:eastAsia="zh-CN"/>
        </w:rPr>
        <w:t xml:space="preserve">) with regards to the new capabilities of IMT systems and technologies to support various applications of fixed wireless broadband within the fixed service, including access and backhauling capabilities have been received. All proposals will need further consideration. </w:t>
      </w:r>
    </w:p>
    <w:p w14:paraId="4FB53AB8" w14:textId="77777777" w:rsidR="00AA0D94" w:rsidRPr="001F2D5E" w:rsidRDefault="00AA0D94" w:rsidP="00AA0D94">
      <w:r w:rsidRPr="001F2D5E">
        <w:t xml:space="preserve">Accordingly, a new </w:t>
      </w:r>
      <w:r w:rsidRPr="001F2D5E">
        <w:rPr>
          <w:lang w:eastAsia="zh-CN"/>
        </w:rPr>
        <w:t>ITU</w:t>
      </w:r>
      <w:r w:rsidRPr="001F2D5E">
        <w:rPr>
          <w:lang w:eastAsia="zh-CN"/>
        </w:rPr>
        <w:noBreakHyphen/>
        <w:t xml:space="preserve">R </w:t>
      </w:r>
      <w:r w:rsidRPr="001F2D5E">
        <w:t xml:space="preserve">Question may be developed, if necessary, to progress the work on existing or new </w:t>
      </w:r>
      <w:r w:rsidRPr="001F2D5E">
        <w:rPr>
          <w:lang w:eastAsia="zh-CN"/>
        </w:rPr>
        <w:t>ITU</w:t>
      </w:r>
      <w:r w:rsidRPr="001F2D5E">
        <w:rPr>
          <w:lang w:eastAsia="zh-CN"/>
        </w:rPr>
        <w:noBreakHyphen/>
        <w:t xml:space="preserve">R </w:t>
      </w:r>
      <w:r w:rsidRPr="001F2D5E">
        <w:t>Reports, Recommendations and Handbook. There was also proposal to consider the extension of the study completion date of Question ITU</w:t>
      </w:r>
      <w:r w:rsidRPr="001F2D5E">
        <w:noBreakHyphen/>
        <w:t>R 215-4/5, as it is currently 2019.</w:t>
      </w:r>
    </w:p>
    <w:p w14:paraId="769A8C18" w14:textId="77777777" w:rsidR="00AA0D94" w:rsidRPr="001F2D5E" w:rsidRDefault="00AA0D94" w:rsidP="00AA0D94">
      <w:r w:rsidRPr="001F2D5E">
        <w:t>There was discussion regarding the use of the terms “IMT Technology” and “IMT System”. It was clarified that this topic concerned the fixed wireless applications that use of IMT technologies in the frequency bands allocated to the fixed service on a primary basis.</w:t>
      </w:r>
    </w:p>
    <w:p w14:paraId="21FD5A19" w14:textId="08A5C044" w:rsidR="00AA0D94" w:rsidRPr="001F2D5E" w:rsidRDefault="00AA0D94" w:rsidP="00915AE5">
      <w:pPr>
        <w:pStyle w:val="Headingi"/>
        <w:keepNext/>
        <w:keepLines/>
        <w:rPr>
          <w:lang w:eastAsia="ja-JP"/>
        </w:rPr>
      </w:pPr>
      <w:r w:rsidRPr="001F2D5E">
        <w:rPr>
          <w:lang w:eastAsia="ja-JP"/>
        </w:rPr>
        <w:lastRenderedPageBreak/>
        <w:t>Alternative 2</w:t>
      </w:r>
    </w:p>
    <w:p w14:paraId="0F7641C8" w14:textId="6653FA39" w:rsidR="00AA0D94" w:rsidRPr="001F2D5E" w:rsidRDefault="00AA0D94" w:rsidP="00915AE5">
      <w:pPr>
        <w:keepNext/>
        <w:keepLines/>
        <w:rPr>
          <w:lang w:eastAsia="ko-KR"/>
        </w:rPr>
      </w:pPr>
      <w:r w:rsidRPr="001F2D5E">
        <w:rPr>
          <w:lang w:eastAsia="ja-JP"/>
        </w:rPr>
        <w:t>The ATU is of the view that there is no need to have any draft new or revised Resolution on this matter in the draft CPM text (see Attachment 2) and doing so would be outside the scope of the Resolution </w:t>
      </w:r>
      <w:r w:rsidRPr="001F2D5E">
        <w:rPr>
          <w:b/>
          <w:bCs/>
          <w:lang w:eastAsia="ja-JP"/>
        </w:rPr>
        <w:t>175 (WRC</w:t>
      </w:r>
      <w:r w:rsidRPr="001F2D5E">
        <w:rPr>
          <w:b/>
          <w:bCs/>
          <w:lang w:eastAsia="ja-JP"/>
        </w:rPr>
        <w:noBreakHyphen/>
        <w:t>19)</w:t>
      </w:r>
      <w:r w:rsidRPr="001F2D5E">
        <w:rPr>
          <w:lang w:eastAsia="ja-JP"/>
        </w:rPr>
        <w:t xml:space="preserve"> </w:t>
      </w:r>
      <w:r w:rsidRPr="001F2D5E">
        <w:rPr>
          <w:i/>
          <w:iCs/>
          <w:lang w:eastAsia="ja-JP"/>
        </w:rPr>
        <w:t xml:space="preserve">resolves </w:t>
      </w:r>
      <w:r w:rsidRPr="001F2D5E">
        <w:rPr>
          <w:lang w:eastAsia="ja-JP"/>
        </w:rPr>
        <w:t>and consequently is not compliant with Resolution ITU</w:t>
      </w:r>
      <w:r w:rsidRPr="001F2D5E">
        <w:rPr>
          <w:lang w:eastAsia="ja-JP"/>
        </w:rPr>
        <w:noBreakHyphen/>
        <w:t>R 2</w:t>
      </w:r>
      <w:r w:rsidRPr="001F2D5E">
        <w:rPr>
          <w:lang w:eastAsia="ja-JP"/>
        </w:rPr>
        <w:noBreakHyphen/>
        <w:t xml:space="preserve">8, Annex 1 (Working methods), § A1.2.8. </w:t>
      </w:r>
      <w:r w:rsidRPr="001F2D5E">
        <w:rPr>
          <w:lang w:eastAsia="ko-KR"/>
        </w:rPr>
        <w:t xml:space="preserve">Therefore, the ATU support no change to the Radio Regulations under </w:t>
      </w:r>
      <w:r w:rsidR="00FC1C40" w:rsidRPr="001F2D5E">
        <w:rPr>
          <w:lang w:eastAsia="ko-KR"/>
        </w:rPr>
        <w:t xml:space="preserve">WRC-23 </w:t>
      </w:r>
      <w:r w:rsidRPr="001F2D5E">
        <w:rPr>
          <w:lang w:eastAsia="ko-KR"/>
        </w:rPr>
        <w:t xml:space="preserve">agenda item 9.1, topic c), except for suppression of </w:t>
      </w:r>
      <w:r w:rsidRPr="001F2D5E">
        <w:t>Resolution </w:t>
      </w:r>
      <w:r w:rsidRPr="001F2D5E">
        <w:rPr>
          <w:b/>
        </w:rPr>
        <w:t>175 (WRC</w:t>
      </w:r>
      <w:r w:rsidRPr="001F2D5E">
        <w:rPr>
          <w:b/>
        </w:rPr>
        <w:noBreakHyphen/>
        <w:t>19)</w:t>
      </w:r>
      <w:r w:rsidRPr="001F2D5E">
        <w:rPr>
          <w:lang w:eastAsia="ko-KR"/>
        </w:rPr>
        <w:t>.</w:t>
      </w:r>
    </w:p>
    <w:p w14:paraId="46C6612F" w14:textId="77777777" w:rsidR="00AA0D94" w:rsidRPr="001F2D5E" w:rsidRDefault="00AA0D94" w:rsidP="00AA0D94">
      <w:pPr>
        <w:rPr>
          <w:i/>
          <w:iCs/>
        </w:rPr>
      </w:pPr>
      <w:r w:rsidRPr="001F2D5E">
        <w:t>Regarding the minutes of WRC</w:t>
      </w:r>
      <w:r w:rsidRPr="001F2D5E">
        <w:noBreakHyphen/>
        <w:t>19 referred to in Alternative 1 in Section 5/9.1-c of the CPM Report, they refer to an agreement to include the text proposed by a delegate of one administration in the minutes of the conference. This cannot be assumed as a formal decision of the conference to include an agenda item at WRC</w:t>
      </w:r>
      <w:r w:rsidRPr="001F2D5E">
        <w:noBreakHyphen/>
        <w:t>27. If this was to be a formal decision of the conference, then WRC</w:t>
      </w:r>
      <w:r w:rsidRPr="001F2D5E">
        <w:noBreakHyphen/>
        <w:t>19 would have taken a formal decision, for example by including a provisional agenda item for WRC</w:t>
      </w:r>
      <w:r w:rsidRPr="001F2D5E">
        <w:noBreakHyphen/>
        <w:t>27. Furthermore, conferences are sovereign and this text in the minutes cannot be taken as one conference binding a future conference to take a particular action in this case.</w:t>
      </w:r>
    </w:p>
    <w:p w14:paraId="797EBEB1" w14:textId="77777777" w:rsidR="001F2D5E" w:rsidRPr="001F2D5E" w:rsidRDefault="001F2D5E" w:rsidP="00F84C38"/>
    <w:p w14:paraId="0E6690DA" w14:textId="77777777" w:rsidR="001F2D5E" w:rsidRPr="001F2D5E" w:rsidRDefault="001F2D5E">
      <w:pPr>
        <w:jc w:val="center"/>
      </w:pPr>
      <w:r w:rsidRPr="001F2D5E">
        <w:t>______________</w:t>
      </w:r>
    </w:p>
    <w:sectPr w:rsidR="001F2D5E" w:rsidRPr="001F2D5E">
      <w:headerReference w:type="default" r:id="rId18"/>
      <w:footerReference w:type="even" r:id="rId19"/>
      <w:footerReference w:type="default" r:id="rId20"/>
      <w:footerReference w:type="first" r:id="rId21"/>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7A6A" w14:textId="77777777" w:rsidR="007B39DA" w:rsidRDefault="007B39DA">
      <w:r>
        <w:separator/>
      </w:r>
    </w:p>
  </w:endnote>
  <w:endnote w:type="continuationSeparator" w:id="0">
    <w:p w14:paraId="519522EF" w14:textId="77777777" w:rsidR="007B39DA" w:rsidRDefault="007B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7DAF" w14:textId="77777777" w:rsidR="00E45D05" w:rsidRDefault="00E45D05">
    <w:pPr>
      <w:framePr w:wrap="around" w:vAnchor="text" w:hAnchor="margin" w:xAlign="right" w:y="1"/>
    </w:pPr>
    <w:r>
      <w:fldChar w:fldCharType="begin"/>
    </w:r>
    <w:r>
      <w:instrText xml:space="preserve">PAGE  </w:instrText>
    </w:r>
    <w:r>
      <w:fldChar w:fldCharType="end"/>
    </w:r>
  </w:p>
  <w:p w14:paraId="56577452" w14:textId="1C289BC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84C38">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D1E9" w14:textId="3B57E7BA" w:rsidR="00E45D05" w:rsidRDefault="00E45D05" w:rsidP="009B1EA1">
    <w:pPr>
      <w:pStyle w:val="Footer"/>
    </w:pPr>
    <w:r>
      <w:fldChar w:fldCharType="begin"/>
    </w:r>
    <w:r w:rsidRPr="0041348E">
      <w:rPr>
        <w:lang w:val="en-US"/>
      </w:rPr>
      <w:instrText xml:space="preserve"> FILENAME \p  \* MERGEFORMAT </w:instrText>
    </w:r>
    <w:r>
      <w:fldChar w:fldCharType="separate"/>
    </w:r>
    <w:r w:rsidR="00F457A9">
      <w:rPr>
        <w:lang w:val="en-US"/>
      </w:rPr>
      <w:t>P:\ENG\ITU-R\CONF-R\CMR23\000\087ADD24ADD03E.docx</w:t>
    </w:r>
    <w:r>
      <w:fldChar w:fldCharType="end"/>
    </w:r>
    <w:r w:rsidR="00F457A9">
      <w:t xml:space="preserve"> (530015)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F1FF" w14:textId="121851E5" w:rsidR="005E24D4" w:rsidRDefault="00F457A9">
    <w:pPr>
      <w:pStyle w:val="Footer"/>
    </w:pPr>
    <w:r>
      <w:fldChar w:fldCharType="begin"/>
    </w:r>
    <w:r w:rsidRPr="0041348E">
      <w:rPr>
        <w:lang w:val="en-US"/>
      </w:rPr>
      <w:instrText xml:space="preserve"> FILENAME \p  \* MERGEFORMAT </w:instrText>
    </w:r>
    <w:r>
      <w:fldChar w:fldCharType="separate"/>
    </w:r>
    <w:r>
      <w:rPr>
        <w:lang w:val="en-US"/>
      </w:rPr>
      <w:t>P:\ENG\ITU-R\CONF-R\CMR23\000\087ADD24ADD03E.docx</w:t>
    </w:r>
    <w:r>
      <w:fldChar w:fldCharType="end"/>
    </w:r>
    <w:r>
      <w:t xml:space="preserve"> (530015)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03D8" w14:textId="77777777" w:rsidR="007B39DA" w:rsidRDefault="007B39DA">
      <w:r>
        <w:rPr>
          <w:b/>
        </w:rPr>
        <w:t>_______________</w:t>
      </w:r>
    </w:p>
  </w:footnote>
  <w:footnote w:type="continuationSeparator" w:id="0">
    <w:p w14:paraId="0CE09DA5" w14:textId="77777777" w:rsidR="007B39DA" w:rsidRDefault="007B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459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C19E8C"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87(Add.24)(Add.3)</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04118311">
    <w:abstractNumId w:val="0"/>
  </w:num>
  <w:num w:numId="2" w16cid:durableId="156514168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AFA"/>
    <w:rsid w:val="00022A29"/>
    <w:rsid w:val="0003271A"/>
    <w:rsid w:val="000355FD"/>
    <w:rsid w:val="00051E39"/>
    <w:rsid w:val="0005674D"/>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3045"/>
    <w:rsid w:val="00161F26"/>
    <w:rsid w:val="00187BD9"/>
    <w:rsid w:val="00190B55"/>
    <w:rsid w:val="001C3B5F"/>
    <w:rsid w:val="001D058F"/>
    <w:rsid w:val="001F2D5E"/>
    <w:rsid w:val="001F4403"/>
    <w:rsid w:val="002009EA"/>
    <w:rsid w:val="00202756"/>
    <w:rsid w:val="00202CA0"/>
    <w:rsid w:val="002141A4"/>
    <w:rsid w:val="00216B6D"/>
    <w:rsid w:val="0022757F"/>
    <w:rsid w:val="00241FA2"/>
    <w:rsid w:val="00271316"/>
    <w:rsid w:val="00273570"/>
    <w:rsid w:val="002B349C"/>
    <w:rsid w:val="002C5776"/>
    <w:rsid w:val="002D58BE"/>
    <w:rsid w:val="002F4747"/>
    <w:rsid w:val="00302605"/>
    <w:rsid w:val="00361B37"/>
    <w:rsid w:val="00377BD3"/>
    <w:rsid w:val="00384088"/>
    <w:rsid w:val="003852CE"/>
    <w:rsid w:val="0039169B"/>
    <w:rsid w:val="003A7F8C"/>
    <w:rsid w:val="003B2284"/>
    <w:rsid w:val="003B532E"/>
    <w:rsid w:val="003D0F8B"/>
    <w:rsid w:val="003E0DB6"/>
    <w:rsid w:val="0040420B"/>
    <w:rsid w:val="0041348E"/>
    <w:rsid w:val="00420873"/>
    <w:rsid w:val="00492075"/>
    <w:rsid w:val="004969AD"/>
    <w:rsid w:val="004A26C4"/>
    <w:rsid w:val="004B13CB"/>
    <w:rsid w:val="004D26EA"/>
    <w:rsid w:val="004D2BFB"/>
    <w:rsid w:val="004D5D5C"/>
    <w:rsid w:val="004F3DC0"/>
    <w:rsid w:val="0050139F"/>
    <w:rsid w:val="005155D0"/>
    <w:rsid w:val="0052177F"/>
    <w:rsid w:val="0055140B"/>
    <w:rsid w:val="005600D9"/>
    <w:rsid w:val="005861D7"/>
    <w:rsid w:val="005868C9"/>
    <w:rsid w:val="005964AB"/>
    <w:rsid w:val="005C099A"/>
    <w:rsid w:val="005C31A5"/>
    <w:rsid w:val="005D2E74"/>
    <w:rsid w:val="005E10C9"/>
    <w:rsid w:val="005E24D4"/>
    <w:rsid w:val="005E290B"/>
    <w:rsid w:val="005E61DD"/>
    <w:rsid w:val="005F04D8"/>
    <w:rsid w:val="006023DF"/>
    <w:rsid w:val="00615426"/>
    <w:rsid w:val="00616219"/>
    <w:rsid w:val="00645B7D"/>
    <w:rsid w:val="00657DE0"/>
    <w:rsid w:val="00685313"/>
    <w:rsid w:val="00692833"/>
    <w:rsid w:val="006A2964"/>
    <w:rsid w:val="006A6E9B"/>
    <w:rsid w:val="006B7C2A"/>
    <w:rsid w:val="006C23DA"/>
    <w:rsid w:val="006D70B0"/>
    <w:rsid w:val="006E3D45"/>
    <w:rsid w:val="007038DF"/>
    <w:rsid w:val="0070607A"/>
    <w:rsid w:val="007149F9"/>
    <w:rsid w:val="00733A30"/>
    <w:rsid w:val="00745AEE"/>
    <w:rsid w:val="00750F10"/>
    <w:rsid w:val="007742CA"/>
    <w:rsid w:val="00790D70"/>
    <w:rsid w:val="007A6F1F"/>
    <w:rsid w:val="007B39DA"/>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05758"/>
    <w:rsid w:val="00915AE5"/>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95A46"/>
    <w:rsid w:val="00AA0B18"/>
    <w:rsid w:val="00AA0D94"/>
    <w:rsid w:val="00AA3C65"/>
    <w:rsid w:val="00AA666F"/>
    <w:rsid w:val="00AD7914"/>
    <w:rsid w:val="00AD7CB9"/>
    <w:rsid w:val="00AE514B"/>
    <w:rsid w:val="00B370BA"/>
    <w:rsid w:val="00B40888"/>
    <w:rsid w:val="00B46B3F"/>
    <w:rsid w:val="00B639E9"/>
    <w:rsid w:val="00B817CD"/>
    <w:rsid w:val="00B81A7D"/>
    <w:rsid w:val="00B91EF7"/>
    <w:rsid w:val="00B94AD0"/>
    <w:rsid w:val="00BB3A95"/>
    <w:rsid w:val="00BC75DE"/>
    <w:rsid w:val="00BD6CCE"/>
    <w:rsid w:val="00C0018F"/>
    <w:rsid w:val="00C16A5A"/>
    <w:rsid w:val="00C20466"/>
    <w:rsid w:val="00C214ED"/>
    <w:rsid w:val="00C234E6"/>
    <w:rsid w:val="00C318B1"/>
    <w:rsid w:val="00C324A8"/>
    <w:rsid w:val="00C54517"/>
    <w:rsid w:val="00C56F70"/>
    <w:rsid w:val="00C57B91"/>
    <w:rsid w:val="00C64CD8"/>
    <w:rsid w:val="00C82695"/>
    <w:rsid w:val="00C97C68"/>
    <w:rsid w:val="00CA1A47"/>
    <w:rsid w:val="00CA3DFC"/>
    <w:rsid w:val="00CB44E5"/>
    <w:rsid w:val="00CC247A"/>
    <w:rsid w:val="00CD48C1"/>
    <w:rsid w:val="00CE388F"/>
    <w:rsid w:val="00CE5E47"/>
    <w:rsid w:val="00CF020F"/>
    <w:rsid w:val="00CF2B5B"/>
    <w:rsid w:val="00D14CE0"/>
    <w:rsid w:val="00D255D4"/>
    <w:rsid w:val="00D268B3"/>
    <w:rsid w:val="00D52FD6"/>
    <w:rsid w:val="00D54009"/>
    <w:rsid w:val="00D5651D"/>
    <w:rsid w:val="00D57A34"/>
    <w:rsid w:val="00D6490C"/>
    <w:rsid w:val="00D74898"/>
    <w:rsid w:val="00D801ED"/>
    <w:rsid w:val="00D936BC"/>
    <w:rsid w:val="00D96530"/>
    <w:rsid w:val="00DA1CB1"/>
    <w:rsid w:val="00DD44AF"/>
    <w:rsid w:val="00DE2AC3"/>
    <w:rsid w:val="00DE3487"/>
    <w:rsid w:val="00DE5692"/>
    <w:rsid w:val="00DE6300"/>
    <w:rsid w:val="00DF4BC6"/>
    <w:rsid w:val="00DF78E0"/>
    <w:rsid w:val="00E03C94"/>
    <w:rsid w:val="00E205BC"/>
    <w:rsid w:val="00E26226"/>
    <w:rsid w:val="00E45D05"/>
    <w:rsid w:val="00E55816"/>
    <w:rsid w:val="00E55AEF"/>
    <w:rsid w:val="00E835DD"/>
    <w:rsid w:val="00E976C1"/>
    <w:rsid w:val="00EA12E5"/>
    <w:rsid w:val="00EB0812"/>
    <w:rsid w:val="00EB54B2"/>
    <w:rsid w:val="00EB55C6"/>
    <w:rsid w:val="00EF1932"/>
    <w:rsid w:val="00EF71B6"/>
    <w:rsid w:val="00F02766"/>
    <w:rsid w:val="00F05BD4"/>
    <w:rsid w:val="00F06473"/>
    <w:rsid w:val="00F2606C"/>
    <w:rsid w:val="00F320AA"/>
    <w:rsid w:val="00F457A9"/>
    <w:rsid w:val="00F47856"/>
    <w:rsid w:val="00F517CC"/>
    <w:rsid w:val="00F51BAC"/>
    <w:rsid w:val="00F6155B"/>
    <w:rsid w:val="00F65C19"/>
    <w:rsid w:val="00F822B0"/>
    <w:rsid w:val="00F84C38"/>
    <w:rsid w:val="00F86AD1"/>
    <w:rsid w:val="00F9035E"/>
    <w:rsid w:val="00FC1C40"/>
    <w:rsid w:val="00FD08E2"/>
    <w:rsid w:val="00FD18DA"/>
    <w:rsid w:val="00FD2546"/>
    <w:rsid w:val="00FD772E"/>
    <w:rsid w:val="00FE03DB"/>
    <w:rsid w:val="00FE559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18E1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aliases w:val="超级链接,CEO_Hyperlink,ECC Hyperlink,n级链接,ECC Hyperlink + (Complex) 12 pt"/>
    <w:basedOn w:val="DefaultParagraphFont"/>
    <w:uiPriority w:val="99"/>
    <w:unhideWhenUsed/>
    <w:qFormat/>
    <w:rPr>
      <w:color w:val="0000FF" w:themeColor="hyperlink"/>
      <w:u w:val="single"/>
    </w:rPr>
  </w:style>
  <w:style w:type="paragraph" w:styleId="Revision">
    <w:name w:val="Revision"/>
    <w:hidden/>
    <w:uiPriority w:val="99"/>
    <w:semiHidden/>
    <w:rsid w:val="00F86AD1"/>
    <w:rPr>
      <w:rFonts w:ascii="Times New Roman" w:hAnsi="Times New Roman"/>
      <w:sz w:val="24"/>
      <w:lang w:val="en-GB" w:eastAsia="en-US"/>
    </w:rPr>
  </w:style>
  <w:style w:type="character" w:styleId="FollowedHyperlink">
    <w:name w:val="FollowedHyperlink"/>
    <w:basedOn w:val="DefaultParagraphFont"/>
    <w:semiHidden/>
    <w:unhideWhenUsed/>
    <w:rsid w:val="001F2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9-WP5A-C-0221/en" TargetMode="External"/><Relationship Id="rId2" Type="http://schemas.openxmlformats.org/officeDocument/2006/relationships/customXml" Target="../customXml/item2.xml"/><Relationship Id="rId16" Type="http://schemas.openxmlformats.org/officeDocument/2006/relationships/hyperlink" Target="https://www.itu.int/ITU-R/go/rwp5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ITU-R/go/rwp5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oth/R0A06000001/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R23-WRC23-C-0087!A24-A3!MSW-E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723D8-3EF1-416A-9C50-ABCC2BB2C8B6}">
  <ds:schemaRefs>
    <ds:schemaRef ds:uri="http://schemas.microsoft.com/sharepoint/events"/>
  </ds:schemaRefs>
</ds:datastoreItem>
</file>

<file path=customXml/itemProps2.xml><?xml version="1.0" encoding="utf-8"?>
<ds:datastoreItem xmlns:ds="http://schemas.openxmlformats.org/officeDocument/2006/customXml" ds:itemID="{19B0239B-3CC2-4828-9AA5-789AA14C0F5C}">
  <ds:schemaRefs>
    <ds:schemaRef ds:uri="http://schemas.openxmlformats.org/officeDocument/2006/bibliography"/>
  </ds:schemaRefs>
</ds:datastoreItem>
</file>

<file path=customXml/itemProps3.xml><?xml version="1.0" encoding="utf-8"?>
<ds:datastoreItem xmlns:ds="http://schemas.openxmlformats.org/officeDocument/2006/customXml" ds:itemID="{E3E396E0-65AD-44E0-8074-8E57D5B75DB4}">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34655F0F-9FAF-44E1-9787-9B902468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BF91FA-B151-46F6-8DBF-8BE885898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807</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R23-WRC23-C-0087!A24-A3!MSW-E</vt:lpstr>
    </vt:vector>
  </TitlesOfParts>
  <Manager>General Secretariat - Pool</Manager>
  <Company>International Telecommunication Union (ITU)</Company>
  <LinksUpToDate>false</LinksUpToDate>
  <CharactersWithSpaces>5527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R23-WRC23-C-0087!A24-A3!MSW-E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2023-10-30T10:23:00Z</dcterms:created>
  <dcterms:modified xsi:type="dcterms:W3CDTF">2023-10-30T19:03:00Z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