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C15D6" w14:paraId="04B9D411" w14:textId="77777777" w:rsidTr="00C1305F">
        <w:trPr>
          <w:cantSplit/>
        </w:trPr>
        <w:tc>
          <w:tcPr>
            <w:tcW w:w="1418" w:type="dxa"/>
            <w:vAlign w:val="center"/>
          </w:tcPr>
          <w:p w14:paraId="3AF35944" w14:textId="77777777" w:rsidR="00C1305F" w:rsidRPr="008C15D6" w:rsidRDefault="00C1305F" w:rsidP="00C1305F">
            <w:pPr>
              <w:spacing w:before="0" w:line="240" w:lineRule="atLeast"/>
              <w:rPr>
                <w:rFonts w:ascii="Verdana" w:hAnsi="Verdana"/>
                <w:b/>
                <w:bCs/>
                <w:sz w:val="20"/>
              </w:rPr>
            </w:pPr>
            <w:r w:rsidRPr="008C15D6">
              <w:drawing>
                <wp:inline distT="0" distB="0" distL="0" distR="0" wp14:anchorId="0A24F9C5" wp14:editId="478EA8C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4B4665D" w14:textId="7941B670" w:rsidR="00C1305F" w:rsidRPr="008C15D6" w:rsidRDefault="00C1305F" w:rsidP="00F10064">
            <w:pPr>
              <w:spacing w:before="400" w:after="48" w:line="240" w:lineRule="atLeast"/>
              <w:rPr>
                <w:rFonts w:ascii="Verdana" w:hAnsi="Verdana"/>
                <w:b/>
                <w:bCs/>
                <w:sz w:val="20"/>
              </w:rPr>
            </w:pPr>
            <w:r w:rsidRPr="008C15D6">
              <w:rPr>
                <w:rFonts w:ascii="Verdana" w:hAnsi="Verdana"/>
                <w:b/>
                <w:bCs/>
                <w:sz w:val="20"/>
              </w:rPr>
              <w:t>Conférence mondiale des radiocommunications (CMR-23)</w:t>
            </w:r>
            <w:r w:rsidRPr="008C15D6">
              <w:rPr>
                <w:rFonts w:ascii="Verdana" w:hAnsi="Verdana"/>
                <w:b/>
                <w:bCs/>
                <w:sz w:val="20"/>
              </w:rPr>
              <w:br/>
            </w:r>
            <w:r w:rsidRPr="008C15D6">
              <w:rPr>
                <w:rFonts w:ascii="Verdana" w:hAnsi="Verdana"/>
                <w:b/>
                <w:bCs/>
                <w:sz w:val="18"/>
                <w:szCs w:val="18"/>
              </w:rPr>
              <w:t xml:space="preserve">Dubaï, 20 novembre </w:t>
            </w:r>
            <w:r w:rsidR="007500C1" w:rsidRPr="008C15D6">
              <w:rPr>
                <w:rFonts w:ascii="Verdana" w:hAnsi="Verdana"/>
                <w:b/>
                <w:bCs/>
                <w:sz w:val="18"/>
                <w:szCs w:val="18"/>
              </w:rPr>
              <w:t>–</w:t>
            </w:r>
            <w:r w:rsidRPr="008C15D6">
              <w:rPr>
                <w:rFonts w:ascii="Verdana" w:hAnsi="Verdana"/>
                <w:b/>
                <w:bCs/>
                <w:sz w:val="18"/>
                <w:szCs w:val="18"/>
              </w:rPr>
              <w:t xml:space="preserve"> 15 décembre 2023</w:t>
            </w:r>
          </w:p>
        </w:tc>
        <w:tc>
          <w:tcPr>
            <w:tcW w:w="1809" w:type="dxa"/>
            <w:vAlign w:val="center"/>
          </w:tcPr>
          <w:p w14:paraId="37C7BD66" w14:textId="77777777" w:rsidR="00C1305F" w:rsidRPr="008C15D6" w:rsidRDefault="00C1305F" w:rsidP="00C1305F">
            <w:pPr>
              <w:spacing w:before="0" w:line="240" w:lineRule="atLeast"/>
            </w:pPr>
            <w:r w:rsidRPr="008C15D6">
              <w:drawing>
                <wp:inline distT="0" distB="0" distL="0" distR="0" wp14:anchorId="46EE76B8" wp14:editId="454D5E2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C15D6" w14:paraId="4656452D" w14:textId="77777777" w:rsidTr="0050008E">
        <w:trPr>
          <w:cantSplit/>
        </w:trPr>
        <w:tc>
          <w:tcPr>
            <w:tcW w:w="6911" w:type="dxa"/>
            <w:gridSpan w:val="2"/>
            <w:tcBorders>
              <w:bottom w:val="single" w:sz="12" w:space="0" w:color="auto"/>
            </w:tcBorders>
          </w:tcPr>
          <w:p w14:paraId="680933C4" w14:textId="77777777" w:rsidR="00BB1D82" w:rsidRPr="008C15D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413CAC2" w14:textId="77777777" w:rsidR="00BB1D82" w:rsidRPr="008C15D6" w:rsidRDefault="00BB1D82" w:rsidP="00BB1D82">
            <w:pPr>
              <w:spacing w:before="0" w:line="240" w:lineRule="atLeast"/>
              <w:rPr>
                <w:rFonts w:ascii="Verdana" w:hAnsi="Verdana"/>
                <w:szCs w:val="24"/>
              </w:rPr>
            </w:pPr>
          </w:p>
        </w:tc>
      </w:tr>
      <w:tr w:rsidR="00BB1D82" w:rsidRPr="008C15D6" w14:paraId="6970D284" w14:textId="77777777" w:rsidTr="00BB1D82">
        <w:trPr>
          <w:cantSplit/>
        </w:trPr>
        <w:tc>
          <w:tcPr>
            <w:tcW w:w="6911" w:type="dxa"/>
            <w:gridSpan w:val="2"/>
            <w:tcBorders>
              <w:top w:val="single" w:sz="12" w:space="0" w:color="auto"/>
            </w:tcBorders>
          </w:tcPr>
          <w:p w14:paraId="76A89ADF" w14:textId="77777777" w:rsidR="00BB1D82" w:rsidRPr="008C15D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D4A60D0" w14:textId="77777777" w:rsidR="00BB1D82" w:rsidRPr="008C15D6" w:rsidRDefault="00BB1D82" w:rsidP="00BB1D82">
            <w:pPr>
              <w:spacing w:before="0" w:line="240" w:lineRule="atLeast"/>
              <w:rPr>
                <w:rFonts w:ascii="Verdana" w:hAnsi="Verdana"/>
                <w:sz w:val="20"/>
              </w:rPr>
            </w:pPr>
          </w:p>
        </w:tc>
      </w:tr>
      <w:tr w:rsidR="00BB1D82" w:rsidRPr="008C15D6" w14:paraId="41603B84" w14:textId="77777777" w:rsidTr="00BB1D82">
        <w:trPr>
          <w:cantSplit/>
        </w:trPr>
        <w:tc>
          <w:tcPr>
            <w:tcW w:w="6911" w:type="dxa"/>
            <w:gridSpan w:val="2"/>
          </w:tcPr>
          <w:p w14:paraId="284912AF" w14:textId="77777777" w:rsidR="00BB1D82" w:rsidRPr="008C15D6" w:rsidRDefault="006D4724" w:rsidP="00BA5BD0">
            <w:pPr>
              <w:spacing w:before="0"/>
              <w:rPr>
                <w:rFonts w:ascii="Verdana" w:hAnsi="Verdana"/>
                <w:b/>
                <w:sz w:val="20"/>
              </w:rPr>
            </w:pPr>
            <w:r w:rsidRPr="008C15D6">
              <w:rPr>
                <w:rFonts w:ascii="Verdana" w:hAnsi="Verdana"/>
                <w:b/>
                <w:sz w:val="20"/>
              </w:rPr>
              <w:t>SÉANCE PLÉNIÈRE</w:t>
            </w:r>
          </w:p>
        </w:tc>
        <w:tc>
          <w:tcPr>
            <w:tcW w:w="3120" w:type="dxa"/>
            <w:gridSpan w:val="2"/>
          </w:tcPr>
          <w:p w14:paraId="165E794D" w14:textId="77777777" w:rsidR="00BB1D82" w:rsidRPr="008C15D6" w:rsidRDefault="006D4724" w:rsidP="00BA5BD0">
            <w:pPr>
              <w:spacing w:before="0"/>
              <w:rPr>
                <w:rFonts w:ascii="Verdana" w:hAnsi="Verdana"/>
                <w:sz w:val="20"/>
              </w:rPr>
            </w:pPr>
            <w:r w:rsidRPr="008C15D6">
              <w:rPr>
                <w:rFonts w:ascii="Verdana" w:hAnsi="Verdana"/>
                <w:b/>
                <w:sz w:val="20"/>
              </w:rPr>
              <w:t>Addendum 1 au</w:t>
            </w:r>
            <w:r w:rsidRPr="008C15D6">
              <w:rPr>
                <w:rFonts w:ascii="Verdana" w:hAnsi="Verdana"/>
                <w:b/>
                <w:sz w:val="20"/>
              </w:rPr>
              <w:br/>
              <w:t>Document 87(Add.22)</w:t>
            </w:r>
            <w:r w:rsidR="00BB1D82" w:rsidRPr="008C15D6">
              <w:rPr>
                <w:rFonts w:ascii="Verdana" w:hAnsi="Verdana"/>
                <w:b/>
                <w:sz w:val="20"/>
              </w:rPr>
              <w:t>-</w:t>
            </w:r>
            <w:r w:rsidRPr="008C15D6">
              <w:rPr>
                <w:rFonts w:ascii="Verdana" w:hAnsi="Verdana"/>
                <w:b/>
                <w:sz w:val="20"/>
              </w:rPr>
              <w:t>F</w:t>
            </w:r>
          </w:p>
        </w:tc>
      </w:tr>
      <w:bookmarkEnd w:id="0"/>
      <w:tr w:rsidR="00690C7B" w:rsidRPr="008C15D6" w14:paraId="4C52F861" w14:textId="77777777" w:rsidTr="00BB1D82">
        <w:trPr>
          <w:cantSplit/>
        </w:trPr>
        <w:tc>
          <w:tcPr>
            <w:tcW w:w="6911" w:type="dxa"/>
            <w:gridSpan w:val="2"/>
          </w:tcPr>
          <w:p w14:paraId="23D807CE" w14:textId="77777777" w:rsidR="00690C7B" w:rsidRPr="008C15D6" w:rsidRDefault="00690C7B" w:rsidP="00BA5BD0">
            <w:pPr>
              <w:spacing w:before="0"/>
              <w:rPr>
                <w:rFonts w:ascii="Verdana" w:hAnsi="Verdana"/>
                <w:b/>
                <w:sz w:val="20"/>
              </w:rPr>
            </w:pPr>
          </w:p>
        </w:tc>
        <w:tc>
          <w:tcPr>
            <w:tcW w:w="3120" w:type="dxa"/>
            <w:gridSpan w:val="2"/>
          </w:tcPr>
          <w:p w14:paraId="31B01CF0" w14:textId="77777777" w:rsidR="00690C7B" w:rsidRPr="008C15D6" w:rsidRDefault="00690C7B" w:rsidP="00BA5BD0">
            <w:pPr>
              <w:spacing w:before="0"/>
              <w:rPr>
                <w:rFonts w:ascii="Verdana" w:hAnsi="Verdana"/>
                <w:b/>
                <w:sz w:val="20"/>
              </w:rPr>
            </w:pPr>
            <w:r w:rsidRPr="008C15D6">
              <w:rPr>
                <w:rFonts w:ascii="Verdana" w:hAnsi="Verdana"/>
                <w:b/>
                <w:sz w:val="20"/>
              </w:rPr>
              <w:t>23 octobre 2023</w:t>
            </w:r>
          </w:p>
        </w:tc>
      </w:tr>
      <w:tr w:rsidR="00690C7B" w:rsidRPr="008C15D6" w14:paraId="3DC3382A" w14:textId="77777777" w:rsidTr="00BB1D82">
        <w:trPr>
          <w:cantSplit/>
        </w:trPr>
        <w:tc>
          <w:tcPr>
            <w:tcW w:w="6911" w:type="dxa"/>
            <w:gridSpan w:val="2"/>
          </w:tcPr>
          <w:p w14:paraId="260F8F3C" w14:textId="77777777" w:rsidR="00690C7B" w:rsidRPr="008C15D6" w:rsidRDefault="00690C7B" w:rsidP="00BA5BD0">
            <w:pPr>
              <w:spacing w:before="0" w:after="48"/>
              <w:rPr>
                <w:rFonts w:ascii="Verdana" w:hAnsi="Verdana"/>
                <w:b/>
                <w:smallCaps/>
                <w:sz w:val="20"/>
              </w:rPr>
            </w:pPr>
          </w:p>
        </w:tc>
        <w:tc>
          <w:tcPr>
            <w:tcW w:w="3120" w:type="dxa"/>
            <w:gridSpan w:val="2"/>
          </w:tcPr>
          <w:p w14:paraId="3DF6BD26" w14:textId="77777777" w:rsidR="00690C7B" w:rsidRPr="008C15D6" w:rsidRDefault="00690C7B" w:rsidP="00BA5BD0">
            <w:pPr>
              <w:spacing w:before="0"/>
              <w:rPr>
                <w:rFonts w:ascii="Verdana" w:hAnsi="Verdana"/>
                <w:b/>
                <w:sz w:val="20"/>
              </w:rPr>
            </w:pPr>
            <w:r w:rsidRPr="008C15D6">
              <w:rPr>
                <w:rFonts w:ascii="Verdana" w:hAnsi="Verdana"/>
                <w:b/>
                <w:sz w:val="20"/>
              </w:rPr>
              <w:t>Original: anglais</w:t>
            </w:r>
          </w:p>
        </w:tc>
      </w:tr>
      <w:tr w:rsidR="00690C7B" w:rsidRPr="008C15D6" w14:paraId="30FF2449" w14:textId="77777777" w:rsidTr="00C11970">
        <w:trPr>
          <w:cantSplit/>
        </w:trPr>
        <w:tc>
          <w:tcPr>
            <w:tcW w:w="10031" w:type="dxa"/>
            <w:gridSpan w:val="4"/>
          </w:tcPr>
          <w:p w14:paraId="054E898A" w14:textId="77777777" w:rsidR="00690C7B" w:rsidRPr="008C15D6" w:rsidRDefault="00690C7B" w:rsidP="00BA5BD0">
            <w:pPr>
              <w:spacing w:before="0"/>
              <w:rPr>
                <w:rFonts w:ascii="Verdana" w:hAnsi="Verdana"/>
                <w:b/>
                <w:sz w:val="20"/>
              </w:rPr>
            </w:pPr>
          </w:p>
        </w:tc>
      </w:tr>
      <w:tr w:rsidR="00690C7B" w:rsidRPr="008C15D6" w14:paraId="2D8836C0" w14:textId="77777777" w:rsidTr="0050008E">
        <w:trPr>
          <w:cantSplit/>
        </w:trPr>
        <w:tc>
          <w:tcPr>
            <w:tcW w:w="10031" w:type="dxa"/>
            <w:gridSpan w:val="4"/>
          </w:tcPr>
          <w:p w14:paraId="471FE45A" w14:textId="77777777" w:rsidR="00690C7B" w:rsidRPr="008C15D6" w:rsidRDefault="00690C7B" w:rsidP="00690C7B">
            <w:pPr>
              <w:pStyle w:val="Source"/>
            </w:pPr>
            <w:bookmarkStart w:id="1" w:name="dsource" w:colFirst="0" w:colLast="0"/>
            <w:r w:rsidRPr="008C15D6">
              <w:t>Propositions africaines communes</w:t>
            </w:r>
          </w:p>
        </w:tc>
      </w:tr>
      <w:tr w:rsidR="00690C7B" w:rsidRPr="008C15D6" w14:paraId="3D31839E" w14:textId="77777777" w:rsidTr="0050008E">
        <w:trPr>
          <w:cantSplit/>
        </w:trPr>
        <w:tc>
          <w:tcPr>
            <w:tcW w:w="10031" w:type="dxa"/>
            <w:gridSpan w:val="4"/>
          </w:tcPr>
          <w:p w14:paraId="5DA9265C" w14:textId="4BEB08E2" w:rsidR="00690C7B" w:rsidRPr="008C15D6" w:rsidRDefault="007500C1" w:rsidP="00690C7B">
            <w:pPr>
              <w:pStyle w:val="Title1"/>
            </w:pPr>
            <w:bookmarkStart w:id="2" w:name="dtitle1" w:colFirst="0" w:colLast="0"/>
            <w:bookmarkEnd w:id="1"/>
            <w:r w:rsidRPr="008C15D6">
              <w:rPr>
                <w:rStyle w:val="ui-provider"/>
              </w:rPr>
              <w:t>Propositions pour les travaux de la Conférence</w:t>
            </w:r>
          </w:p>
        </w:tc>
      </w:tr>
      <w:tr w:rsidR="00690C7B" w:rsidRPr="008C15D6" w14:paraId="3BA548B1" w14:textId="77777777" w:rsidTr="0050008E">
        <w:trPr>
          <w:cantSplit/>
        </w:trPr>
        <w:tc>
          <w:tcPr>
            <w:tcW w:w="10031" w:type="dxa"/>
            <w:gridSpan w:val="4"/>
          </w:tcPr>
          <w:p w14:paraId="2F932954" w14:textId="77777777" w:rsidR="00690C7B" w:rsidRPr="008C15D6" w:rsidRDefault="00690C7B" w:rsidP="00690C7B">
            <w:pPr>
              <w:pStyle w:val="Title2"/>
            </w:pPr>
            <w:bookmarkStart w:id="3" w:name="dtitle2" w:colFirst="0" w:colLast="0"/>
            <w:bookmarkEnd w:id="2"/>
          </w:p>
        </w:tc>
      </w:tr>
      <w:tr w:rsidR="00690C7B" w:rsidRPr="008C15D6" w14:paraId="6411D8CD" w14:textId="77777777" w:rsidTr="0050008E">
        <w:trPr>
          <w:cantSplit/>
        </w:trPr>
        <w:tc>
          <w:tcPr>
            <w:tcW w:w="10031" w:type="dxa"/>
            <w:gridSpan w:val="4"/>
          </w:tcPr>
          <w:p w14:paraId="4EE28B96" w14:textId="77777777" w:rsidR="00690C7B" w:rsidRPr="008C15D6" w:rsidRDefault="00690C7B" w:rsidP="00690C7B">
            <w:pPr>
              <w:pStyle w:val="Agendaitem"/>
              <w:rPr>
                <w:lang w:val="fr-FR"/>
              </w:rPr>
            </w:pPr>
            <w:bookmarkStart w:id="4" w:name="dtitle3" w:colFirst="0" w:colLast="0"/>
            <w:bookmarkEnd w:id="3"/>
            <w:r w:rsidRPr="008C15D6">
              <w:rPr>
                <w:lang w:val="fr-FR"/>
              </w:rPr>
              <w:t>Point 7(A) de l'ordre du jour</w:t>
            </w:r>
          </w:p>
        </w:tc>
      </w:tr>
    </w:tbl>
    <w:bookmarkEnd w:id="4"/>
    <w:p w14:paraId="1BB70C1D" w14:textId="77777777" w:rsidR="00206E65" w:rsidRPr="008C15D6" w:rsidRDefault="00206E65" w:rsidP="00783A6F">
      <w:r w:rsidRPr="008C15D6">
        <w:t>7</w:t>
      </w:r>
      <w:r w:rsidRPr="008C15D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C15D6">
        <w:rPr>
          <w:b/>
          <w:bCs/>
        </w:rPr>
        <w:t>86 (Rév.CMR-07)</w:t>
      </w:r>
      <w:r w:rsidRPr="008C15D6">
        <w:t>, afin de faciliter l'utilisation rationnelle, efficace et économique des fréquences radioélectriques et des orbites associées, y compris de l'orbite des satellites géostationnaires;</w:t>
      </w:r>
    </w:p>
    <w:p w14:paraId="58586DA1" w14:textId="77777777" w:rsidR="00206E65" w:rsidRPr="008C15D6" w:rsidRDefault="00206E65" w:rsidP="006D140A">
      <w:r w:rsidRPr="008C15D6">
        <w:t>7(A)</w:t>
      </w:r>
      <w:r w:rsidRPr="008C15D6">
        <w:tab/>
        <w:t>Question A – Tolérances pour certaines caractéristiques orbitales des stations spatiales non OSG du SFS, du SRS ou du SMS</w:t>
      </w:r>
    </w:p>
    <w:p w14:paraId="6FE67407" w14:textId="77777777" w:rsidR="0015203F" w:rsidRPr="008C15D6" w:rsidRDefault="0015203F">
      <w:pPr>
        <w:tabs>
          <w:tab w:val="clear" w:pos="1134"/>
          <w:tab w:val="clear" w:pos="1871"/>
          <w:tab w:val="clear" w:pos="2268"/>
        </w:tabs>
        <w:overflowPunct/>
        <w:autoSpaceDE/>
        <w:autoSpaceDN/>
        <w:adjustRightInd/>
        <w:spacing w:before="0"/>
        <w:textAlignment w:val="auto"/>
      </w:pPr>
      <w:r w:rsidRPr="008C15D6">
        <w:br w:type="page"/>
      </w:r>
    </w:p>
    <w:p w14:paraId="76FE1ADD" w14:textId="77777777" w:rsidR="00206E65" w:rsidRPr="008C15D6" w:rsidRDefault="00206E65" w:rsidP="00517540">
      <w:pPr>
        <w:pStyle w:val="ArtNo"/>
        <w:spacing w:before="0"/>
      </w:pPr>
      <w:bookmarkStart w:id="5" w:name="_Toc455752927"/>
      <w:bookmarkStart w:id="6" w:name="_Toc455756166"/>
      <w:r w:rsidRPr="008C15D6">
        <w:lastRenderedPageBreak/>
        <w:t xml:space="preserve">ARTICLE </w:t>
      </w:r>
      <w:r w:rsidRPr="008C15D6">
        <w:rPr>
          <w:rStyle w:val="href"/>
        </w:rPr>
        <w:t>11</w:t>
      </w:r>
      <w:bookmarkEnd w:id="5"/>
      <w:bookmarkEnd w:id="6"/>
    </w:p>
    <w:p w14:paraId="0D5986E6" w14:textId="49B667E0" w:rsidR="00206E65" w:rsidRPr="008C15D6" w:rsidRDefault="00206E65" w:rsidP="004D01BC">
      <w:pPr>
        <w:pStyle w:val="Arttitle"/>
        <w:spacing w:before="120"/>
      </w:pPr>
      <w:bookmarkStart w:id="7" w:name="_Toc35933675"/>
      <w:r w:rsidRPr="008C15D6">
        <w:t>Notification et inscription des assignations</w:t>
      </w:r>
      <w:r w:rsidRPr="008C15D6">
        <w:br/>
        <w:t>de fréquence</w:t>
      </w:r>
      <w:r w:rsidRPr="008C15D6">
        <w:rPr>
          <w:rStyle w:val="FootnoteReference"/>
          <w:b w:val="0"/>
          <w:bCs/>
        </w:rPr>
        <w:t>1, 2, 3, 4, 5, 6, 7</w:t>
      </w:r>
      <w:r w:rsidRPr="008C15D6">
        <w:rPr>
          <w:b w:val="0"/>
          <w:bCs/>
          <w:sz w:val="16"/>
          <w:szCs w:val="16"/>
        </w:rPr>
        <w:t>    </w:t>
      </w:r>
      <w:r w:rsidR="007500C1" w:rsidRPr="008C15D6">
        <w:rPr>
          <w:b w:val="0"/>
          <w:bCs/>
          <w:sz w:val="16"/>
          <w:szCs w:val="16"/>
        </w:rPr>
        <w:t> </w:t>
      </w:r>
      <w:r w:rsidRPr="008C15D6">
        <w:rPr>
          <w:b w:val="0"/>
          <w:sz w:val="16"/>
          <w:szCs w:val="16"/>
        </w:rPr>
        <w:t>(CMR</w:t>
      </w:r>
      <w:r w:rsidRPr="008C15D6">
        <w:rPr>
          <w:b w:val="0"/>
          <w:sz w:val="16"/>
          <w:szCs w:val="16"/>
        </w:rPr>
        <w:noBreakHyphen/>
        <w:t>19)</w:t>
      </w:r>
      <w:bookmarkEnd w:id="7"/>
    </w:p>
    <w:p w14:paraId="3E98EDB6" w14:textId="77777777" w:rsidR="00206E65" w:rsidRPr="008C15D6" w:rsidRDefault="00206E65" w:rsidP="008D5FFA">
      <w:pPr>
        <w:pStyle w:val="Section1"/>
      </w:pPr>
      <w:r w:rsidRPr="008C15D6">
        <w:t>Section II – Examen des fiches de notification et inscription des</w:t>
      </w:r>
      <w:r w:rsidRPr="008C15D6">
        <w:br/>
        <w:t>assignations de fréquence dans le Fichier de référence</w:t>
      </w:r>
    </w:p>
    <w:p w14:paraId="0BE435E3" w14:textId="77777777" w:rsidR="00253367" w:rsidRPr="008C15D6" w:rsidRDefault="00206E65">
      <w:pPr>
        <w:pStyle w:val="Proposal"/>
      </w:pPr>
      <w:r w:rsidRPr="008C15D6">
        <w:t>MOD</w:t>
      </w:r>
      <w:r w:rsidRPr="008C15D6">
        <w:tab/>
        <w:t>AFCP/87A22A1/1</w:t>
      </w:r>
      <w:r w:rsidRPr="008C15D6">
        <w:rPr>
          <w:vanish/>
          <w:color w:val="7F7F7F" w:themeColor="text1" w:themeTint="80"/>
          <w:vertAlign w:val="superscript"/>
        </w:rPr>
        <w:t>#1967</w:t>
      </w:r>
    </w:p>
    <w:p w14:paraId="4CF405FA" w14:textId="77777777" w:rsidR="00206E65" w:rsidRPr="008C15D6" w:rsidRDefault="00206E65" w:rsidP="00756C3A">
      <w:r w:rsidRPr="008C15D6">
        <w:rPr>
          <w:rStyle w:val="Artdef"/>
        </w:rPr>
        <w:t>11.44C</w:t>
      </w:r>
      <w:r w:rsidRPr="008C15D6">
        <w:rPr>
          <w:rStyle w:val="Artdef"/>
        </w:rPr>
        <w:tab/>
      </w:r>
      <w:r w:rsidRPr="008C15D6">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e" w:date="2023-05-05T14:52:00Z">
        <w:r w:rsidRPr="008C15D6">
          <w:rPr>
            <w:rStyle w:val="FootnoteReference"/>
          </w:rPr>
          <w:t>MOD</w:t>
        </w:r>
      </w:ins>
      <w:r w:rsidRPr="008C15D6">
        <w:rPr>
          <w:rStyle w:val="FootnoteReference"/>
        </w:rPr>
        <w:t xml:space="preserve"> 27</w:t>
      </w:r>
      <w:r w:rsidRPr="008C15D6">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8C15D6">
        <w:rPr>
          <w:rStyle w:val="FootnoteReference"/>
        </w:rPr>
        <w:t>25, 28, 29</w:t>
      </w:r>
      <w:r w:rsidRPr="008C15D6">
        <w:t>. Lorsqu'il reçoit les renseignements envoyés au titre de la présente disposition, le Bureau les met à disposition sur le site web de l'UIT dès que possible et les publie par la suite dans la BR IFIC.</w:t>
      </w:r>
      <w:r w:rsidRPr="008C15D6">
        <w:rPr>
          <w:sz w:val="16"/>
          <w:szCs w:val="16"/>
        </w:rPr>
        <w:t>     (CMR-</w:t>
      </w:r>
      <w:del w:id="9" w:author="Frenche" w:date="2023-05-05T14:52:00Z">
        <w:r w:rsidRPr="008C15D6" w:rsidDel="009D727F">
          <w:rPr>
            <w:sz w:val="16"/>
            <w:szCs w:val="16"/>
          </w:rPr>
          <w:delText>19</w:delText>
        </w:r>
      </w:del>
      <w:ins w:id="10" w:author="Frenche" w:date="2023-05-05T14:52:00Z">
        <w:r w:rsidRPr="008C15D6">
          <w:rPr>
            <w:sz w:val="16"/>
            <w:szCs w:val="16"/>
          </w:rPr>
          <w:t>23</w:t>
        </w:r>
      </w:ins>
      <w:r w:rsidRPr="008C15D6">
        <w:rPr>
          <w:sz w:val="16"/>
          <w:szCs w:val="16"/>
        </w:rPr>
        <w:t>)</w:t>
      </w:r>
    </w:p>
    <w:p w14:paraId="489630B8" w14:textId="77777777" w:rsidR="00253367" w:rsidRPr="008C15D6" w:rsidRDefault="00253367">
      <w:pPr>
        <w:pStyle w:val="Reasons"/>
      </w:pPr>
    </w:p>
    <w:p w14:paraId="44D7E812" w14:textId="77777777" w:rsidR="00253367" w:rsidRPr="008C15D6" w:rsidRDefault="00206E65">
      <w:pPr>
        <w:pStyle w:val="Proposal"/>
      </w:pPr>
      <w:r w:rsidRPr="008C15D6">
        <w:t>MOD</w:t>
      </w:r>
      <w:r w:rsidRPr="008C15D6">
        <w:tab/>
        <w:t>AFCP/87A22A1/2</w:t>
      </w:r>
      <w:r w:rsidRPr="008C15D6">
        <w:rPr>
          <w:vanish/>
          <w:color w:val="7F7F7F" w:themeColor="text1" w:themeTint="80"/>
          <w:vertAlign w:val="superscript"/>
        </w:rPr>
        <w:t>#1968</w:t>
      </w:r>
    </w:p>
    <w:p w14:paraId="29EEE397" w14:textId="77777777" w:rsidR="00206E65" w:rsidRPr="008C15D6" w:rsidRDefault="00206E65" w:rsidP="00756C3A">
      <w:r w:rsidRPr="008C15D6">
        <w:t>_______________</w:t>
      </w:r>
    </w:p>
    <w:p w14:paraId="4C9DE4A8" w14:textId="4569A3FE" w:rsidR="00206E65" w:rsidRPr="008C15D6" w:rsidRDefault="00206E65" w:rsidP="00756C3A">
      <w:pPr>
        <w:pStyle w:val="FootnoteText"/>
        <w:rPr>
          <w:sz w:val="16"/>
          <w:szCs w:val="16"/>
        </w:rPr>
      </w:pPr>
      <w:r w:rsidRPr="008C15D6">
        <w:rPr>
          <w:rStyle w:val="FootnoteReference"/>
        </w:rPr>
        <w:t>27</w:t>
      </w:r>
      <w:r w:rsidRPr="008C15D6">
        <w:rPr>
          <w:rStyle w:val="FootnoteReference"/>
        </w:rPr>
        <w:tab/>
      </w:r>
      <w:r w:rsidRPr="008C15D6">
        <w:rPr>
          <w:rStyle w:val="Artdef"/>
          <w:bCs/>
        </w:rPr>
        <w:t>11.44C.1</w:t>
      </w:r>
      <w:r w:rsidRPr="008C15D6">
        <w:rPr>
          <w:bCs/>
        </w:rPr>
        <w:t xml:space="preserve"> et </w:t>
      </w:r>
      <w:r w:rsidRPr="008C15D6">
        <w:rPr>
          <w:b/>
        </w:rPr>
        <w:t>11.44D.1</w:t>
      </w:r>
      <w:r w:rsidRPr="008C15D6">
        <w:tab/>
        <w:t xml:space="preserve">Aux fins du numéro </w:t>
      </w:r>
      <w:r w:rsidRPr="008C15D6">
        <w:rPr>
          <w:b/>
          <w:bCs/>
        </w:rPr>
        <w:t>11.44C</w:t>
      </w:r>
      <w:r w:rsidRPr="008C15D6">
        <w:t xml:space="preserve"> ou </w:t>
      </w:r>
      <w:r w:rsidRPr="008C15D6">
        <w:rPr>
          <w:b/>
          <w:bCs/>
        </w:rPr>
        <w:t>11.44D</w:t>
      </w:r>
      <w:r w:rsidRPr="008C15D6">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8C15D6">
        <w:rPr>
          <w:b/>
          <w:bCs/>
        </w:rPr>
        <w:t>4</w:t>
      </w:r>
      <w:r w:rsidRPr="008C15D6">
        <w:t>.</w:t>
      </w:r>
      <w:ins w:id="11" w:author="french" w:date="2022-10-19T14:26:00Z">
        <w:r w:rsidRPr="008C15D6">
          <w:t xml:space="preserve"> </w:t>
        </w:r>
      </w:ins>
      <w:ins w:id="12" w:author="french" w:date="2022-11-02T10:00:00Z">
        <w:r w:rsidRPr="008C15D6">
          <w:t xml:space="preserve">Aux fins du numéro </w:t>
        </w:r>
      </w:ins>
      <w:ins w:id="13" w:author="french" w:date="2022-11-02T10:01:00Z">
        <w:r w:rsidRPr="008C15D6">
          <w:rPr>
            <w:b/>
            <w:bCs/>
          </w:rPr>
          <w:t>11.44C</w:t>
        </w:r>
        <w:r w:rsidRPr="008C15D6">
          <w:t xml:space="preserve">, la Résolution </w:t>
        </w:r>
        <w:r w:rsidRPr="008C15D6">
          <w:rPr>
            <w:b/>
            <w:bCs/>
          </w:rPr>
          <w:t>[</w:t>
        </w:r>
      </w:ins>
      <w:ins w:id="14" w:author="Tozzi Alarcon, Claudia" w:date="2023-10-30T08:48:00Z">
        <w:r w:rsidR="007500C1" w:rsidRPr="008C15D6">
          <w:rPr>
            <w:b/>
            <w:bCs/>
          </w:rPr>
          <w:t>AFCP</w:t>
        </w:r>
      </w:ins>
      <w:ins w:id="15" w:author="french" w:date="2023-11-08T17:41:00Z">
        <w:r w:rsidR="00172CF9" w:rsidRPr="008C15D6">
          <w:rPr>
            <w:b/>
            <w:bCs/>
          </w:rPr>
          <w:noBreakHyphen/>
        </w:r>
      </w:ins>
      <w:ins w:id="16" w:author="french" w:date="2022-11-02T10:01:00Z">
        <w:r w:rsidRPr="008C15D6">
          <w:rPr>
            <w:b/>
            <w:bCs/>
          </w:rPr>
          <w:t>A7(A)</w:t>
        </w:r>
      </w:ins>
      <w:ins w:id="17" w:author="french" w:date="2022-11-17T14:59:00Z">
        <w:r w:rsidRPr="008C15D6">
          <w:rPr>
            <w:b/>
            <w:bCs/>
          </w:rPr>
          <w:noBreakHyphen/>
        </w:r>
      </w:ins>
      <w:ins w:id="18" w:author="french" w:date="2022-11-02T10:01:00Z">
        <w:r w:rsidRPr="008C15D6">
          <w:rPr>
            <w:b/>
            <w:bCs/>
          </w:rPr>
          <w:t>NGSO-FSS-BSS-MSS-Tolerance] (CMR-23)</w:t>
        </w:r>
        <w:r w:rsidRPr="008C15D6">
          <w:t xml:space="preserve"> s'applique également aux stations spa</w:t>
        </w:r>
      </w:ins>
      <w:ins w:id="19" w:author="french" w:date="2022-11-02T10:02:00Z">
        <w:r w:rsidRPr="008C15D6">
          <w:t xml:space="preserve">tiales d'un système </w:t>
        </w:r>
      </w:ins>
      <w:ins w:id="20" w:author="french" w:date="2022-11-02T10:19:00Z">
        <w:r w:rsidRPr="008C15D6">
          <w:t>non OSG</w:t>
        </w:r>
      </w:ins>
      <w:ins w:id="21" w:author="french" w:date="2022-11-02T12:19:00Z">
        <w:r w:rsidRPr="008C15D6">
          <w:t xml:space="preserve"> </w:t>
        </w:r>
      </w:ins>
      <w:ins w:id="22" w:author="french" w:date="2022-11-02T10:18:00Z">
        <w:r w:rsidRPr="008C15D6">
          <w:t>du</w:t>
        </w:r>
      </w:ins>
      <w:ins w:id="23" w:author="french" w:date="2022-11-02T10:58:00Z">
        <w:r w:rsidRPr="008C15D6">
          <w:t xml:space="preserve"> SFS, du SRS ou du</w:t>
        </w:r>
      </w:ins>
      <w:ins w:id="24" w:author="french" w:date="2022-11-02T10:18:00Z">
        <w:r w:rsidRPr="008C15D6">
          <w:t xml:space="preserve"> SMS</w:t>
        </w:r>
      </w:ins>
      <w:ins w:id="25" w:author="french" w:date="2022-11-02T10:19:00Z">
        <w:r w:rsidRPr="008C15D6">
          <w:t>.</w:t>
        </w:r>
      </w:ins>
      <w:r w:rsidRPr="008C15D6">
        <w:rPr>
          <w:sz w:val="16"/>
          <w:szCs w:val="16"/>
        </w:rPr>
        <w:t>     (CMR</w:t>
      </w:r>
      <w:r w:rsidRPr="008C15D6">
        <w:rPr>
          <w:sz w:val="16"/>
          <w:szCs w:val="16"/>
        </w:rPr>
        <w:noBreakHyphen/>
      </w:r>
      <w:del w:id="26" w:author="french" w:date="2022-10-19T14:26:00Z">
        <w:r w:rsidRPr="008C15D6" w:rsidDel="00CD3EE6">
          <w:rPr>
            <w:sz w:val="16"/>
            <w:szCs w:val="16"/>
          </w:rPr>
          <w:delText>19</w:delText>
        </w:r>
      </w:del>
      <w:ins w:id="27" w:author="french" w:date="2022-10-19T14:26:00Z">
        <w:r w:rsidRPr="008C15D6">
          <w:rPr>
            <w:sz w:val="16"/>
            <w:szCs w:val="16"/>
          </w:rPr>
          <w:t>23</w:t>
        </w:r>
      </w:ins>
      <w:r w:rsidRPr="008C15D6">
        <w:rPr>
          <w:sz w:val="16"/>
          <w:szCs w:val="16"/>
        </w:rPr>
        <w:t>)</w:t>
      </w:r>
    </w:p>
    <w:p w14:paraId="6059E1D6" w14:textId="77777777" w:rsidR="00253367" w:rsidRPr="008C15D6" w:rsidRDefault="00253367">
      <w:pPr>
        <w:pStyle w:val="Reasons"/>
      </w:pPr>
    </w:p>
    <w:p w14:paraId="7339C2A7" w14:textId="77777777" w:rsidR="00253367" w:rsidRPr="008C15D6" w:rsidRDefault="00206E65">
      <w:pPr>
        <w:pStyle w:val="Proposal"/>
      </w:pPr>
      <w:r w:rsidRPr="008C15D6">
        <w:t>MOD</w:t>
      </w:r>
      <w:r w:rsidRPr="008C15D6">
        <w:tab/>
        <w:t>AFCP/87A22A1/3</w:t>
      </w:r>
      <w:r w:rsidRPr="008C15D6">
        <w:rPr>
          <w:vanish/>
          <w:color w:val="7F7F7F" w:themeColor="text1" w:themeTint="80"/>
          <w:vertAlign w:val="superscript"/>
        </w:rPr>
        <w:t>#1969</w:t>
      </w:r>
    </w:p>
    <w:p w14:paraId="09ED80CD" w14:textId="77777777" w:rsidR="00206E65" w:rsidRPr="008C15D6" w:rsidRDefault="00206E65" w:rsidP="00756C3A">
      <w:r w:rsidRPr="008C15D6">
        <w:rPr>
          <w:rStyle w:val="Artdef"/>
        </w:rPr>
        <w:t>11.49</w:t>
      </w:r>
      <w:r w:rsidRPr="008C15D6">
        <w:tab/>
      </w:r>
      <w:r w:rsidRPr="008C15D6">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8C15D6">
        <w:rPr>
          <w:b/>
          <w:bCs/>
        </w:rPr>
        <w:t>11.49.1</w:t>
      </w:r>
      <w:r w:rsidRPr="008C15D6">
        <w:t xml:space="preserve">, </w:t>
      </w:r>
      <w:r w:rsidRPr="008C15D6">
        <w:rPr>
          <w:b/>
          <w:bCs/>
        </w:rPr>
        <w:t>11.49.2</w:t>
      </w:r>
      <w:r w:rsidRPr="008C15D6">
        <w:t xml:space="preserve">, </w:t>
      </w:r>
      <w:r w:rsidRPr="008C15D6">
        <w:rPr>
          <w:b/>
          <w:bCs/>
        </w:rPr>
        <w:t>11.49.3</w:t>
      </w:r>
      <w:r w:rsidRPr="008C15D6">
        <w:t xml:space="preserve"> ou </w:t>
      </w:r>
      <w:r w:rsidRPr="008C15D6">
        <w:rPr>
          <w:b/>
          <w:bCs/>
        </w:rPr>
        <w:t>11.49.4</w:t>
      </w:r>
      <w:r w:rsidRPr="008C15D6">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8C15D6">
        <w:rPr>
          <w:rStyle w:val="FootnoteReference"/>
        </w:rPr>
        <w:t xml:space="preserve">32, 33, 34, 35, </w:t>
      </w:r>
      <w:ins w:id="28" w:author="french" w:date="2022-10-19T14:28:00Z">
        <w:r w:rsidRPr="008C15D6">
          <w:rPr>
            <w:rStyle w:val="FootnoteReference"/>
          </w:rPr>
          <w:t xml:space="preserve">MOD </w:t>
        </w:r>
      </w:ins>
      <w:r w:rsidRPr="008C15D6">
        <w:rPr>
          <w:rStyle w:val="FootnoteReference"/>
        </w:rPr>
        <w:t>36</w:t>
      </w:r>
      <w:r w:rsidRPr="008C15D6">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w:t>
      </w:r>
      <w:r w:rsidRPr="008C15D6">
        <w:lastRenderedPageBreak/>
        <w:t>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 déclaration du début de la période de remise en service dans les trente jours suivant la date limite de la période de suspension établie conformément à la présente disposition, le Bureau procède à l'annulation de l'inscription dans le Fichier de référence. Toutefois, le Bureau informe l'administration concernée avant de prendre une telle mesure.</w:t>
      </w:r>
      <w:r w:rsidRPr="008C15D6">
        <w:rPr>
          <w:sz w:val="16"/>
          <w:szCs w:val="16"/>
        </w:rPr>
        <w:t>     (CMR</w:t>
      </w:r>
      <w:r w:rsidRPr="008C15D6">
        <w:rPr>
          <w:sz w:val="16"/>
          <w:szCs w:val="16"/>
        </w:rPr>
        <w:noBreakHyphen/>
      </w:r>
      <w:del w:id="29" w:author="french" w:date="2022-10-19T14:29:00Z">
        <w:r w:rsidRPr="008C15D6" w:rsidDel="00CD3EE6">
          <w:rPr>
            <w:sz w:val="16"/>
            <w:szCs w:val="16"/>
          </w:rPr>
          <w:delText>19</w:delText>
        </w:r>
      </w:del>
      <w:ins w:id="30" w:author="french" w:date="2022-10-19T14:29:00Z">
        <w:r w:rsidRPr="008C15D6">
          <w:rPr>
            <w:sz w:val="16"/>
            <w:szCs w:val="16"/>
          </w:rPr>
          <w:t>23</w:t>
        </w:r>
      </w:ins>
      <w:r w:rsidRPr="008C15D6">
        <w:rPr>
          <w:sz w:val="16"/>
          <w:szCs w:val="16"/>
        </w:rPr>
        <w:t>)</w:t>
      </w:r>
    </w:p>
    <w:p w14:paraId="7772DCF6" w14:textId="77777777" w:rsidR="00253367" w:rsidRPr="008C15D6" w:rsidRDefault="00253367">
      <w:pPr>
        <w:pStyle w:val="Reasons"/>
      </w:pPr>
    </w:p>
    <w:p w14:paraId="0C93B4D1" w14:textId="77777777" w:rsidR="00253367" w:rsidRPr="008C15D6" w:rsidRDefault="00206E65">
      <w:pPr>
        <w:pStyle w:val="Proposal"/>
      </w:pPr>
      <w:r w:rsidRPr="008C15D6">
        <w:t>MOD</w:t>
      </w:r>
      <w:r w:rsidRPr="008C15D6">
        <w:tab/>
        <w:t>AFCP/87A22A1/4</w:t>
      </w:r>
      <w:r w:rsidRPr="008C15D6">
        <w:rPr>
          <w:vanish/>
          <w:color w:val="7F7F7F" w:themeColor="text1" w:themeTint="80"/>
          <w:vertAlign w:val="superscript"/>
        </w:rPr>
        <w:t>#1970</w:t>
      </w:r>
    </w:p>
    <w:p w14:paraId="198C7BB0" w14:textId="77777777" w:rsidR="00206E65" w:rsidRPr="008C15D6" w:rsidRDefault="00206E65" w:rsidP="00756C3A">
      <w:pPr>
        <w:keepNext/>
        <w:keepLines/>
      </w:pPr>
      <w:r w:rsidRPr="008C15D6">
        <w:t>_______________</w:t>
      </w:r>
    </w:p>
    <w:p w14:paraId="3D71C689" w14:textId="133438C2" w:rsidR="00206E65" w:rsidRPr="008C15D6" w:rsidRDefault="00206E65" w:rsidP="00756C3A">
      <w:pPr>
        <w:pStyle w:val="FootnoteText"/>
        <w:keepNext/>
      </w:pPr>
      <w:r w:rsidRPr="008C15D6">
        <w:rPr>
          <w:rStyle w:val="FootnoteReference"/>
        </w:rPr>
        <w:t>36</w:t>
      </w:r>
      <w:r w:rsidRPr="008C15D6">
        <w:tab/>
      </w:r>
      <w:r w:rsidRPr="008C15D6">
        <w:rPr>
          <w:rStyle w:val="Artdef"/>
          <w:bCs/>
        </w:rPr>
        <w:t>11.49.5</w:t>
      </w:r>
      <w:r w:rsidRPr="008C15D6">
        <w:tab/>
        <w:t>Aux fins des numéros </w:t>
      </w:r>
      <w:r w:rsidRPr="008C15D6">
        <w:rPr>
          <w:b/>
          <w:bCs/>
        </w:rPr>
        <w:t xml:space="preserve">11.49.2 </w:t>
      </w:r>
      <w:r w:rsidRPr="008C15D6">
        <w:t xml:space="preserve">et </w:t>
      </w:r>
      <w:r w:rsidRPr="008C15D6">
        <w:rPr>
          <w:b/>
          <w:bCs/>
        </w:rPr>
        <w:t>11.49.3</w:t>
      </w:r>
      <w:r w:rsidRPr="008C15D6">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8C15D6">
        <w:rPr>
          <w:b/>
          <w:bCs/>
        </w:rPr>
        <w:t>4</w:t>
      </w:r>
      <w:r w:rsidRPr="008C15D6">
        <w:t>.</w:t>
      </w:r>
      <w:ins w:id="31" w:author="french" w:date="2022-10-19T14:29:00Z">
        <w:r w:rsidRPr="008C15D6">
          <w:t xml:space="preserve"> </w:t>
        </w:r>
      </w:ins>
      <w:ins w:id="32" w:author="french" w:date="2022-11-02T10:59:00Z">
        <w:r w:rsidRPr="008C15D6">
          <w:t xml:space="preserve">Aux fins du numéro </w:t>
        </w:r>
        <w:r w:rsidRPr="008C15D6">
          <w:rPr>
            <w:b/>
            <w:bCs/>
          </w:rPr>
          <w:t>11.49.2</w:t>
        </w:r>
        <w:r w:rsidRPr="008C15D6">
          <w:t xml:space="preserve">, la Résolution </w:t>
        </w:r>
        <w:r w:rsidRPr="008C15D6">
          <w:rPr>
            <w:b/>
            <w:bCs/>
          </w:rPr>
          <w:t>[</w:t>
        </w:r>
      </w:ins>
      <w:ins w:id="33" w:author="Tozzi Alarcon, Claudia" w:date="2023-10-30T08:48:00Z">
        <w:r w:rsidR="007500C1" w:rsidRPr="008C15D6">
          <w:rPr>
            <w:b/>
            <w:bCs/>
          </w:rPr>
          <w:t>AFCP</w:t>
        </w:r>
      </w:ins>
      <w:ins w:id="34" w:author="french" w:date="2023-11-08T17:41:00Z">
        <w:r w:rsidR="00172CF9" w:rsidRPr="008C15D6">
          <w:rPr>
            <w:b/>
            <w:bCs/>
          </w:rPr>
          <w:noBreakHyphen/>
        </w:r>
      </w:ins>
      <w:ins w:id="35" w:author="french" w:date="2022-11-02T10:59:00Z">
        <w:r w:rsidRPr="008C15D6">
          <w:rPr>
            <w:b/>
            <w:bCs/>
          </w:rPr>
          <w:t>A7(A)</w:t>
        </w:r>
      </w:ins>
      <w:ins w:id="36" w:author="french" w:date="2022-11-17T15:07:00Z">
        <w:r w:rsidRPr="008C15D6">
          <w:rPr>
            <w:b/>
            <w:bCs/>
          </w:rPr>
          <w:noBreakHyphen/>
        </w:r>
      </w:ins>
      <w:ins w:id="37" w:author="french" w:date="2022-11-02T10:59:00Z">
        <w:r w:rsidRPr="008C15D6">
          <w:rPr>
            <w:b/>
            <w:bCs/>
          </w:rPr>
          <w:t>NGSO</w:t>
        </w:r>
      </w:ins>
      <w:ins w:id="38" w:author="french" w:date="2022-11-17T15:07:00Z">
        <w:r w:rsidRPr="008C15D6">
          <w:rPr>
            <w:b/>
            <w:bCs/>
          </w:rPr>
          <w:noBreakHyphen/>
        </w:r>
      </w:ins>
      <w:ins w:id="39" w:author="french" w:date="2022-11-02T10:59:00Z">
        <w:r w:rsidRPr="008C15D6">
          <w:rPr>
            <w:b/>
            <w:bCs/>
          </w:rPr>
          <w:t>FSS</w:t>
        </w:r>
      </w:ins>
      <w:ins w:id="40" w:author="french" w:date="2022-11-17T15:07:00Z">
        <w:r w:rsidRPr="008C15D6">
          <w:rPr>
            <w:b/>
            <w:bCs/>
          </w:rPr>
          <w:noBreakHyphen/>
        </w:r>
      </w:ins>
      <w:ins w:id="41" w:author="french" w:date="2022-11-02T10:59:00Z">
        <w:r w:rsidRPr="008C15D6">
          <w:rPr>
            <w:b/>
            <w:bCs/>
          </w:rPr>
          <w:t>BSS</w:t>
        </w:r>
      </w:ins>
      <w:ins w:id="42" w:author="french" w:date="2022-11-17T15:06:00Z">
        <w:r w:rsidRPr="008C15D6">
          <w:rPr>
            <w:b/>
            <w:bCs/>
          </w:rPr>
          <w:noBreakHyphen/>
        </w:r>
      </w:ins>
      <w:ins w:id="43" w:author="french" w:date="2022-11-02T10:59:00Z">
        <w:r w:rsidRPr="008C15D6">
          <w:rPr>
            <w:b/>
            <w:bCs/>
          </w:rPr>
          <w:t>MSS</w:t>
        </w:r>
      </w:ins>
      <w:ins w:id="44" w:author="french" w:date="2022-11-17T15:06:00Z">
        <w:r w:rsidRPr="008C15D6">
          <w:rPr>
            <w:b/>
            <w:bCs/>
          </w:rPr>
          <w:noBreakHyphen/>
        </w:r>
      </w:ins>
      <w:ins w:id="45" w:author="french" w:date="2022-11-02T10:59:00Z">
        <w:r w:rsidRPr="008C15D6">
          <w:rPr>
            <w:b/>
            <w:bCs/>
          </w:rPr>
          <w:t>Tolerance] (CMR-23)</w:t>
        </w:r>
        <w:r w:rsidRPr="008C15D6">
          <w:t xml:space="preserve"> s'applique également aux stations spatiales d'un système non OSG</w:t>
        </w:r>
      </w:ins>
      <w:ins w:id="46" w:author="french" w:date="2022-11-02T12:18:00Z">
        <w:r w:rsidRPr="008C15D6">
          <w:t xml:space="preserve"> </w:t>
        </w:r>
      </w:ins>
      <w:ins w:id="47" w:author="french" w:date="2022-11-02T10:59:00Z">
        <w:r w:rsidRPr="008C15D6">
          <w:t>du SFS, du SRS ou du SMS</w:t>
        </w:r>
      </w:ins>
      <w:ins w:id="48" w:author="french" w:date="2022-10-19T14:29:00Z">
        <w:r w:rsidRPr="008C15D6">
          <w:t>.</w:t>
        </w:r>
      </w:ins>
      <w:r w:rsidRPr="008C15D6">
        <w:rPr>
          <w:sz w:val="16"/>
          <w:szCs w:val="16"/>
        </w:rPr>
        <w:t>     (CMR</w:t>
      </w:r>
      <w:r w:rsidRPr="008C15D6">
        <w:rPr>
          <w:sz w:val="16"/>
          <w:szCs w:val="16"/>
        </w:rPr>
        <w:noBreakHyphen/>
      </w:r>
      <w:del w:id="49" w:author="french" w:date="2022-10-19T14:29:00Z">
        <w:r w:rsidRPr="008C15D6" w:rsidDel="00CD3EE6">
          <w:rPr>
            <w:sz w:val="16"/>
            <w:szCs w:val="16"/>
          </w:rPr>
          <w:delText>19</w:delText>
        </w:r>
      </w:del>
      <w:ins w:id="50" w:author="french" w:date="2022-10-19T14:29:00Z">
        <w:r w:rsidRPr="008C15D6">
          <w:rPr>
            <w:sz w:val="16"/>
            <w:szCs w:val="16"/>
          </w:rPr>
          <w:t>23</w:t>
        </w:r>
      </w:ins>
      <w:r w:rsidRPr="008C15D6">
        <w:rPr>
          <w:sz w:val="16"/>
          <w:szCs w:val="16"/>
        </w:rPr>
        <w:t>)</w:t>
      </w:r>
    </w:p>
    <w:p w14:paraId="50DA4711" w14:textId="77777777" w:rsidR="00253367" w:rsidRPr="008C15D6" w:rsidRDefault="00253367">
      <w:pPr>
        <w:pStyle w:val="Reasons"/>
      </w:pPr>
    </w:p>
    <w:p w14:paraId="60E53416" w14:textId="77777777" w:rsidR="00206E65" w:rsidRPr="008C15D6" w:rsidRDefault="00206E65" w:rsidP="008D5FFA">
      <w:pPr>
        <w:pStyle w:val="Section1"/>
      </w:pPr>
      <w:r w:rsidRPr="008C15D6">
        <w:t>Section III – Tenue à jour de l'inscription des assignations de fréquence aux systèmes à satellites non géostationnaires dans le Fichier de référence</w:t>
      </w:r>
      <w:r w:rsidRPr="008C15D6">
        <w:rPr>
          <w:rStyle w:val="FootnoteTextChar"/>
          <w:b w:val="0"/>
          <w:bCs/>
          <w:sz w:val="16"/>
          <w:szCs w:val="16"/>
        </w:rPr>
        <w:t>     (CMR</w:t>
      </w:r>
      <w:r w:rsidRPr="008C15D6">
        <w:rPr>
          <w:rStyle w:val="FootnoteTextChar"/>
          <w:b w:val="0"/>
          <w:bCs/>
          <w:sz w:val="16"/>
          <w:szCs w:val="16"/>
        </w:rPr>
        <w:noBreakHyphen/>
        <w:t>19)</w:t>
      </w:r>
    </w:p>
    <w:p w14:paraId="540C12D2" w14:textId="77777777" w:rsidR="00253367" w:rsidRPr="008C15D6" w:rsidRDefault="00206E65">
      <w:pPr>
        <w:pStyle w:val="Proposal"/>
      </w:pPr>
      <w:r w:rsidRPr="008C15D6">
        <w:t>MOD</w:t>
      </w:r>
      <w:r w:rsidRPr="008C15D6">
        <w:tab/>
        <w:t>AFCP/87A22A1/5</w:t>
      </w:r>
      <w:r w:rsidRPr="008C15D6">
        <w:rPr>
          <w:vanish/>
          <w:color w:val="7F7F7F" w:themeColor="text1" w:themeTint="80"/>
          <w:vertAlign w:val="superscript"/>
        </w:rPr>
        <w:t>#1971</w:t>
      </w:r>
    </w:p>
    <w:p w14:paraId="6E3AF287" w14:textId="34F5197C" w:rsidR="00206E65" w:rsidRPr="008C15D6" w:rsidRDefault="00206E65" w:rsidP="00756C3A">
      <w:r w:rsidRPr="008C15D6">
        <w:rPr>
          <w:rStyle w:val="Artdef"/>
        </w:rPr>
        <w:t>11.51</w:t>
      </w:r>
      <w:r w:rsidRPr="008C15D6">
        <w:tab/>
        <w:t>En ce qui concerne les assignations de fréquence à certains systèmes à satellites non géostationnaires dans certaines bandes de fréquences et certains services, la Résolution </w:t>
      </w:r>
      <w:r w:rsidRPr="008C15D6">
        <w:rPr>
          <w:b/>
          <w:bCs/>
        </w:rPr>
        <w:t>35 (CMR</w:t>
      </w:r>
      <w:r w:rsidRPr="008C15D6">
        <w:rPr>
          <w:b/>
          <w:bCs/>
        </w:rPr>
        <w:noBreakHyphen/>
        <w:t>19)</w:t>
      </w:r>
      <w:r w:rsidRPr="008C15D6">
        <w:t xml:space="preserve"> </w:t>
      </w:r>
      <w:ins w:id="51" w:author="french" w:date="2022-11-02T10:23:00Z">
        <w:r w:rsidRPr="008C15D6">
          <w:t>et la Résolution</w:t>
        </w:r>
      </w:ins>
      <w:ins w:id="52" w:author="french" w:date="2022-10-19T14:31:00Z">
        <w:r w:rsidRPr="008C15D6">
          <w:t xml:space="preserve"> </w:t>
        </w:r>
        <w:r w:rsidRPr="008C15D6">
          <w:rPr>
            <w:b/>
            <w:bCs/>
          </w:rPr>
          <w:t>[</w:t>
        </w:r>
      </w:ins>
      <w:ins w:id="53" w:author="Tozzi Alarcon, Claudia" w:date="2023-10-30T08:49:00Z">
        <w:r w:rsidR="007500C1" w:rsidRPr="008C15D6">
          <w:rPr>
            <w:b/>
            <w:bCs/>
          </w:rPr>
          <w:t>AFCP-</w:t>
        </w:r>
      </w:ins>
      <w:ins w:id="54" w:author="french" w:date="2022-10-19T14:31:00Z">
        <w:r w:rsidRPr="008C15D6">
          <w:rPr>
            <w:b/>
            <w:bCs/>
          </w:rPr>
          <w:t>A7(A)-NGSO-FSS-BSS-MSS-Tolerance] (</w:t>
        </w:r>
      </w:ins>
      <w:ins w:id="55" w:author="french" w:date="2022-11-02T10:23:00Z">
        <w:r w:rsidRPr="008C15D6">
          <w:rPr>
            <w:b/>
            <w:bCs/>
          </w:rPr>
          <w:t>CMR</w:t>
        </w:r>
      </w:ins>
      <w:ins w:id="56" w:author="french" w:date="2022-10-19T14:31:00Z">
        <w:r w:rsidRPr="008C15D6">
          <w:rPr>
            <w:b/>
            <w:bCs/>
          </w:rPr>
          <w:t>-23)</w:t>
        </w:r>
        <w:r w:rsidRPr="008C15D6">
          <w:t xml:space="preserve"> </w:t>
        </w:r>
      </w:ins>
      <w:r w:rsidRPr="008C15D6">
        <w:t>s'applique</w:t>
      </w:r>
      <w:ins w:id="57" w:author="french" w:date="2022-11-02T10:58:00Z">
        <w:r w:rsidRPr="008C15D6">
          <w:t>nt</w:t>
        </w:r>
      </w:ins>
      <w:ins w:id="58" w:author="french" w:date="2022-11-10T10:35:00Z">
        <w:r w:rsidRPr="008C15D6">
          <w:t xml:space="preserve"> aux </w:t>
        </w:r>
      </w:ins>
      <w:ins w:id="59" w:author="french" w:date="2022-11-02T10:58:00Z">
        <w:r w:rsidRPr="008C15D6">
          <w:t>stations spatiales d'un système non OSG du SFS, du SRS ou du SMS</w:t>
        </w:r>
      </w:ins>
      <w:r w:rsidRPr="008C15D6">
        <w:t>.</w:t>
      </w:r>
      <w:r w:rsidRPr="008C15D6">
        <w:rPr>
          <w:sz w:val="16"/>
          <w:szCs w:val="16"/>
        </w:rPr>
        <w:t>     (CMR-</w:t>
      </w:r>
      <w:del w:id="60" w:author="french" w:date="2022-10-19T14:31:00Z">
        <w:r w:rsidRPr="008C15D6" w:rsidDel="00CD3EE6">
          <w:rPr>
            <w:sz w:val="16"/>
            <w:szCs w:val="16"/>
          </w:rPr>
          <w:delText>19</w:delText>
        </w:r>
      </w:del>
      <w:ins w:id="61" w:author="french" w:date="2022-10-19T14:31:00Z">
        <w:r w:rsidRPr="008C15D6">
          <w:rPr>
            <w:sz w:val="16"/>
            <w:szCs w:val="16"/>
          </w:rPr>
          <w:t>23</w:t>
        </w:r>
      </w:ins>
      <w:r w:rsidRPr="008C15D6">
        <w:rPr>
          <w:sz w:val="16"/>
          <w:szCs w:val="16"/>
        </w:rPr>
        <w:t>)</w:t>
      </w:r>
    </w:p>
    <w:p w14:paraId="667728FD" w14:textId="77777777" w:rsidR="00253367" w:rsidRPr="008C15D6" w:rsidRDefault="00253367">
      <w:pPr>
        <w:pStyle w:val="Reasons"/>
      </w:pPr>
    </w:p>
    <w:p w14:paraId="046C6D2C" w14:textId="77777777" w:rsidR="00253367" w:rsidRPr="008C15D6" w:rsidRDefault="00206E65">
      <w:pPr>
        <w:pStyle w:val="Proposal"/>
      </w:pPr>
      <w:r w:rsidRPr="008C15D6">
        <w:t>ADD</w:t>
      </w:r>
      <w:r w:rsidRPr="008C15D6">
        <w:tab/>
        <w:t>AFCP/87A22A1/6</w:t>
      </w:r>
      <w:r w:rsidRPr="008C15D6">
        <w:rPr>
          <w:vanish/>
          <w:color w:val="7F7F7F" w:themeColor="text1" w:themeTint="80"/>
          <w:vertAlign w:val="superscript"/>
        </w:rPr>
        <w:t>#1972</w:t>
      </w:r>
    </w:p>
    <w:p w14:paraId="4EA4DCBE" w14:textId="2994FE20" w:rsidR="00206E65" w:rsidRPr="008C15D6" w:rsidRDefault="00206E65" w:rsidP="00756C3A">
      <w:pPr>
        <w:pStyle w:val="ResNo"/>
      </w:pPr>
      <w:r w:rsidRPr="008C15D6">
        <w:t>PROJET DE NOUVELLE RÉSOLUTION [</w:t>
      </w:r>
      <w:r w:rsidR="007500C1" w:rsidRPr="008C15D6">
        <w:t>afcp-</w:t>
      </w:r>
      <w:r w:rsidRPr="008C15D6">
        <w:t>A7(A)-NGSO-FSS-BSS-MSS-Tolerance-Option A] (CMR-23)</w:t>
      </w:r>
    </w:p>
    <w:p w14:paraId="25B541DD" w14:textId="77777777" w:rsidR="00206E65" w:rsidRPr="008C15D6" w:rsidRDefault="00206E65" w:rsidP="00756C3A">
      <w:pPr>
        <w:pStyle w:val="Restitle"/>
        <w:rPr>
          <w:b w:val="0"/>
        </w:rPr>
      </w:pPr>
      <w:r w:rsidRPr="008C15D6">
        <w:rPr>
          <w:b w:val="0"/>
          <w:color w:val="000000"/>
        </w:rPr>
        <w:t xml:space="preserve">Tolérances pour certaines caractéristiques orbitales des stations spatiales déployées dans le cadre de systèmes non OSG </w:t>
      </w:r>
      <w:r w:rsidRPr="008C15D6">
        <w:rPr>
          <w:b w:val="0"/>
          <w:color w:val="000000"/>
        </w:rPr>
        <w:br/>
        <w:t xml:space="preserve">du </w:t>
      </w:r>
      <w:r w:rsidRPr="008C15D6">
        <w:rPr>
          <w:b w:val="0"/>
        </w:rPr>
        <w:t>SFS, du SRS ou du SMS</w:t>
      </w:r>
    </w:p>
    <w:p w14:paraId="35AC70C9" w14:textId="77777777" w:rsidR="00206E65" w:rsidRPr="008C15D6" w:rsidRDefault="00206E65" w:rsidP="00756C3A">
      <w:pPr>
        <w:pStyle w:val="Normalaftertitle0"/>
      </w:pPr>
      <w:r w:rsidRPr="008C15D6">
        <w:t>La Conférence mondiale des radiocommunications (</w:t>
      </w:r>
      <w:r w:rsidRPr="008C15D6">
        <w:rPr>
          <w:szCs w:val="24"/>
        </w:rPr>
        <w:t>Dubaï</w:t>
      </w:r>
      <w:r w:rsidRPr="008C15D6">
        <w:t>, 2023),</w:t>
      </w:r>
    </w:p>
    <w:p w14:paraId="336F9D05" w14:textId="77777777" w:rsidR="00206E65" w:rsidRPr="008C15D6" w:rsidRDefault="00206E65" w:rsidP="00756C3A">
      <w:pPr>
        <w:pStyle w:val="Call"/>
      </w:pPr>
      <w:r w:rsidRPr="008C15D6">
        <w:lastRenderedPageBreak/>
        <w:t>considérant</w:t>
      </w:r>
    </w:p>
    <w:p w14:paraId="5BE7A607" w14:textId="77777777" w:rsidR="00206E65" w:rsidRPr="008C15D6" w:rsidRDefault="00206E65" w:rsidP="00756C3A">
      <w:r w:rsidRPr="008C15D6">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60D932E2" w14:textId="77777777" w:rsidR="00206E65" w:rsidRPr="008C15D6" w:rsidRDefault="00206E65" w:rsidP="00756C3A">
      <w:pPr>
        <w:pStyle w:val="Call"/>
      </w:pPr>
      <w:r w:rsidRPr="008C15D6">
        <w:t>notant</w:t>
      </w:r>
    </w:p>
    <w:p w14:paraId="0781E7DD" w14:textId="77777777" w:rsidR="00206E65" w:rsidRPr="008C15D6" w:rsidRDefault="00206E65" w:rsidP="00756C3A">
      <w:r w:rsidRPr="008C15D6">
        <w:t xml:space="preserve">qu'aux fins de la présente Résolution, les tolérances désignent les variations maximales autorisées entre la valeur notifiée ou inscrite pour les caractéristiques orbitales visées dans le </w:t>
      </w:r>
      <w:r w:rsidRPr="008C15D6">
        <w:rPr>
          <w:i/>
          <w:iCs/>
        </w:rPr>
        <w:t xml:space="preserve">considérant </w:t>
      </w:r>
      <w:r w:rsidRPr="008C15D6">
        <w:t>ci</w:t>
      </w:r>
      <w:r w:rsidRPr="008C15D6">
        <w:noBreakHyphen/>
        <w:t>dessus et celles associées au déploiement réel des satellites des systèmes non OSG du SFS, du SRS ou du SMS à l'étude,</w:t>
      </w:r>
    </w:p>
    <w:p w14:paraId="1DA8C202" w14:textId="77777777" w:rsidR="00206E65" w:rsidRPr="008C15D6" w:rsidRDefault="00206E65" w:rsidP="00756C3A">
      <w:pPr>
        <w:pStyle w:val="Call"/>
      </w:pPr>
      <w:r w:rsidRPr="008C15D6">
        <w:t>reconnaissant</w:t>
      </w:r>
    </w:p>
    <w:p w14:paraId="6E278D75" w14:textId="77777777" w:rsidR="00206E65" w:rsidRPr="008C15D6" w:rsidRDefault="00206E65" w:rsidP="00756C3A">
      <w:r w:rsidRPr="008C15D6">
        <w:rPr>
          <w:i/>
          <w:iCs/>
        </w:rPr>
        <w:t>a)</w:t>
      </w:r>
      <w:r w:rsidRPr="008C15D6">
        <w:tab/>
        <w:t>que l'utilisation des assignations de fréquence des systèmes non OSG du SFS, du SRS et du SMS est assujettie aux limites réglementaires et opérationnelles énoncées dans le Règlement des radiocommunications;</w:t>
      </w:r>
    </w:p>
    <w:p w14:paraId="7E6AAD52" w14:textId="77777777" w:rsidR="00206E65" w:rsidRPr="008C15D6" w:rsidRDefault="00206E65" w:rsidP="00756C3A">
      <w:r w:rsidRPr="008C15D6">
        <w:rPr>
          <w:i/>
          <w:iCs/>
        </w:rPr>
        <w:t>b)</w:t>
      </w:r>
      <w:r w:rsidRPr="008C15D6">
        <w:tab/>
        <w:t xml:space="preserve">que, conformément aux numéros </w:t>
      </w:r>
      <w:r w:rsidRPr="008C15D6">
        <w:rPr>
          <w:b/>
          <w:bCs/>
        </w:rPr>
        <w:t>11.44C</w:t>
      </w:r>
      <w:r w:rsidRPr="008C15D6">
        <w:t xml:space="preserve">, </w:t>
      </w:r>
      <w:r w:rsidRPr="008C15D6">
        <w:rPr>
          <w:b/>
          <w:bCs/>
        </w:rPr>
        <w:t>11.49.2</w:t>
      </w:r>
      <w:r w:rsidRPr="008C15D6">
        <w:t xml:space="preserve"> et </w:t>
      </w:r>
      <w:r w:rsidRPr="008C15D6">
        <w:rPr>
          <w:b/>
          <w:bCs/>
        </w:rPr>
        <w:t>11.51</w:t>
      </w:r>
      <w:r w:rsidRPr="008C15D6">
        <w:t>, les satellites doivent être déployés dans les plans orbitaux notifiés;</w:t>
      </w:r>
    </w:p>
    <w:p w14:paraId="5D8831AD" w14:textId="77777777" w:rsidR="00206E65" w:rsidRPr="008C15D6" w:rsidRDefault="00206E65" w:rsidP="00756C3A">
      <w:pPr>
        <w:rPr>
          <w:color w:val="000000" w:themeColor="text1"/>
        </w:rPr>
      </w:pPr>
      <w:r w:rsidRPr="008C15D6">
        <w:rPr>
          <w:i/>
          <w:iCs/>
          <w:color w:val="000000" w:themeColor="text1"/>
        </w:rPr>
        <w:t>c)</w:t>
      </w:r>
      <w:r w:rsidRPr="008C15D6">
        <w:rPr>
          <w:color w:val="000000" w:themeColor="text1"/>
        </w:rPr>
        <w:tab/>
        <w:t>que les tolérances orbitales pour un système non OSG devraient tenir compte des considérations liées à la conception, notamment des caractéristiques relatives à la traînée atmosphérique de l'altitude choisie et aux prévisions du cycle solaire, qui peuvent avoir des incidences sur la durée de vie des satellites;</w:t>
      </w:r>
    </w:p>
    <w:p w14:paraId="4CE6A2AC" w14:textId="77777777" w:rsidR="00206E65" w:rsidRPr="008C15D6" w:rsidRDefault="00206E65" w:rsidP="00756C3A">
      <w:pPr>
        <w:rPr>
          <w:color w:val="000000" w:themeColor="text1"/>
        </w:rPr>
      </w:pPr>
      <w:r w:rsidRPr="008C15D6">
        <w:rPr>
          <w:i/>
          <w:iCs/>
          <w:color w:val="000000" w:themeColor="text1"/>
        </w:rPr>
        <w:t>d)</w:t>
      </w:r>
      <w:r w:rsidRPr="008C15D6">
        <w:rPr>
          <w:color w:val="000000" w:themeColor="text1"/>
        </w:rPr>
        <w:tab/>
      </w:r>
      <w:r w:rsidRPr="008C15D6">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46FB7EBE" w14:textId="77777777" w:rsidR="00206E65" w:rsidRPr="008C15D6" w:rsidRDefault="00206E65" w:rsidP="00756C3A">
      <w:pPr>
        <w:rPr>
          <w:color w:val="000000" w:themeColor="text1"/>
        </w:rPr>
      </w:pPr>
      <w:r w:rsidRPr="008C15D6">
        <w:rPr>
          <w:i/>
          <w:iCs/>
          <w:color w:val="000000" w:themeColor="text1"/>
        </w:rPr>
        <w:t>e)</w:t>
      </w:r>
      <w:r w:rsidRPr="008C15D6">
        <w:rPr>
          <w:i/>
          <w:iCs/>
          <w:color w:val="000000" w:themeColor="text1"/>
        </w:rPr>
        <w:tab/>
      </w:r>
      <w:r w:rsidRPr="008C15D6">
        <w:t xml:space="preserve">que les satellites </w:t>
      </w:r>
      <w:r w:rsidRPr="008C15D6">
        <w:rPr>
          <w:color w:val="000000"/>
        </w:rPr>
        <w:t>sur une orbite fortement elliptique et les satellites sur une orbite elliptique fortement inclinée</w:t>
      </w:r>
      <w:r w:rsidRPr="008C15D6">
        <w:t xml:space="preserve"> </w:t>
      </w:r>
      <w:r w:rsidRPr="008C15D6">
        <w:rPr>
          <w:color w:val="000000"/>
        </w:rPr>
        <w:t>présentent des vitesses de précession orbitale importantes et que, par conséquent</w:t>
      </w:r>
      <w:r w:rsidRPr="008C15D6">
        <w:t>, des exigences restrictives en matière de maintien en orbite et de correction des paramètres orbitaux risquent d'entraîner une réduction de la durée de vie de ces satellites et leur remplacement fréquent</w:t>
      </w:r>
      <w:r w:rsidRPr="008C15D6">
        <w:rPr>
          <w:color w:val="000000" w:themeColor="text1"/>
        </w:rPr>
        <w:t>;</w:t>
      </w:r>
    </w:p>
    <w:p w14:paraId="393A2C32" w14:textId="77777777" w:rsidR="00206E65" w:rsidRPr="008C15D6" w:rsidRDefault="00206E65" w:rsidP="00756C3A">
      <w:pPr>
        <w:rPr>
          <w:color w:val="000000" w:themeColor="text1"/>
        </w:rPr>
      </w:pPr>
      <w:r w:rsidRPr="008C15D6">
        <w:rPr>
          <w:i/>
          <w:iCs/>
          <w:color w:val="000000" w:themeColor="text1"/>
        </w:rPr>
        <w:t>f)</w:t>
      </w:r>
      <w:r w:rsidRPr="008C15D6">
        <w:rPr>
          <w:i/>
          <w:iCs/>
          <w:color w:val="000000" w:themeColor="text1"/>
        </w:rPr>
        <w:tab/>
      </w:r>
      <w:r w:rsidRPr="008C15D6">
        <w:t xml:space="preserve">que la présente Résolution définit la tolérance maximale acceptable pour certaines caractéristiques orbitales d'un système non OSG, afin qu'il soit considéré comme fonctionnant dans son plan orbital notifié, et n'exclut pas les demandes de coordination ou les fiches de notification au titre des Articles </w:t>
      </w:r>
      <w:r w:rsidRPr="008C15D6">
        <w:rPr>
          <w:b/>
        </w:rPr>
        <w:t>9</w:t>
      </w:r>
      <w:r w:rsidRPr="008C15D6">
        <w:t xml:space="preserve"> et </w:t>
      </w:r>
      <w:r w:rsidRPr="008C15D6">
        <w:rPr>
          <w:b/>
        </w:rPr>
        <w:t>11</w:t>
      </w:r>
      <w:r w:rsidRPr="008C15D6">
        <w:t xml:space="preserve"> du Règlement des radiocommunications pour d'autres systèmes non OSG à la même altitude et avec la même tolérance</w:t>
      </w:r>
      <w:r w:rsidRPr="008C15D6">
        <w:rPr>
          <w:color w:val="000000" w:themeColor="text1"/>
        </w:rPr>
        <w:t>;</w:t>
      </w:r>
    </w:p>
    <w:p w14:paraId="07BE4698" w14:textId="77777777" w:rsidR="00206E65" w:rsidRPr="008C15D6" w:rsidRDefault="00206E65" w:rsidP="00756C3A">
      <w:pPr>
        <w:rPr>
          <w:color w:val="000000" w:themeColor="text1"/>
        </w:rPr>
      </w:pPr>
      <w:r w:rsidRPr="008C15D6">
        <w:rPr>
          <w:i/>
          <w:iCs/>
          <w:color w:val="000000" w:themeColor="text1"/>
        </w:rPr>
        <w:t>g)</w:t>
      </w:r>
      <w:r w:rsidRPr="008C15D6">
        <w:rPr>
          <w:color w:val="000000" w:themeColor="text1"/>
        </w:rPr>
        <w:tab/>
      </w:r>
      <w:r w:rsidRPr="008C15D6">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dus à l'utilisation des fréquences radioélectriques</w:t>
      </w:r>
      <w:r w:rsidRPr="008C15D6">
        <w:rPr>
          <w:color w:val="000000" w:themeColor="text1"/>
        </w:rPr>
        <w:t>,</w:t>
      </w:r>
    </w:p>
    <w:p w14:paraId="29A6F330" w14:textId="77777777" w:rsidR="00206E65" w:rsidRPr="008C15D6" w:rsidRDefault="00206E65" w:rsidP="00756C3A">
      <w:pPr>
        <w:pStyle w:val="Call"/>
      </w:pPr>
      <w:bookmarkStart w:id="62" w:name="_Hlk130218114"/>
      <w:r w:rsidRPr="008C15D6">
        <w:lastRenderedPageBreak/>
        <w:t>décide</w:t>
      </w:r>
    </w:p>
    <w:p w14:paraId="04CC343C" w14:textId="77777777" w:rsidR="00206E65" w:rsidRPr="008C15D6" w:rsidRDefault="00206E65" w:rsidP="00756C3A">
      <w:pPr>
        <w:rPr>
          <w:b/>
          <w:bCs/>
          <w:i/>
          <w:iCs/>
          <w:color w:val="000000" w:themeColor="text1"/>
        </w:rPr>
      </w:pPr>
      <w:r w:rsidRPr="008C15D6">
        <w:t>1</w:t>
      </w:r>
      <w:r w:rsidRPr="008C15D6">
        <w:tab/>
      </w:r>
      <w:r w:rsidRPr="008C15D6">
        <w:rPr>
          <w:b/>
          <w:bCs/>
          <w:i/>
          <w:iCs/>
          <w:color w:val="000000" w:themeColor="text1"/>
        </w:rPr>
        <w:t>Option A2A1</w:t>
      </w:r>
      <w:r w:rsidRPr="008C15D6">
        <w:rPr>
          <w:color w:val="000000" w:themeColor="text1"/>
        </w:rPr>
        <w:t xml:space="preserve">: </w:t>
      </w:r>
      <w:r w:rsidRPr="008C15D6">
        <w:rPr>
          <w:color w:val="000000"/>
        </w:rPr>
        <w:t>que, à compter [du 16 décembre 2023 ou de la date d'entrée en vigueur des Actes finals de la CMR-23], pour les stations spatiales notifiées dans le cadre d'un système non OSG du SFS, du SRS ou du SMS dont l'altitude de l'apogée est inférieure à 15 000 km</w:t>
      </w:r>
      <w:r w:rsidRPr="008C15D6">
        <w:rPr>
          <w:color w:val="000000" w:themeColor="text1"/>
        </w:rPr>
        <w:t>:</w:t>
      </w:r>
    </w:p>
    <w:p w14:paraId="28FC9354" w14:textId="77777777" w:rsidR="00206E65" w:rsidRPr="008C15D6" w:rsidRDefault="00206E65" w:rsidP="00756C3A">
      <w:pPr>
        <w:rPr>
          <w:color w:val="000000"/>
        </w:rPr>
      </w:pPr>
      <w:r w:rsidRPr="008C15D6">
        <w:rPr>
          <w:color w:val="000000" w:themeColor="text1"/>
        </w:rPr>
        <w:tab/>
      </w:r>
      <w:r w:rsidRPr="008C15D6">
        <w:rPr>
          <w:b/>
          <w:bCs/>
          <w:i/>
          <w:iCs/>
          <w:color w:val="000000" w:themeColor="text1"/>
        </w:rPr>
        <w:t>Option A2A2</w:t>
      </w:r>
      <w:r w:rsidRPr="008C15D6">
        <w:rPr>
          <w:color w:val="000000" w:themeColor="text1"/>
        </w:rPr>
        <w:t xml:space="preserve">: </w:t>
      </w:r>
      <w:r w:rsidRPr="008C15D6">
        <w:rPr>
          <w:color w:val="000000"/>
        </w:rPr>
        <w:t>que, à compter [du 16 décembre 2023 ou de la date d'entrée en vigueur des Actes finals de la CMR-23], pour les stations spatiales présentant une excentricité orbitale</w:t>
      </w:r>
      <w:r w:rsidRPr="008C15D6">
        <w:rPr>
          <w:rStyle w:val="FootnoteReference"/>
          <w:color w:val="000000"/>
        </w:rPr>
        <w:footnoteReference w:customMarkFollows="1" w:id="1"/>
        <w:t>1</w:t>
      </w:r>
      <w:r w:rsidRPr="008C15D6">
        <w:rPr>
          <w:color w:val="000000"/>
        </w:rPr>
        <w:t xml:space="preserve"> inférieure à 0,5/à déterminer notifiées dans le cadre d'un système non OSG du SFS, du SRS ou du SMS dont l'altitude de l'apogée est inférieure à 15 000 km:</w:t>
      </w:r>
    </w:p>
    <w:p w14:paraId="7CACB376" w14:textId="5F1AAF88" w:rsidR="00206E65" w:rsidRPr="008C15D6" w:rsidRDefault="00206E65" w:rsidP="00756C3A">
      <w:pPr>
        <w:rPr>
          <w:color w:val="000000" w:themeColor="text1"/>
        </w:rPr>
      </w:pPr>
      <w:r w:rsidRPr="008C15D6">
        <w:rPr>
          <w:color w:val="000000"/>
        </w:rPr>
        <w:tab/>
      </w:r>
      <w:r w:rsidRPr="008C15D6">
        <w:rPr>
          <w:b/>
          <w:bCs/>
          <w:i/>
          <w:iCs/>
          <w:color w:val="000000" w:themeColor="text1"/>
        </w:rPr>
        <w:t>Option A2A3</w:t>
      </w:r>
      <w:r w:rsidRPr="008C15D6">
        <w:rPr>
          <w:color w:val="000000" w:themeColor="text1"/>
        </w:rPr>
        <w:t xml:space="preserve">: </w:t>
      </w:r>
      <w:r w:rsidRPr="008C15D6">
        <w:rPr>
          <w:color w:val="000000"/>
        </w:rPr>
        <w:t>que, à compter [du</w:t>
      </w:r>
      <w:r w:rsidR="008C15D6">
        <w:rPr>
          <w:color w:val="000000"/>
        </w:rPr>
        <w:t xml:space="preserve"> </w:t>
      </w:r>
      <w:r w:rsidRPr="008C15D6">
        <w:rPr>
          <w:color w:val="000000"/>
        </w:rPr>
        <w:t>16</w:t>
      </w:r>
      <w:r w:rsidR="008C15D6">
        <w:rPr>
          <w:color w:val="000000"/>
        </w:rPr>
        <w:t xml:space="preserve"> </w:t>
      </w:r>
      <w:r w:rsidRPr="008C15D6">
        <w:rPr>
          <w:color w:val="000000"/>
        </w:rPr>
        <w:t xml:space="preserve">décembre 2023 ou de la date d'entrée en vigueur des Actes finals de la CMR-23], pour les stations spatiales notifiées dans le cadre d'un système non OSG du SFS, du SRS ou du SMS assujetti à la Résolution </w:t>
      </w:r>
      <w:r w:rsidRPr="008C15D6">
        <w:rPr>
          <w:b/>
          <w:bCs/>
          <w:color w:val="000000"/>
        </w:rPr>
        <w:t>35 (CMR-19)</w:t>
      </w:r>
      <w:r w:rsidRPr="008C15D6">
        <w:rPr>
          <w:color w:val="000000"/>
        </w:rPr>
        <w:t xml:space="preserve"> dont l'altitude de l'apogée est inférieure à 15 000 km</w:t>
      </w:r>
      <w:r w:rsidRPr="008C15D6">
        <w:rPr>
          <w:color w:val="000000" w:themeColor="text1"/>
        </w:rPr>
        <w:t>:</w:t>
      </w:r>
    </w:p>
    <w:p w14:paraId="086DADAE" w14:textId="77777777" w:rsidR="00206E65" w:rsidRPr="008C15D6" w:rsidRDefault="00206E65" w:rsidP="00756C3A">
      <w:pPr>
        <w:rPr>
          <w:color w:val="000000" w:themeColor="text1"/>
        </w:rPr>
      </w:pPr>
      <w:r w:rsidRPr="008C15D6">
        <w:rPr>
          <w:color w:val="000000" w:themeColor="text1"/>
        </w:rPr>
        <w:tab/>
      </w:r>
      <w:r w:rsidRPr="008C15D6">
        <w:rPr>
          <w:b/>
          <w:bCs/>
          <w:i/>
          <w:iCs/>
          <w:color w:val="000000" w:themeColor="text1"/>
        </w:rPr>
        <w:t>Option A2A4</w:t>
      </w:r>
      <w:r w:rsidRPr="008C15D6">
        <w:rPr>
          <w:color w:val="000000" w:themeColor="text1"/>
        </w:rPr>
        <w:t xml:space="preserve">: </w:t>
      </w:r>
      <w:r w:rsidRPr="008C15D6">
        <w:rPr>
          <w:color w:val="000000"/>
        </w:rPr>
        <w:t>que, à compter [du 16 décembre 2023 ou de la date d'entrée en vigueur des Actes finals de la CMR-23], pour les stations spatiales présentant une excentricité orbitale</w:t>
      </w:r>
      <w:r w:rsidRPr="008C15D6">
        <w:rPr>
          <w:rStyle w:val="FootnoteReference"/>
        </w:rPr>
        <w:t>1</w:t>
      </w:r>
      <w:r w:rsidRPr="008C15D6">
        <w:rPr>
          <w:color w:val="000000"/>
        </w:rPr>
        <w:t xml:space="preserve"> inférieure à 0,5/à déterminer notifiées dans le cadre d'un système non OSG du SFS, du SRS ou du SMS assujetti à la Résolution </w:t>
      </w:r>
      <w:r w:rsidRPr="008C15D6">
        <w:rPr>
          <w:b/>
          <w:bCs/>
          <w:color w:val="000000"/>
        </w:rPr>
        <w:t>35 (CMR-19)</w:t>
      </w:r>
      <w:r w:rsidRPr="008C15D6">
        <w:rPr>
          <w:color w:val="000000"/>
        </w:rPr>
        <w:t xml:space="preserve"> dont l'altitude de l'apogée est inférieure à 15 000 km</w:t>
      </w:r>
      <w:r w:rsidRPr="008C15D6">
        <w:rPr>
          <w:color w:val="000000" w:themeColor="text1"/>
        </w:rPr>
        <w:t>:</w:t>
      </w:r>
    </w:p>
    <w:p w14:paraId="72ACB0C4" w14:textId="77777777" w:rsidR="00206E65" w:rsidRPr="008C15D6" w:rsidRDefault="00206E65" w:rsidP="00756C3A">
      <w:pPr>
        <w:pStyle w:val="enumlev1"/>
        <w:rPr>
          <w:color w:val="000000" w:themeColor="text1"/>
        </w:rPr>
      </w:pPr>
      <w:r w:rsidRPr="008C15D6">
        <w:rPr>
          <w:color w:val="000000" w:themeColor="text1"/>
        </w:rPr>
        <w:t>a)</w:t>
      </w:r>
      <w:r w:rsidRPr="008C15D6">
        <w:rPr>
          <w:color w:val="000000" w:themeColor="text1"/>
        </w:rPr>
        <w:tab/>
      </w:r>
      <w:r w:rsidRPr="008C15D6">
        <w:t xml:space="preserve">la variation observée pour l'altitude </w:t>
      </w:r>
      <w:r w:rsidRPr="008C15D6">
        <w:rPr>
          <w:color w:val="000000" w:themeColor="text1"/>
        </w:rPr>
        <w:t>(Δ</w:t>
      </w:r>
      <w:r w:rsidRPr="008C15D6">
        <w:rPr>
          <w:i/>
          <w:iCs/>
          <w:color w:val="000000" w:themeColor="text1"/>
        </w:rPr>
        <w:t>alt</w:t>
      </w:r>
      <w:r w:rsidRPr="008C15D6">
        <w:rPr>
          <w:i/>
          <w:iCs/>
          <w:color w:val="000000" w:themeColor="text1"/>
          <w:vertAlign w:val="subscript"/>
        </w:rPr>
        <w:t>Observed</w:t>
      </w:r>
      <w:r w:rsidRPr="008C15D6">
        <w:rPr>
          <w:color w:val="000000" w:themeColor="text1"/>
        </w:rPr>
        <w:t>) du périgée et de l'apogée ne doit pas dépasser la variation autorisée pour l'altitude (Δ</w:t>
      </w:r>
      <w:r w:rsidRPr="008C15D6">
        <w:rPr>
          <w:i/>
          <w:iCs/>
          <w:color w:val="000000" w:themeColor="text1"/>
        </w:rPr>
        <w:t>alt</w:t>
      </w:r>
      <w:r w:rsidRPr="008C15D6">
        <w:rPr>
          <w:i/>
          <w:iCs/>
          <w:color w:val="000000" w:themeColor="text1"/>
          <w:vertAlign w:val="subscript"/>
        </w:rPr>
        <w:t>Allowed</w:t>
      </w:r>
      <w:r w:rsidRPr="008C15D6">
        <w:rPr>
          <w:color w:val="000000" w:themeColor="text1"/>
        </w:rPr>
        <w:t>) (voir l'Annexe);</w:t>
      </w:r>
    </w:p>
    <w:p w14:paraId="6606571F" w14:textId="77777777" w:rsidR="00206E65" w:rsidRPr="008C15D6" w:rsidRDefault="00206E65" w:rsidP="00756C3A">
      <w:pPr>
        <w:pStyle w:val="enumlev1"/>
      </w:pPr>
      <w:r w:rsidRPr="008C15D6">
        <w:t>b)</w:t>
      </w:r>
      <w:r w:rsidRPr="008C15D6">
        <w:tab/>
        <w:t>la variation observée pour l'inclinaison (Δ</w:t>
      </w:r>
      <w:r w:rsidRPr="008C15D6">
        <w:rPr>
          <w:i/>
          <w:iCs/>
        </w:rPr>
        <w:t>i</w:t>
      </w:r>
      <w:r w:rsidRPr="008C15D6">
        <w:rPr>
          <w:i/>
          <w:iCs/>
          <w:vertAlign w:val="subscript"/>
        </w:rPr>
        <w:t>Observed</w:t>
      </w:r>
      <w:r w:rsidRPr="008C15D6">
        <w:t xml:space="preserve">) ne doit pas dépasser </w:t>
      </w:r>
      <w:r w:rsidRPr="008C15D6">
        <w:rPr>
          <w:color w:val="000000" w:themeColor="text1"/>
        </w:rPr>
        <w:t xml:space="preserve">la variation autorisée </w:t>
      </w:r>
      <w:r w:rsidRPr="008C15D6">
        <w:t>(Δ</w:t>
      </w:r>
      <w:r w:rsidRPr="008C15D6">
        <w:rPr>
          <w:i/>
          <w:iCs/>
        </w:rPr>
        <w:t>i</w:t>
      </w:r>
      <w:r w:rsidRPr="008C15D6">
        <w:rPr>
          <w:i/>
          <w:iCs/>
          <w:vertAlign w:val="subscript"/>
        </w:rPr>
        <w:t>Allowed</w:t>
      </w:r>
      <w:r w:rsidRPr="008C15D6">
        <w:t>) pour l'inclination (Voir l'Annexe);</w:t>
      </w:r>
    </w:p>
    <w:bookmarkEnd w:id="62"/>
    <w:p w14:paraId="1C492D49" w14:textId="77777777" w:rsidR="00206E65" w:rsidRPr="008C15D6" w:rsidRDefault="00206E65" w:rsidP="008C15D6">
      <w:r w:rsidRPr="008C15D6">
        <w:t>2</w:t>
      </w:r>
      <w:r w:rsidRPr="008C15D6">
        <w:tab/>
        <w:t xml:space="preserve">que, à compter du [16 décembre 2023 ou de la date d'entrée en vigueur des Actes finals de la CMR-23] et sauf pour l'application du numéro </w:t>
      </w:r>
      <w:r w:rsidRPr="008C15D6">
        <w:rPr>
          <w:b/>
          <w:bCs/>
        </w:rPr>
        <w:t>11.44C</w:t>
      </w:r>
      <w:r w:rsidRPr="008C15D6">
        <w:t xml:space="preserve"> ou </w:t>
      </w:r>
      <w:r w:rsidRPr="008C15D6">
        <w:rPr>
          <w:b/>
          <w:bCs/>
        </w:rPr>
        <w:t>11.49.2</w:t>
      </w:r>
      <w:r w:rsidRPr="008C15D6">
        <w:t xml:space="preserve">, le BR permettra un dépassement possible des tolérances visées au point 1 du décide pendant une durée maximale de (90/180) jours, lorsqu'il mène des examens au titre du numéro </w:t>
      </w:r>
      <w:r w:rsidRPr="008C15D6">
        <w:rPr>
          <w:b/>
          <w:bCs/>
        </w:rPr>
        <w:t>13.6</w:t>
      </w:r>
      <w:r w:rsidRPr="008C15D6">
        <w:t>;</w:t>
      </w:r>
    </w:p>
    <w:p w14:paraId="3E5B0803" w14:textId="77777777" w:rsidR="00206E65" w:rsidRPr="008C15D6" w:rsidRDefault="00206E65" w:rsidP="00756C3A">
      <w:r w:rsidRPr="008C15D6">
        <w:t>3</w:t>
      </w:r>
      <w:r w:rsidRPr="008C15D6">
        <w:tab/>
      </w:r>
      <w:bookmarkStart w:id="63" w:name="_Hlk130198480"/>
      <w:r w:rsidRPr="008C15D6">
        <w:t>qu'une station spatiale déployée dans le cadre d'un système non OSG du SFS, du SRS ou du SMS à une altitude et avec une inclinaison autres que l'altitude notifiée ou l'inclinaison notifiée ne doit pas causer plus de brouillages ni demander plus de protection que si la station spatiale était déployée à l'altitude notifiée et avec l'inclinaison notifiée,</w:t>
      </w:r>
      <w:bookmarkEnd w:id="63"/>
    </w:p>
    <w:p w14:paraId="454F214C" w14:textId="77777777" w:rsidR="00206E65" w:rsidRPr="008C15D6" w:rsidRDefault="00206E65" w:rsidP="00756C3A">
      <w:pPr>
        <w:pStyle w:val="Call"/>
        <w:rPr>
          <w:szCs w:val="24"/>
        </w:rPr>
      </w:pPr>
      <w:r w:rsidRPr="008C15D6">
        <w:rPr>
          <w:szCs w:val="24"/>
        </w:rPr>
        <w:t>charge le Bureau des radiocommunications</w:t>
      </w:r>
    </w:p>
    <w:p w14:paraId="07BD4205" w14:textId="77777777" w:rsidR="00206E65" w:rsidRPr="008C15D6" w:rsidRDefault="00206E65" w:rsidP="00756C3A">
      <w:pPr>
        <w:textAlignment w:val="auto"/>
        <w:rPr>
          <w:color w:val="000000" w:themeColor="text1"/>
        </w:rPr>
      </w:pPr>
      <w:r w:rsidRPr="008C15D6">
        <w:rPr>
          <w:color w:val="000000" w:themeColor="text1"/>
        </w:rPr>
        <w:t>1</w:t>
      </w:r>
      <w:r w:rsidRPr="008C15D6">
        <w:rPr>
          <w:color w:val="000000" w:themeColor="text1"/>
        </w:rPr>
        <w:tab/>
      </w:r>
      <w:r w:rsidRPr="008C15D6">
        <w:rPr>
          <w:color w:val="000000"/>
        </w:rPr>
        <w:t>de prendre les mesures nécessaires pour mettre en œuvre</w:t>
      </w:r>
      <w:r w:rsidRPr="008C15D6">
        <w:rPr>
          <w:szCs w:val="24"/>
        </w:rPr>
        <w:t xml:space="preserve"> la présente Résolution</w:t>
      </w:r>
      <w:r w:rsidRPr="008C15D6">
        <w:rPr>
          <w:color w:val="000000" w:themeColor="text1"/>
        </w:rPr>
        <w:t>, notamment en fournissant une assistance aux administrations qui en font la demande, afin de résoudre les difficultés que ces administrations peuvent rencontrer dans la mise en œuvre de la présente Résolution, sans conséquences réglementaires pour ces administrations;</w:t>
      </w:r>
    </w:p>
    <w:p w14:paraId="029A7264" w14:textId="77777777" w:rsidR="00206E65" w:rsidRPr="008C15D6" w:rsidRDefault="00206E65" w:rsidP="00756C3A">
      <w:pPr>
        <w:textAlignment w:val="auto"/>
      </w:pPr>
      <w:r w:rsidRPr="008C15D6">
        <w:t>2</w:t>
      </w:r>
      <w:r w:rsidRPr="008C15D6">
        <w:tab/>
        <w:t>de présenter aux conférences mondiales des radiocommunications futures un rapport sur les difficultés rencontrées ou les incohérences constatées dans la mise en œuvre de la présente Résolution.</w:t>
      </w:r>
    </w:p>
    <w:p w14:paraId="7A231F1F" w14:textId="474F41CA" w:rsidR="00206E65" w:rsidRPr="008C15D6" w:rsidRDefault="00206E65" w:rsidP="00756C3A">
      <w:pPr>
        <w:pStyle w:val="AnnexNo"/>
      </w:pPr>
      <w:bookmarkStart w:id="64" w:name="_Toc134513831"/>
      <w:r w:rsidRPr="008C15D6">
        <w:lastRenderedPageBreak/>
        <w:t>ANNEXE DU PROJET DE NOUVELLE RÉSOLUTION [</w:t>
      </w:r>
      <w:r w:rsidR="007500C1" w:rsidRPr="008C15D6">
        <w:t>AFCP</w:t>
      </w:r>
      <w:r w:rsidR="00172CF9" w:rsidRPr="008C15D6">
        <w:noBreakHyphen/>
      </w:r>
      <w:r w:rsidRPr="008C15D6">
        <w:t>A7(A)</w:t>
      </w:r>
      <w:r w:rsidRPr="008C15D6">
        <w:noBreakHyphen/>
        <w:t>NGSO</w:t>
      </w:r>
      <w:r w:rsidRPr="008C15D6">
        <w:noBreakHyphen/>
        <w:t>FSS</w:t>
      </w:r>
      <w:r w:rsidRPr="008C15D6">
        <w:noBreakHyphen/>
        <w:t>BSS</w:t>
      </w:r>
      <w:r w:rsidRPr="008C15D6">
        <w:noBreakHyphen/>
        <w:t>MSS-Tolerance-Option A] (CMR-23)</w:t>
      </w:r>
      <w:bookmarkEnd w:id="64"/>
    </w:p>
    <w:p w14:paraId="306DDC54" w14:textId="77777777" w:rsidR="00206E65" w:rsidRPr="008C15D6" w:rsidRDefault="00206E65" w:rsidP="00756C3A">
      <w:pPr>
        <w:pStyle w:val="Annextitle"/>
        <w:rPr>
          <w:b w:val="0"/>
        </w:rPr>
      </w:pPr>
      <w:r w:rsidRPr="008C15D6">
        <w:rPr>
          <w:b w:val="0"/>
        </w:rPr>
        <w:t xml:space="preserve">Variation de l'altitude et de l'inclinaison </w:t>
      </w:r>
    </w:p>
    <w:p w14:paraId="01AA5ADC" w14:textId="77777777" w:rsidR="00206E65" w:rsidRPr="008C15D6" w:rsidRDefault="00206E65" w:rsidP="00756C3A">
      <w:pPr>
        <w:rPr>
          <w:color w:val="000000" w:themeColor="text1"/>
          <w:spacing w:val="-4"/>
        </w:rPr>
      </w:pPr>
      <w:r w:rsidRPr="008C15D6">
        <w:t>1</w:t>
      </w:r>
      <w:r w:rsidRPr="008C15D6">
        <w:tab/>
        <w:t xml:space="preserve">La variation observée pour l'altitude </w:t>
      </w:r>
      <w:r w:rsidRPr="008C15D6">
        <w:rPr>
          <w:color w:val="000000" w:themeColor="text1"/>
        </w:rPr>
        <w:t>(Δ</w:t>
      </w:r>
      <w:r w:rsidRPr="008C15D6">
        <w:rPr>
          <w:i/>
          <w:iCs/>
          <w:color w:val="000000" w:themeColor="text1"/>
        </w:rPr>
        <w:t>alt</w:t>
      </w:r>
      <w:r w:rsidRPr="008C15D6">
        <w:rPr>
          <w:i/>
          <w:iCs/>
          <w:color w:val="000000" w:themeColor="text1"/>
          <w:vertAlign w:val="subscript"/>
        </w:rPr>
        <w:t>Observed</w:t>
      </w:r>
      <w:r w:rsidRPr="008C15D6">
        <w:rPr>
          <w:color w:val="000000" w:themeColor="text1"/>
          <w:spacing w:val="-4"/>
        </w:rPr>
        <w:t>) d'un satellite non OSG est égale à:</w:t>
      </w:r>
    </w:p>
    <w:p w14:paraId="7F6C6350" w14:textId="77777777" w:rsidR="00206E65" w:rsidRPr="008C15D6" w:rsidRDefault="00206E65" w:rsidP="00756C3A">
      <w:pPr>
        <w:pStyle w:val="Equation"/>
      </w:pPr>
      <w:r w:rsidRPr="008C15D6">
        <w:tab/>
      </w:r>
      <w:r w:rsidRPr="008C15D6">
        <w:tab/>
      </w:r>
      <w:r w:rsidRPr="008C15D6">
        <w:rPr>
          <w:color w:val="000000" w:themeColor="text1"/>
          <w:position w:val="-14"/>
        </w:rPr>
        <w:object w:dxaOrig="2299" w:dyaOrig="400" w14:anchorId="44224B9F">
          <v:shape id="shape65" o:spid="_x0000_i1025" type="#_x0000_t75" style="width:115.2pt;height:21.9pt" o:ole="">
            <v:imagedata r:id="rId13" o:title=""/>
          </v:shape>
          <o:OLEObject Type="Embed" ProgID="Equation.DSMT4" ShapeID="shape65" DrawAspect="Content" ObjectID="_1761019499" r:id="rId14"/>
        </w:object>
      </w:r>
      <w:r w:rsidR="00A85E8F" w:rsidRPr="008C15D6">
        <w:rPr>
          <w:position w:val="-12"/>
        </w:rPr>
        <w:pict w14:anchorId="72BBEED9">
          <v:rect id="Rectangle 473" o:spid="_x0000_s2050"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8C15D6">
        <w:t>     en km</w:t>
      </w:r>
    </w:p>
    <w:p w14:paraId="7C2AF982" w14:textId="77777777" w:rsidR="00206E65" w:rsidRPr="008C15D6" w:rsidRDefault="00206E65" w:rsidP="00756C3A">
      <w:r w:rsidRPr="008C15D6">
        <w:t>où</w:t>
      </w:r>
    </w:p>
    <w:p w14:paraId="17B2E8F0" w14:textId="06BBE156" w:rsidR="00206E65" w:rsidRPr="008C15D6" w:rsidRDefault="00206E65" w:rsidP="00756C3A">
      <w:pPr>
        <w:pStyle w:val="Equationlegend"/>
      </w:pPr>
      <w:r w:rsidRPr="008C15D6">
        <w:tab/>
      </w:r>
      <w:r w:rsidR="008C15D6" w:rsidRPr="00886794">
        <w:rPr>
          <w:i/>
          <w:iCs/>
          <w:color w:val="000000" w:themeColor="text1"/>
        </w:rPr>
        <w:t>alt</w:t>
      </w:r>
      <w:r w:rsidR="008C15D6" w:rsidRPr="00886794">
        <w:rPr>
          <w:i/>
          <w:iCs/>
          <w:color w:val="000000" w:themeColor="text1"/>
          <w:vertAlign w:val="subscript"/>
        </w:rPr>
        <w:t>d</w:t>
      </w:r>
      <w:r w:rsidRPr="008C15D6">
        <w:t>:</w:t>
      </w:r>
      <w:r w:rsidRPr="008C15D6">
        <w:tab/>
        <w:t>est l'altitude observée, en kilomètres, du satellite déployé au périgée ou à l'apogée;</w:t>
      </w:r>
    </w:p>
    <w:p w14:paraId="459F0AA4" w14:textId="668A1056" w:rsidR="00206E65" w:rsidRPr="008C15D6" w:rsidRDefault="00206E65" w:rsidP="00756C3A">
      <w:pPr>
        <w:pStyle w:val="Equationlegend"/>
      </w:pPr>
      <w:r w:rsidRPr="008C15D6">
        <w:tab/>
      </w:r>
      <w:r w:rsidR="008C15D6" w:rsidRPr="00886794">
        <w:rPr>
          <w:i/>
          <w:iCs/>
          <w:color w:val="000000" w:themeColor="text1"/>
        </w:rPr>
        <w:t>alt</w:t>
      </w:r>
      <w:r w:rsidR="008C15D6" w:rsidRPr="00886794">
        <w:rPr>
          <w:i/>
          <w:iCs/>
          <w:color w:val="000000" w:themeColor="text1"/>
          <w:vertAlign w:val="subscript"/>
        </w:rPr>
        <w:t>n</w:t>
      </w:r>
      <w:r w:rsidRPr="008C15D6">
        <w:t>:</w:t>
      </w:r>
      <w:r w:rsidRPr="008C15D6">
        <w:tab/>
        <w:t>est l'altitude du périgée ou de l'apogée, en kilomètres, du plan orbital du système non OSG associé qui a été notifié.</w:t>
      </w:r>
    </w:p>
    <w:p w14:paraId="01680C0D" w14:textId="77777777" w:rsidR="00206E65" w:rsidRPr="008C15D6" w:rsidRDefault="00206E65" w:rsidP="00756C3A">
      <w:r w:rsidRPr="008C15D6">
        <w:t>2</w:t>
      </w:r>
      <w:r w:rsidRPr="008C15D6">
        <w:tab/>
        <w:t>La variation</w:t>
      </w:r>
      <w:r w:rsidRPr="008C15D6">
        <w:rPr>
          <w:spacing w:val="-4"/>
        </w:rPr>
        <w:t xml:space="preserve"> autorisée </w:t>
      </w:r>
      <w:r w:rsidRPr="008C15D6">
        <w:t>pour l'altitude (</w:t>
      </w:r>
      <w:r w:rsidRPr="008C15D6">
        <w:rPr>
          <w:color w:val="000000" w:themeColor="text1"/>
        </w:rPr>
        <w:t>Δ</w:t>
      </w:r>
      <w:r w:rsidRPr="008C15D6">
        <w:rPr>
          <w:i/>
          <w:iCs/>
          <w:color w:val="000000" w:themeColor="text1"/>
        </w:rPr>
        <w:t>alt</w:t>
      </w:r>
      <w:r w:rsidRPr="008C15D6">
        <w:rPr>
          <w:i/>
          <w:iCs/>
          <w:color w:val="000000" w:themeColor="text1"/>
          <w:vertAlign w:val="subscript"/>
        </w:rPr>
        <w:t>Allowed</w:t>
      </w:r>
      <w:r w:rsidRPr="008C15D6">
        <w:rPr>
          <w:color w:val="000000" w:themeColor="text1"/>
          <w:spacing w:val="-4"/>
        </w:rPr>
        <w:t>)</w:t>
      </w:r>
      <w:r w:rsidRPr="008C15D6">
        <w:t xml:space="preserve"> d'un satellite non OSG est égale à:</w:t>
      </w:r>
    </w:p>
    <w:p w14:paraId="0FA2F35E" w14:textId="77777777" w:rsidR="00206E65" w:rsidRPr="008C15D6" w:rsidRDefault="00206E65" w:rsidP="00756C3A">
      <w:pPr>
        <w:rPr>
          <w:b/>
          <w:bCs/>
          <w:i/>
          <w:iCs/>
          <w:color w:val="000000" w:themeColor="text1"/>
          <w:u w:val="single"/>
        </w:rPr>
      </w:pPr>
      <w:r w:rsidRPr="008C15D6">
        <w:rPr>
          <w:b/>
          <w:bCs/>
          <w:i/>
          <w:iCs/>
          <w:color w:val="000000" w:themeColor="text1"/>
          <w:u w:val="single"/>
        </w:rPr>
        <w:t>Option 1</w:t>
      </w:r>
    </w:p>
    <w:p w14:paraId="795F09CE"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ab/>
      </w:r>
      <w:r w:rsidRPr="008C15D6">
        <w:rPr>
          <w:color w:val="000000" w:themeColor="text1"/>
        </w:rPr>
        <w:tab/>
        <w:t>∆</w:t>
      </w:r>
      <w:r w:rsidRPr="008C15D6">
        <w:rPr>
          <w:i/>
          <w:iCs/>
          <w:color w:val="000000" w:themeColor="text1"/>
        </w:rPr>
        <w:t>alt</w:t>
      </w:r>
      <w:r w:rsidRPr="008C15D6">
        <w:rPr>
          <w:i/>
          <w:iCs/>
          <w:color w:val="000000" w:themeColor="text1"/>
          <w:vertAlign w:val="subscript"/>
        </w:rPr>
        <w:t>Allowed</w:t>
      </w:r>
      <w:r w:rsidRPr="008C15D6">
        <w:rPr>
          <w:i/>
          <w:iCs/>
          <w:color w:val="000000" w:themeColor="text1"/>
        </w:rPr>
        <w:t xml:space="preserve"> = </w:t>
      </w:r>
      <w:r w:rsidRPr="008C15D6">
        <w:rPr>
          <w:color w:val="000000" w:themeColor="text1"/>
        </w:rPr>
        <w:t>X      en km</w:t>
      </w:r>
    </w:p>
    <w:p w14:paraId="4E081311"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où X est une valeur fixe égale à déterminer.</w:t>
      </w:r>
    </w:p>
    <w:p w14:paraId="26D052B6" w14:textId="77777777" w:rsidR="00206E65" w:rsidRPr="008C15D6" w:rsidRDefault="00206E65" w:rsidP="00756C3A">
      <w:pPr>
        <w:rPr>
          <w:b/>
          <w:bCs/>
          <w:i/>
          <w:iCs/>
          <w:color w:val="000000" w:themeColor="text1"/>
          <w:u w:val="single"/>
        </w:rPr>
      </w:pPr>
      <w:r w:rsidRPr="008C15D6">
        <w:rPr>
          <w:b/>
          <w:bCs/>
          <w:i/>
          <w:iCs/>
          <w:color w:val="000000" w:themeColor="text1"/>
          <w:u w:val="single"/>
        </w:rPr>
        <w:t>Fin de l'Option 1</w:t>
      </w:r>
    </w:p>
    <w:p w14:paraId="2101DA4C" w14:textId="77777777" w:rsidR="00206E65" w:rsidRPr="008C15D6" w:rsidRDefault="00206E65" w:rsidP="00756C3A">
      <w:pPr>
        <w:rPr>
          <w:b/>
          <w:bCs/>
          <w:i/>
          <w:iCs/>
          <w:color w:val="000000" w:themeColor="text1"/>
          <w:u w:val="single"/>
        </w:rPr>
      </w:pPr>
      <w:r w:rsidRPr="008C15D6">
        <w:rPr>
          <w:b/>
          <w:bCs/>
          <w:i/>
          <w:iCs/>
          <w:color w:val="000000" w:themeColor="text1"/>
          <w:u w:val="single"/>
        </w:rPr>
        <w:t>Option 2</w:t>
      </w:r>
    </w:p>
    <w:p w14:paraId="5F2068B4" w14:textId="1E34DABE"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ab/>
      </w:r>
      <w:r w:rsidRPr="008C15D6">
        <w:rPr>
          <w:color w:val="000000" w:themeColor="text1"/>
        </w:rPr>
        <w:tab/>
      </w:r>
      <w:r w:rsidR="008C15D6" w:rsidRPr="008C15D6">
        <w:t>∆</w:t>
      </w:r>
      <w:r w:rsidR="008C15D6" w:rsidRPr="008C15D6">
        <w:rPr>
          <w:i/>
          <w:iCs/>
          <w:color w:val="000000" w:themeColor="text1"/>
        </w:rPr>
        <w:t>alt</w:t>
      </w:r>
      <w:r w:rsidR="008C15D6" w:rsidRPr="008C15D6">
        <w:rPr>
          <w:i/>
          <w:iCs/>
          <w:color w:val="000000" w:themeColor="text1"/>
          <w:vertAlign w:val="subscript"/>
        </w:rPr>
        <w:t>Allowed</w:t>
      </w:r>
      <w:r w:rsidR="008C15D6" w:rsidRPr="008C15D6">
        <w:rPr>
          <w:i/>
          <w:iCs/>
          <w:color w:val="000000" w:themeColor="text1"/>
        </w:rPr>
        <w:t xml:space="preserve"> = Y</w:t>
      </w:r>
      <w:r w:rsidR="008C15D6" w:rsidRPr="008C15D6">
        <w:t xml:space="preserve"> × </w:t>
      </w:r>
      <w:r w:rsidR="008C15D6" w:rsidRPr="008C15D6">
        <w:rPr>
          <w:i/>
          <w:iCs/>
          <w:color w:val="000000" w:themeColor="text1"/>
        </w:rPr>
        <w:t>alt</w:t>
      </w:r>
      <w:r w:rsidR="008C15D6" w:rsidRPr="008C15D6">
        <w:rPr>
          <w:i/>
          <w:iCs/>
          <w:color w:val="000000" w:themeColor="text1"/>
          <w:vertAlign w:val="subscript"/>
        </w:rPr>
        <w:t>n</w:t>
      </w:r>
      <w:r w:rsidR="008C15D6" w:rsidRPr="008C15D6">
        <w:t>     </w:t>
      </w:r>
      <w:r w:rsidRPr="008C15D6">
        <w:rPr>
          <w:color w:val="000000" w:themeColor="text1"/>
        </w:rPr>
        <w:t>en km</w:t>
      </w:r>
    </w:p>
    <w:p w14:paraId="795DAC16"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 xml:space="preserve">où Y est un </w:t>
      </w:r>
      <w:r w:rsidRPr="008C15D6">
        <w:rPr>
          <w:i/>
          <w:color w:val="000000" w:themeColor="text1"/>
        </w:rPr>
        <w:t>pourcentage fixe</w:t>
      </w:r>
      <w:r w:rsidRPr="008C15D6">
        <w:rPr>
          <w:color w:val="000000" w:themeColor="text1"/>
        </w:rPr>
        <w:t xml:space="preserve"> égal à </w:t>
      </w:r>
      <w:r w:rsidRPr="008C15D6">
        <w:rPr>
          <w:i/>
          <w:iCs/>
          <w:color w:val="000000" w:themeColor="text1"/>
        </w:rPr>
        <w:t>à déterminer</w:t>
      </w:r>
      <w:r w:rsidRPr="008C15D6">
        <w:rPr>
          <w:color w:val="000000" w:themeColor="text1"/>
        </w:rPr>
        <w:t>.</w:t>
      </w:r>
    </w:p>
    <w:p w14:paraId="199FBB03" w14:textId="77777777" w:rsidR="00206E65" w:rsidRPr="008C15D6" w:rsidRDefault="00206E65" w:rsidP="00756C3A">
      <w:pPr>
        <w:rPr>
          <w:b/>
          <w:bCs/>
          <w:i/>
          <w:iCs/>
          <w:color w:val="000000" w:themeColor="text1"/>
          <w:u w:val="single"/>
        </w:rPr>
      </w:pPr>
      <w:r w:rsidRPr="008C15D6">
        <w:rPr>
          <w:b/>
          <w:bCs/>
          <w:i/>
          <w:iCs/>
          <w:color w:val="000000" w:themeColor="text1"/>
          <w:u w:val="single"/>
        </w:rPr>
        <w:t>Fin de l'Option 2</w:t>
      </w:r>
    </w:p>
    <w:p w14:paraId="1FD60EAD" w14:textId="77777777" w:rsidR="00206E65" w:rsidRPr="008C15D6" w:rsidRDefault="00206E65" w:rsidP="00756C3A">
      <w:pPr>
        <w:rPr>
          <w:color w:val="000000" w:themeColor="text1"/>
        </w:rPr>
      </w:pPr>
      <w:r w:rsidRPr="008C15D6">
        <w:rPr>
          <w:color w:val="000000" w:themeColor="text1"/>
        </w:rPr>
        <w:t>3</w:t>
      </w:r>
      <w:r w:rsidRPr="008C15D6">
        <w:rPr>
          <w:color w:val="000000" w:themeColor="text1"/>
        </w:rPr>
        <w:tab/>
        <w:t>La variation observée pour l'inclinaison (Δ</w:t>
      </w:r>
      <w:r w:rsidRPr="008C15D6">
        <w:rPr>
          <w:i/>
          <w:iCs/>
          <w:color w:val="000000" w:themeColor="text1"/>
        </w:rPr>
        <w:t>i</w:t>
      </w:r>
      <w:r w:rsidRPr="008C15D6">
        <w:rPr>
          <w:i/>
          <w:iCs/>
          <w:color w:val="000000" w:themeColor="text1"/>
          <w:vertAlign w:val="subscript"/>
        </w:rPr>
        <w:t>Observed</w:t>
      </w:r>
      <w:r w:rsidRPr="008C15D6">
        <w:rPr>
          <w:color w:val="000000" w:themeColor="text1"/>
        </w:rPr>
        <w:t>) d'un satellite non OSG est égale à:</w:t>
      </w:r>
    </w:p>
    <w:p w14:paraId="71FDB93E"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ab/>
      </w:r>
      <w:r w:rsidRPr="008C15D6">
        <w:rPr>
          <w:color w:val="000000" w:themeColor="text1"/>
        </w:rPr>
        <w:tab/>
      </w:r>
      <w:r w:rsidRPr="008C15D6">
        <w:rPr>
          <w:color w:val="000000" w:themeColor="text1"/>
          <w:position w:val="-14"/>
        </w:rPr>
        <w:object w:dxaOrig="1700" w:dyaOrig="400" w14:anchorId="2EC6DDBD">
          <v:shape id="shape68" o:spid="_x0000_i1026" type="#_x0000_t75" style="width:86.4pt;height:21.9pt" o:ole="">
            <v:imagedata r:id="rId15" o:title=""/>
          </v:shape>
          <o:OLEObject Type="Embed" ProgID="Equation.DSMT4" ShapeID="shape68" DrawAspect="Content" ObjectID="_1761019500" r:id="rId16"/>
        </w:object>
      </w:r>
      <w:r w:rsidRPr="008C15D6">
        <w:rPr>
          <w:color w:val="000000" w:themeColor="text1"/>
        </w:rPr>
        <w:t>     en degrés</w:t>
      </w:r>
    </w:p>
    <w:p w14:paraId="2DB87AC8" w14:textId="77777777" w:rsidR="00206E65" w:rsidRPr="008C15D6" w:rsidRDefault="00206E65" w:rsidP="00756C3A">
      <w:pPr>
        <w:keepNext/>
      </w:pPr>
      <w:r w:rsidRPr="008C15D6">
        <w:t>où</w:t>
      </w:r>
    </w:p>
    <w:p w14:paraId="194B1CDB" w14:textId="3BEE75AB" w:rsidR="00206E65" w:rsidRPr="008C15D6" w:rsidRDefault="00206E65" w:rsidP="00756C3A">
      <w:pPr>
        <w:pStyle w:val="Equationlegend"/>
        <w:keepNext/>
      </w:pPr>
      <w:r w:rsidRPr="008C15D6">
        <w:tab/>
      </w:r>
      <w:r w:rsidR="008C15D6" w:rsidRPr="00886794">
        <w:rPr>
          <w:i/>
          <w:iCs/>
          <w:color w:val="000000" w:themeColor="text1"/>
        </w:rPr>
        <w:t>i</w:t>
      </w:r>
      <w:r w:rsidR="008C15D6" w:rsidRPr="00886794">
        <w:rPr>
          <w:i/>
          <w:iCs/>
          <w:color w:val="000000" w:themeColor="text1"/>
          <w:vertAlign w:val="subscript"/>
        </w:rPr>
        <w:t>d</w:t>
      </w:r>
      <w:r w:rsidRPr="008C15D6">
        <w:t>:</w:t>
      </w:r>
      <w:r w:rsidRPr="008C15D6">
        <w:tab/>
        <w:t>est l'inclinaison observée, en degrés, du satellite déployé;</w:t>
      </w:r>
    </w:p>
    <w:p w14:paraId="719EBAFF" w14:textId="05A4FE33" w:rsidR="00206E65" w:rsidRPr="008C15D6" w:rsidRDefault="00206E65" w:rsidP="00756C3A">
      <w:pPr>
        <w:pStyle w:val="Equationlegend"/>
        <w:keepNext/>
      </w:pPr>
      <w:r w:rsidRPr="008C15D6">
        <w:tab/>
      </w:r>
      <w:r w:rsidR="008C15D6" w:rsidRPr="00886794">
        <w:rPr>
          <w:i/>
          <w:iCs/>
          <w:color w:val="000000" w:themeColor="text1"/>
        </w:rPr>
        <w:t>i</w:t>
      </w:r>
      <w:r w:rsidR="008C15D6" w:rsidRPr="00886794">
        <w:rPr>
          <w:i/>
          <w:iCs/>
          <w:color w:val="000000" w:themeColor="text1"/>
          <w:vertAlign w:val="subscript"/>
        </w:rPr>
        <w:t>n</w:t>
      </w:r>
      <w:r w:rsidRPr="008C15D6">
        <w:t>:</w:t>
      </w:r>
      <w:r w:rsidRPr="008C15D6">
        <w:tab/>
        <w:t>est l'inclinaison, en degrés, du plan orbital du système non OSG associé qui a été notifié.</w:t>
      </w:r>
    </w:p>
    <w:p w14:paraId="7178C6BD" w14:textId="77777777" w:rsidR="00206E65" w:rsidRPr="008C15D6" w:rsidRDefault="00206E65" w:rsidP="00756C3A">
      <w:pPr>
        <w:rPr>
          <w:color w:val="000000" w:themeColor="text1"/>
        </w:rPr>
      </w:pPr>
      <w:r w:rsidRPr="008C15D6">
        <w:rPr>
          <w:color w:val="000000" w:themeColor="text1"/>
        </w:rPr>
        <w:t>4</w:t>
      </w:r>
      <w:r w:rsidRPr="008C15D6">
        <w:rPr>
          <w:color w:val="000000" w:themeColor="text1"/>
        </w:rPr>
        <w:tab/>
        <w:t>La variation autorisée pour l'inclinaison (∆i</w:t>
      </w:r>
      <w:r w:rsidRPr="008C15D6">
        <w:rPr>
          <w:i/>
          <w:iCs/>
          <w:color w:val="000000" w:themeColor="text1"/>
          <w:vertAlign w:val="subscript"/>
        </w:rPr>
        <w:t>Allowed</w:t>
      </w:r>
      <w:r w:rsidRPr="008C15D6">
        <w:rPr>
          <w:color w:val="000000" w:themeColor="text1"/>
        </w:rPr>
        <w:t>) d'un satellite non OSG est égale à:</w:t>
      </w:r>
    </w:p>
    <w:p w14:paraId="416D3579" w14:textId="77777777" w:rsidR="00206E65" w:rsidRPr="008C15D6" w:rsidRDefault="00206E65" w:rsidP="00756C3A">
      <w:pPr>
        <w:rPr>
          <w:b/>
          <w:bCs/>
          <w:i/>
          <w:iCs/>
          <w:color w:val="000000" w:themeColor="text1"/>
          <w:u w:val="single"/>
        </w:rPr>
      </w:pPr>
      <w:r w:rsidRPr="008C15D6">
        <w:rPr>
          <w:b/>
          <w:bCs/>
          <w:i/>
          <w:iCs/>
          <w:color w:val="000000" w:themeColor="text1"/>
          <w:u w:val="single"/>
        </w:rPr>
        <w:t>Option 1</w:t>
      </w:r>
    </w:p>
    <w:p w14:paraId="15A943B1"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ab/>
      </w:r>
      <w:r w:rsidRPr="008C15D6">
        <w:rPr>
          <w:color w:val="000000" w:themeColor="text1"/>
        </w:rPr>
        <w:tab/>
        <w:t>∆i</w:t>
      </w:r>
      <w:r w:rsidRPr="008C15D6">
        <w:rPr>
          <w:i/>
          <w:iCs/>
          <w:color w:val="000000" w:themeColor="text1"/>
          <w:vertAlign w:val="subscript"/>
        </w:rPr>
        <w:t>Allowed</w:t>
      </w:r>
      <w:r w:rsidRPr="008C15D6">
        <w:rPr>
          <w:i/>
          <w:iCs/>
          <w:color w:val="000000" w:themeColor="text1"/>
        </w:rPr>
        <w:t xml:space="preserve"> = </w:t>
      </w:r>
      <w:r w:rsidRPr="008C15D6">
        <w:rPr>
          <w:color w:val="000000" w:themeColor="text1"/>
        </w:rPr>
        <w:t>Z       en degrés</w:t>
      </w:r>
    </w:p>
    <w:p w14:paraId="1996A3E3" w14:textId="5FA52F52" w:rsidR="00206E65" w:rsidRPr="00A85E8F" w:rsidRDefault="00206E65" w:rsidP="00756C3A">
      <w:pPr>
        <w:rPr>
          <w:color w:val="000000" w:themeColor="text1"/>
        </w:rPr>
      </w:pPr>
      <w:r w:rsidRPr="008C15D6">
        <w:rPr>
          <w:color w:val="000000" w:themeColor="text1"/>
        </w:rPr>
        <w:t xml:space="preserve">où Z est une valeur fixe égale à </w:t>
      </w:r>
      <w:r w:rsidRPr="008C15D6">
        <w:rPr>
          <w:i/>
          <w:iCs/>
          <w:color w:val="000000" w:themeColor="text1"/>
        </w:rPr>
        <w:t>à déterminer</w:t>
      </w:r>
      <w:r w:rsidR="00A85E8F">
        <w:rPr>
          <w:color w:val="000000" w:themeColor="text1"/>
        </w:rPr>
        <w:t>.</w:t>
      </w:r>
    </w:p>
    <w:p w14:paraId="4319F2FD" w14:textId="77777777" w:rsidR="00206E65" w:rsidRPr="008C15D6" w:rsidRDefault="00206E65" w:rsidP="00756C3A">
      <w:pPr>
        <w:rPr>
          <w:b/>
          <w:bCs/>
          <w:i/>
          <w:iCs/>
          <w:color w:val="000000" w:themeColor="text1"/>
          <w:u w:val="single"/>
        </w:rPr>
      </w:pPr>
      <w:r w:rsidRPr="008C15D6">
        <w:rPr>
          <w:b/>
          <w:bCs/>
          <w:i/>
          <w:iCs/>
          <w:color w:val="000000" w:themeColor="text1"/>
          <w:u w:val="single"/>
        </w:rPr>
        <w:t>Fin de l'Option 1</w:t>
      </w:r>
    </w:p>
    <w:p w14:paraId="558B9E3D" w14:textId="77777777" w:rsidR="00206E65" w:rsidRPr="008C15D6" w:rsidRDefault="00206E65" w:rsidP="00756C3A">
      <w:pPr>
        <w:rPr>
          <w:b/>
          <w:bCs/>
          <w:i/>
          <w:iCs/>
          <w:color w:val="000000" w:themeColor="text1"/>
          <w:u w:val="single"/>
        </w:rPr>
      </w:pPr>
      <w:r w:rsidRPr="008C15D6">
        <w:rPr>
          <w:b/>
          <w:bCs/>
          <w:i/>
          <w:iCs/>
          <w:color w:val="000000" w:themeColor="text1"/>
          <w:u w:val="single"/>
        </w:rPr>
        <w:t>Option 2</w:t>
      </w:r>
    </w:p>
    <w:p w14:paraId="68426B31" w14:textId="77777777" w:rsidR="00206E65" w:rsidRPr="008C15D6" w:rsidRDefault="00206E65" w:rsidP="00756C3A">
      <w:pPr>
        <w:tabs>
          <w:tab w:val="clear" w:pos="1871"/>
          <w:tab w:val="clear" w:pos="2268"/>
          <w:tab w:val="center" w:pos="4820"/>
          <w:tab w:val="right" w:pos="9639"/>
        </w:tabs>
        <w:jc w:val="center"/>
        <w:rPr>
          <w:color w:val="000000" w:themeColor="text1"/>
        </w:rPr>
      </w:pPr>
      <w:r w:rsidRPr="008C15D6">
        <w:rPr>
          <w:color w:val="000000" w:themeColor="text1"/>
        </w:rPr>
        <w:tab/>
      </w:r>
      <w:r w:rsidRPr="008C15D6">
        <w:rPr>
          <w:color w:val="000000" w:themeColor="text1"/>
        </w:rPr>
        <w:tab/>
      </w:r>
      <w:r w:rsidRPr="008C15D6">
        <w:rPr>
          <w:color w:val="000000" w:themeColor="text1"/>
          <w:position w:val="-44"/>
        </w:rPr>
        <w:object w:dxaOrig="4400" w:dyaOrig="999" w14:anchorId="1E356C83">
          <v:shape id="shape71" o:spid="_x0000_i1027" type="#_x0000_t75" alt="" style="width:3in;height:50.1pt" o:ole="">
            <v:imagedata r:id="rId17" o:title=""/>
          </v:shape>
          <o:OLEObject Type="Embed" ProgID="Equation.DSMT4" ShapeID="shape71" DrawAspect="Content" ObjectID="_1761019501" r:id="rId18"/>
        </w:object>
      </w:r>
      <w:r w:rsidRPr="008C15D6">
        <w:rPr>
          <w:color w:val="000000" w:themeColor="text1"/>
        </w:rPr>
        <w:t>en degrés</w:t>
      </w:r>
      <w:r w:rsidRPr="008C15D6">
        <w:rPr>
          <w:color w:val="000000" w:themeColor="text1"/>
        </w:rPr>
        <w:tab/>
        <w:t>(1)</w:t>
      </w:r>
    </w:p>
    <w:p w14:paraId="57171941" w14:textId="77777777" w:rsidR="00206E65" w:rsidRPr="008C15D6" w:rsidRDefault="00206E65" w:rsidP="00756C3A">
      <w:pPr>
        <w:keepNext/>
        <w:rPr>
          <w:rFonts w:ascii="Cambria Math" w:hAnsi="Cambria Math"/>
          <w:color w:val="000000" w:themeColor="text1"/>
        </w:rPr>
      </w:pPr>
      <w:r w:rsidRPr="008C15D6">
        <w:rPr>
          <w:color w:val="000000" w:themeColor="text1"/>
        </w:rPr>
        <w:lastRenderedPageBreak/>
        <w:t>avec</w:t>
      </w:r>
    </w:p>
    <w:p w14:paraId="2C30C661" w14:textId="77777777" w:rsidR="00206E65" w:rsidRPr="008C15D6" w:rsidRDefault="00206E65" w:rsidP="00756C3A">
      <w:pPr>
        <w:tabs>
          <w:tab w:val="clear" w:pos="1871"/>
          <w:tab w:val="clear" w:pos="2268"/>
          <w:tab w:val="center" w:pos="4820"/>
          <w:tab w:val="right" w:pos="9639"/>
        </w:tabs>
        <w:rPr>
          <w:color w:val="000000" w:themeColor="text1"/>
        </w:rPr>
      </w:pPr>
      <w:r w:rsidRPr="008C15D6">
        <w:rPr>
          <w:color w:val="000000" w:themeColor="text1"/>
        </w:rPr>
        <w:tab/>
      </w:r>
      <w:r w:rsidRPr="008C15D6">
        <w:rPr>
          <w:color w:val="000000" w:themeColor="text1"/>
        </w:rPr>
        <w:tab/>
      </w:r>
      <w:r w:rsidRPr="008C15D6">
        <w:rPr>
          <w:color w:val="000000" w:themeColor="text1"/>
          <w:position w:val="-12"/>
        </w:rPr>
        <w:object w:dxaOrig="1500" w:dyaOrig="360" w14:anchorId="029090B2">
          <v:shape id="shape74" o:spid="_x0000_i1028" type="#_x0000_t75" style="width:1in;height:14.4pt" o:ole="">
            <v:imagedata r:id="rId19" o:title=""/>
          </v:shape>
          <o:OLEObject Type="Embed" ProgID="Equation.DSMT4" ShapeID="shape74" DrawAspect="Content" ObjectID="_1761019502" r:id="rId20"/>
        </w:object>
      </w:r>
    </w:p>
    <w:p w14:paraId="66374310" w14:textId="77777777" w:rsidR="00206E65" w:rsidRPr="008C15D6" w:rsidRDefault="00206E65" w:rsidP="00756C3A">
      <w:pPr>
        <w:keepNext/>
        <w:tabs>
          <w:tab w:val="left" w:pos="1588"/>
          <w:tab w:val="left" w:pos="1985"/>
        </w:tabs>
        <w:rPr>
          <w:color w:val="000000" w:themeColor="text1"/>
        </w:rPr>
      </w:pPr>
      <w:r w:rsidRPr="008C15D6">
        <w:rPr>
          <w:color w:val="000000" w:themeColor="text1"/>
        </w:rPr>
        <w:t>où</w:t>
      </w:r>
    </w:p>
    <w:p w14:paraId="7114B61E" w14:textId="77777777" w:rsidR="00206E65" w:rsidRPr="008C15D6" w:rsidRDefault="00206E65" w:rsidP="00756C3A">
      <w:pPr>
        <w:tabs>
          <w:tab w:val="clear" w:pos="1134"/>
          <w:tab w:val="clear" w:pos="2268"/>
          <w:tab w:val="right" w:pos="1871"/>
          <w:tab w:val="left" w:pos="2041"/>
        </w:tabs>
        <w:spacing w:before="80"/>
        <w:ind w:left="2041" w:hanging="2041"/>
        <w:rPr>
          <w:color w:val="000000" w:themeColor="text1"/>
        </w:rPr>
      </w:pPr>
      <w:r w:rsidRPr="008C15D6">
        <w:rPr>
          <w:color w:val="000000" w:themeColor="text1"/>
        </w:rPr>
        <w:tab/>
      </w:r>
      <w:r w:rsidRPr="008C15D6">
        <w:rPr>
          <w:i/>
          <w:iCs/>
          <w:color w:val="000000" w:themeColor="text1"/>
        </w:rPr>
        <w:t>R</w:t>
      </w:r>
      <w:r w:rsidRPr="008C15D6">
        <w:rPr>
          <w:i/>
          <w:iCs/>
          <w:color w:val="000000" w:themeColor="text1"/>
          <w:vertAlign w:val="subscript"/>
        </w:rPr>
        <w:t>e</w:t>
      </w:r>
      <w:r w:rsidRPr="008C15D6">
        <w:rPr>
          <w:i/>
          <w:iCs/>
          <w:color w:val="000000" w:themeColor="text1"/>
        </w:rPr>
        <w:t>:</w:t>
      </w:r>
      <w:r w:rsidRPr="008C15D6">
        <w:rPr>
          <w:color w:val="000000" w:themeColor="text1"/>
        </w:rPr>
        <w:tab/>
        <w:t>est le rayon de la Terre (soit 6 378 km).</w:t>
      </w:r>
    </w:p>
    <w:p w14:paraId="429BA006" w14:textId="77777777" w:rsidR="00206E65" w:rsidRPr="008C15D6" w:rsidRDefault="00206E65" w:rsidP="00756C3A">
      <w:pPr>
        <w:tabs>
          <w:tab w:val="clear" w:pos="1134"/>
          <w:tab w:val="clear" w:pos="2268"/>
          <w:tab w:val="right" w:pos="1871"/>
          <w:tab w:val="left" w:pos="2041"/>
        </w:tabs>
        <w:spacing w:before="80"/>
        <w:ind w:left="2041" w:hanging="2041"/>
        <w:rPr>
          <w:b/>
          <w:bCs/>
          <w:color w:val="000000" w:themeColor="text1"/>
          <w:u w:val="single"/>
        </w:rPr>
      </w:pPr>
      <w:r w:rsidRPr="008C15D6">
        <w:rPr>
          <w:b/>
          <w:bCs/>
          <w:i/>
          <w:iCs/>
          <w:color w:val="000000" w:themeColor="text1"/>
          <w:u w:val="single"/>
        </w:rPr>
        <w:t>Fin de l'Option 2</w:t>
      </w:r>
    </w:p>
    <w:p w14:paraId="6CB85BA6" w14:textId="77777777" w:rsidR="008C15D6" w:rsidRPr="008C15D6" w:rsidRDefault="008C15D6" w:rsidP="0032202E">
      <w:pPr>
        <w:pStyle w:val="Reasons"/>
      </w:pPr>
    </w:p>
    <w:p w14:paraId="6756DB39" w14:textId="56182BB1" w:rsidR="00253367" w:rsidRPr="008C15D6" w:rsidRDefault="008C15D6" w:rsidP="008C15D6">
      <w:pPr>
        <w:jc w:val="center"/>
      </w:pPr>
      <w:r w:rsidRPr="008C15D6">
        <w:t>______________</w:t>
      </w:r>
    </w:p>
    <w:sectPr w:rsidR="00253367" w:rsidRPr="008C15D6">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7E5E" w14:textId="77777777" w:rsidR="00EF6D4B" w:rsidRDefault="00EF6D4B">
      <w:r>
        <w:separator/>
      </w:r>
    </w:p>
  </w:endnote>
  <w:endnote w:type="continuationSeparator" w:id="0">
    <w:p w14:paraId="0F1A63A4" w14:textId="77777777" w:rsidR="00EF6D4B" w:rsidRDefault="00EF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8F11" w14:textId="3719660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C15D6">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89CC" w14:textId="16695744" w:rsidR="00206E65" w:rsidRPr="00206E65" w:rsidRDefault="00936D25" w:rsidP="007B2C34">
    <w:pPr>
      <w:pStyle w:val="Footer"/>
    </w:pPr>
    <w:r>
      <w:fldChar w:fldCharType="begin"/>
    </w:r>
    <w:r>
      <w:rPr>
        <w:lang w:val="en-US"/>
      </w:rPr>
      <w:instrText xml:space="preserve"> FILENAME \p  \* MERGEFORMAT </w:instrText>
    </w:r>
    <w:r>
      <w:fldChar w:fldCharType="separate"/>
    </w:r>
    <w:r w:rsidR="00172CF9">
      <w:rPr>
        <w:lang w:val="en-US"/>
      </w:rPr>
      <w:t>P:\FRA\ITU-R\CONF-R\CMR23\000\087ADD22ADD01F.docx</w:t>
    </w:r>
    <w:r>
      <w:fldChar w:fldCharType="end"/>
    </w:r>
    <w:r w:rsidR="00206E65">
      <w:t xml:space="preserve"> (530021)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0B43" w14:textId="04C6AC6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72CF9">
      <w:rPr>
        <w:lang w:val="en-US"/>
      </w:rPr>
      <w:t>P:\FRA\ITU-R\CONF-R\CMR23\000\087ADD22ADD01F.docx</w:t>
    </w:r>
    <w:r>
      <w:fldChar w:fldCharType="end"/>
    </w:r>
    <w:r w:rsidR="007500C1">
      <w:t xml:space="preserve"> (530021)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F8AE" w14:textId="77777777" w:rsidR="00EF6D4B" w:rsidRDefault="00EF6D4B">
      <w:r>
        <w:rPr>
          <w:b/>
        </w:rPr>
        <w:t>_______________</w:t>
      </w:r>
    </w:p>
  </w:footnote>
  <w:footnote w:type="continuationSeparator" w:id="0">
    <w:p w14:paraId="36A711A9" w14:textId="77777777" w:rsidR="00EF6D4B" w:rsidRDefault="00EF6D4B">
      <w:r>
        <w:continuationSeparator/>
      </w:r>
    </w:p>
  </w:footnote>
  <w:footnote w:id="1">
    <w:p w14:paraId="144DC3D3" w14:textId="77777777" w:rsidR="00206E65" w:rsidRPr="00D76C48" w:rsidRDefault="00206E65" w:rsidP="00756C3A">
      <w:pPr>
        <w:pStyle w:val="FootnoteText"/>
        <w:keepNext/>
      </w:pPr>
      <w:r w:rsidRPr="00D76C48">
        <w:rPr>
          <w:rStyle w:val="FootnoteReference"/>
        </w:rPr>
        <w:t>1</w:t>
      </w:r>
      <w:r w:rsidRPr="00D76C48">
        <w:tab/>
        <w:t>L'excentricité «</w:t>
      </w:r>
      <w:r w:rsidRPr="00D76C48">
        <w:rPr>
          <w:i/>
          <w:iCs/>
        </w:rPr>
        <w:t>e</w:t>
      </w:r>
      <w:r w:rsidRPr="00D76C48">
        <w:t xml:space="preserve">» est égale à: </w:t>
      </w:r>
      <w:r w:rsidRPr="00D76C48">
        <w:rPr>
          <w:position w:val="-18"/>
        </w:rPr>
        <w:object w:dxaOrig="2386" w:dyaOrig="494" w14:anchorId="416A2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59" o:spid="_x0000_i1030" type="#_x0000_t75" style="width:122.7pt;height:21.9pt" o:ole="">
            <v:imagedata r:id="rId1" o:title=""/>
          </v:shape>
          <o:OLEObject Type="Embed" ProgID="Equation.DSMT4" ShapeID="shapeFooter59" DrawAspect="Content" ObjectID="_1761019503" r:id="rId2"/>
        </w:object>
      </w:r>
      <w:r w:rsidRPr="00D76C48">
        <w:t>,</w:t>
      </w:r>
    </w:p>
    <w:p w14:paraId="065E356C" w14:textId="77777777" w:rsidR="00206E65" w:rsidRPr="00D76C48" w:rsidRDefault="00206E65" w:rsidP="00756C3A">
      <w:pPr>
        <w:pStyle w:val="FootnoteText"/>
        <w:keepNext/>
      </w:pPr>
      <w:r w:rsidRPr="00D76C48">
        <w:t>où:</w:t>
      </w:r>
    </w:p>
    <w:p w14:paraId="67341373" w14:textId="77777777" w:rsidR="00206E65" w:rsidRPr="00D76C48" w:rsidRDefault="00206E65" w:rsidP="00756C3A">
      <w:pPr>
        <w:pStyle w:val="FootnoteText"/>
        <w:keepNext/>
        <w:ind w:left="1134"/>
      </w:pPr>
      <w:r w:rsidRPr="00D76C48">
        <w:rPr>
          <w:i/>
          <w:iCs/>
        </w:rPr>
        <w:t>R</w:t>
      </w:r>
      <w:r w:rsidRPr="00D76C48">
        <w:rPr>
          <w:i/>
          <w:iCs/>
          <w:vertAlign w:val="subscript"/>
        </w:rPr>
        <w:t>a</w:t>
      </w:r>
      <w:r w:rsidRPr="00D76C48">
        <w:t>:</w:t>
      </w:r>
      <w:r w:rsidRPr="00D76C48">
        <w:tab/>
        <w:t>distance entre le centre de la Terre et la station spatiale à l'apogée</w:t>
      </w:r>
    </w:p>
    <w:p w14:paraId="53DB0ADA" w14:textId="77777777" w:rsidR="00206E65" w:rsidRPr="003D7FBF" w:rsidRDefault="00206E65" w:rsidP="00756C3A">
      <w:pPr>
        <w:pStyle w:val="FootnoteText"/>
        <w:keepNext/>
        <w:ind w:left="1134"/>
        <w:rPr>
          <w:highlight w:val="cyan"/>
        </w:rPr>
      </w:pPr>
      <w:r w:rsidRPr="00D76C48">
        <w:rPr>
          <w:i/>
          <w:iCs/>
        </w:rPr>
        <w:t>R</w:t>
      </w:r>
      <w:r w:rsidRPr="00D76C48">
        <w:rPr>
          <w:i/>
          <w:iCs/>
          <w:vertAlign w:val="subscript"/>
        </w:rPr>
        <w:t>p</w:t>
      </w:r>
      <w:r w:rsidRPr="00D76C48">
        <w:t>:</w:t>
      </w:r>
      <w:r w:rsidRPr="00D76C48">
        <w:tab/>
        <w:t>distance entre le centre de la Terre et la station spatiale au périgée.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DD1E" w14:textId="0B87C141" w:rsidR="004F1F8E" w:rsidRDefault="004F1F8E" w:rsidP="004F1F8E">
    <w:pPr>
      <w:pStyle w:val="Header"/>
    </w:pPr>
    <w:r>
      <w:fldChar w:fldCharType="begin"/>
    </w:r>
    <w:r>
      <w:instrText xml:space="preserve"> PAGE </w:instrText>
    </w:r>
    <w:r>
      <w:fldChar w:fldCharType="separate"/>
    </w:r>
    <w:r w:rsidR="0074591A">
      <w:rPr>
        <w:noProof/>
      </w:rPr>
      <w:t>7</w:t>
    </w:r>
    <w:r>
      <w:fldChar w:fldCharType="end"/>
    </w:r>
  </w:p>
  <w:p w14:paraId="6CABB7C4" w14:textId="77777777" w:rsidR="004F1F8E" w:rsidRDefault="00225CF2" w:rsidP="00FD7AA3">
    <w:pPr>
      <w:pStyle w:val="Header"/>
    </w:pPr>
    <w:r>
      <w:t>WRC</w:t>
    </w:r>
    <w:r w:rsidR="00D3426F">
      <w:t>23</w:t>
    </w:r>
    <w:r w:rsidR="004F1F8E">
      <w:t>/</w:t>
    </w:r>
    <w:r w:rsidR="006A4B45">
      <w:t>87(Add.22)(Add.1)-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33972893">
    <w:abstractNumId w:val="0"/>
  </w:num>
  <w:num w:numId="2" w16cid:durableId="21091595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e">
    <w15:presenceInfo w15:providerId="None" w15:userId="Frenche"/>
  </w15:person>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2CF9"/>
    <w:rsid w:val="0018169B"/>
    <w:rsid w:val="0019352B"/>
    <w:rsid w:val="001960D0"/>
    <w:rsid w:val="001A11F6"/>
    <w:rsid w:val="001F17E8"/>
    <w:rsid w:val="00204306"/>
    <w:rsid w:val="00206E65"/>
    <w:rsid w:val="00225CF2"/>
    <w:rsid w:val="00232FD2"/>
    <w:rsid w:val="00253367"/>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4863"/>
    <w:rsid w:val="00690C7B"/>
    <w:rsid w:val="006A4B45"/>
    <w:rsid w:val="006D4724"/>
    <w:rsid w:val="006F5FA2"/>
    <w:rsid w:val="0070076C"/>
    <w:rsid w:val="00701BAE"/>
    <w:rsid w:val="00721F04"/>
    <w:rsid w:val="00730E95"/>
    <w:rsid w:val="007426B9"/>
    <w:rsid w:val="0074591A"/>
    <w:rsid w:val="007500C1"/>
    <w:rsid w:val="00764342"/>
    <w:rsid w:val="00774362"/>
    <w:rsid w:val="00786598"/>
    <w:rsid w:val="00790C74"/>
    <w:rsid w:val="007A04E8"/>
    <w:rsid w:val="007B2C34"/>
    <w:rsid w:val="007F282B"/>
    <w:rsid w:val="00830086"/>
    <w:rsid w:val="00851625"/>
    <w:rsid w:val="00863C0A"/>
    <w:rsid w:val="008A3120"/>
    <w:rsid w:val="008A4B97"/>
    <w:rsid w:val="008C15D6"/>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85E8F"/>
    <w:rsid w:val="00AD6B38"/>
    <w:rsid w:val="00AE36A0"/>
    <w:rsid w:val="00B00294"/>
    <w:rsid w:val="00B3749C"/>
    <w:rsid w:val="00B64FD0"/>
    <w:rsid w:val="00BA5BD0"/>
    <w:rsid w:val="00BB1D82"/>
    <w:rsid w:val="00BB575B"/>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B621D"/>
    <w:rsid w:val="00EC7615"/>
    <w:rsid w:val="00ED16AA"/>
    <w:rsid w:val="00ED6B8D"/>
    <w:rsid w:val="00EE3D7B"/>
    <w:rsid w:val="00EF662E"/>
    <w:rsid w:val="00EF6D4B"/>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FDFF5C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7500C1"/>
  </w:style>
  <w:style w:type="paragraph" w:styleId="Revision">
    <w:name w:val="Revision"/>
    <w:hidden/>
    <w:uiPriority w:val="99"/>
    <w:semiHidden/>
    <w:rsid w:val="007500C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1655530-4E12-4923-B911-FB34B437D12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34CDF73-008E-4BE9-89D4-36CF48C8E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AB9E9-3C8C-4B6E-891D-1515582344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2232</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R23-WRC23-C-0087!A22-A1!MSW-F</vt:lpstr>
    </vt:vector>
  </TitlesOfParts>
  <Manager>Secrétariat général - Pool</Manager>
  <Company>Union internationale des télécommunications (UIT)</Company>
  <LinksUpToDate>false</LinksUpToDate>
  <CharactersWithSpaces>14736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2023-11-08T16:39:00Z</dcterms:created>
  <dcterms:modified xsi:type="dcterms:W3CDTF">2023-11-09T06:17:00Z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