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70A65" w14:paraId="0ED2148A" w14:textId="77777777" w:rsidTr="00C1305F">
        <w:trPr>
          <w:cantSplit/>
        </w:trPr>
        <w:tc>
          <w:tcPr>
            <w:tcW w:w="1418" w:type="dxa"/>
            <w:vAlign w:val="center"/>
          </w:tcPr>
          <w:p w14:paraId="01131912" w14:textId="77777777" w:rsidR="00C1305F" w:rsidRPr="00570A65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70A65">
              <w:drawing>
                <wp:inline distT="0" distB="0" distL="0" distR="0" wp14:anchorId="28855D9E" wp14:editId="1F6547F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4B5741F" w14:textId="44C6BC4D" w:rsidR="00C1305F" w:rsidRPr="00570A65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70A65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70A65">
              <w:rPr>
                <w:rFonts w:ascii="Verdana" w:hAnsi="Verdana"/>
                <w:b/>
                <w:bCs/>
                <w:sz w:val="20"/>
              </w:rPr>
              <w:br/>
            </w:r>
            <w:r w:rsidRPr="00570A65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A5A5F" w:rsidRPr="00570A6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70A65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034A606" w14:textId="77777777" w:rsidR="00C1305F" w:rsidRPr="00570A65" w:rsidRDefault="00C1305F" w:rsidP="00C1305F">
            <w:pPr>
              <w:spacing w:before="0" w:line="240" w:lineRule="atLeast"/>
            </w:pPr>
            <w:r w:rsidRPr="00570A65">
              <w:drawing>
                <wp:inline distT="0" distB="0" distL="0" distR="0" wp14:anchorId="0B87D410" wp14:editId="74DF15C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70A65" w14:paraId="2449AB5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C6ABC3D" w14:textId="77777777" w:rsidR="00BB1D82" w:rsidRPr="00570A65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5C43C4A" w14:textId="77777777" w:rsidR="00BB1D82" w:rsidRPr="00570A65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570A65" w14:paraId="6260C42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93EF4E2" w14:textId="77777777" w:rsidR="00BB1D82" w:rsidRPr="00570A65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F45587F" w14:textId="77777777" w:rsidR="00BB1D82" w:rsidRPr="00570A65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570A65" w14:paraId="0DABA27B" w14:textId="77777777" w:rsidTr="00BB1D82">
        <w:trPr>
          <w:cantSplit/>
        </w:trPr>
        <w:tc>
          <w:tcPr>
            <w:tcW w:w="6911" w:type="dxa"/>
            <w:gridSpan w:val="2"/>
          </w:tcPr>
          <w:p w14:paraId="3552A321" w14:textId="77777777" w:rsidR="00BB1D82" w:rsidRPr="00570A65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70A65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E48E5FB" w14:textId="77777777" w:rsidR="00BB1D82" w:rsidRPr="00570A65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570A65">
              <w:rPr>
                <w:rFonts w:ascii="Verdana" w:hAnsi="Verdana"/>
                <w:b/>
                <w:sz w:val="20"/>
              </w:rPr>
              <w:t>Addendum 13 au</w:t>
            </w:r>
            <w:r w:rsidRPr="00570A65">
              <w:rPr>
                <w:rFonts w:ascii="Verdana" w:hAnsi="Verdana"/>
                <w:b/>
                <w:sz w:val="20"/>
              </w:rPr>
              <w:br/>
              <w:t>Document 87</w:t>
            </w:r>
            <w:r w:rsidR="00BB1D82" w:rsidRPr="00570A65">
              <w:rPr>
                <w:rFonts w:ascii="Verdana" w:hAnsi="Verdana"/>
                <w:b/>
                <w:sz w:val="20"/>
              </w:rPr>
              <w:t>-</w:t>
            </w:r>
            <w:r w:rsidRPr="00570A65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570A65" w14:paraId="06AF04B7" w14:textId="77777777" w:rsidTr="00BB1D82">
        <w:trPr>
          <w:cantSplit/>
        </w:trPr>
        <w:tc>
          <w:tcPr>
            <w:tcW w:w="6911" w:type="dxa"/>
            <w:gridSpan w:val="2"/>
          </w:tcPr>
          <w:p w14:paraId="0C85096D" w14:textId="77777777" w:rsidR="00690C7B" w:rsidRPr="00570A6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6C74BAC" w14:textId="77777777" w:rsidR="00690C7B" w:rsidRPr="00570A6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70A65">
              <w:rPr>
                <w:rFonts w:ascii="Verdana" w:hAnsi="Verdana"/>
                <w:b/>
                <w:sz w:val="20"/>
              </w:rPr>
              <w:t>23 octobre 2023</w:t>
            </w:r>
          </w:p>
        </w:tc>
      </w:tr>
      <w:tr w:rsidR="00690C7B" w:rsidRPr="00570A65" w14:paraId="7939C567" w14:textId="77777777" w:rsidTr="00BB1D82">
        <w:trPr>
          <w:cantSplit/>
        </w:trPr>
        <w:tc>
          <w:tcPr>
            <w:tcW w:w="6911" w:type="dxa"/>
            <w:gridSpan w:val="2"/>
          </w:tcPr>
          <w:p w14:paraId="0354A44B" w14:textId="77777777" w:rsidR="00690C7B" w:rsidRPr="00570A65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12F937B" w14:textId="77777777" w:rsidR="00690C7B" w:rsidRPr="00570A6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70A65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70A65" w14:paraId="79728B87" w14:textId="77777777" w:rsidTr="00C11970">
        <w:trPr>
          <w:cantSplit/>
        </w:trPr>
        <w:tc>
          <w:tcPr>
            <w:tcW w:w="10031" w:type="dxa"/>
            <w:gridSpan w:val="4"/>
          </w:tcPr>
          <w:p w14:paraId="3856EA98" w14:textId="77777777" w:rsidR="00690C7B" w:rsidRPr="00570A6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70A65" w14:paraId="040BC4FD" w14:textId="77777777" w:rsidTr="0050008E">
        <w:trPr>
          <w:cantSplit/>
        </w:trPr>
        <w:tc>
          <w:tcPr>
            <w:tcW w:w="10031" w:type="dxa"/>
            <w:gridSpan w:val="4"/>
          </w:tcPr>
          <w:p w14:paraId="3A5FB0BB" w14:textId="77777777" w:rsidR="00690C7B" w:rsidRPr="00570A65" w:rsidRDefault="00690C7B" w:rsidP="00690C7B">
            <w:pPr>
              <w:pStyle w:val="Source"/>
            </w:pPr>
            <w:bookmarkStart w:id="0" w:name="dsource" w:colFirst="0" w:colLast="0"/>
            <w:r w:rsidRPr="00570A65">
              <w:t>Propositions africaines communes</w:t>
            </w:r>
          </w:p>
        </w:tc>
      </w:tr>
      <w:tr w:rsidR="00690C7B" w:rsidRPr="00570A65" w14:paraId="169E4D15" w14:textId="77777777" w:rsidTr="0050008E">
        <w:trPr>
          <w:cantSplit/>
        </w:trPr>
        <w:tc>
          <w:tcPr>
            <w:tcW w:w="10031" w:type="dxa"/>
            <w:gridSpan w:val="4"/>
          </w:tcPr>
          <w:p w14:paraId="5290C339" w14:textId="085EB25C" w:rsidR="00690C7B" w:rsidRPr="00570A65" w:rsidRDefault="000A5A5F" w:rsidP="00690C7B">
            <w:pPr>
              <w:pStyle w:val="Title1"/>
            </w:pPr>
            <w:bookmarkStart w:id="1" w:name="dtitle1" w:colFirst="0" w:colLast="0"/>
            <w:bookmarkEnd w:id="0"/>
            <w:r w:rsidRPr="00570A65">
              <w:t>propositions pour les travaux de la conférence</w:t>
            </w:r>
          </w:p>
        </w:tc>
      </w:tr>
      <w:tr w:rsidR="00690C7B" w:rsidRPr="00570A65" w14:paraId="5FD87436" w14:textId="77777777" w:rsidTr="0050008E">
        <w:trPr>
          <w:cantSplit/>
        </w:trPr>
        <w:tc>
          <w:tcPr>
            <w:tcW w:w="10031" w:type="dxa"/>
            <w:gridSpan w:val="4"/>
          </w:tcPr>
          <w:p w14:paraId="51FFDD45" w14:textId="77777777" w:rsidR="00690C7B" w:rsidRPr="00570A65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570A65" w14:paraId="27FD1C57" w14:textId="77777777" w:rsidTr="0050008E">
        <w:trPr>
          <w:cantSplit/>
        </w:trPr>
        <w:tc>
          <w:tcPr>
            <w:tcW w:w="10031" w:type="dxa"/>
            <w:gridSpan w:val="4"/>
          </w:tcPr>
          <w:p w14:paraId="0DEF14C9" w14:textId="77777777" w:rsidR="00690C7B" w:rsidRPr="00570A65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570A65">
              <w:rPr>
                <w:lang w:val="fr-FR"/>
              </w:rPr>
              <w:t>Point 1.13 de l'ordre du jour</w:t>
            </w:r>
          </w:p>
        </w:tc>
      </w:tr>
    </w:tbl>
    <w:bookmarkEnd w:id="3"/>
    <w:p w14:paraId="34350DB9" w14:textId="77777777" w:rsidR="00F831EB" w:rsidRPr="00570A65" w:rsidRDefault="00F831EB" w:rsidP="00F36842">
      <w:pPr>
        <w:rPr>
          <w:bCs/>
          <w:iCs/>
        </w:rPr>
      </w:pPr>
      <w:r w:rsidRPr="00570A65">
        <w:rPr>
          <w:bCs/>
          <w:iCs/>
        </w:rPr>
        <w:t>1.13</w:t>
      </w:r>
      <w:r w:rsidRPr="00570A65">
        <w:rPr>
          <w:bCs/>
          <w:iCs/>
        </w:rPr>
        <w:tab/>
        <w:t xml:space="preserve">envisager la possibilité de relever le statut de l'attribution de la bande de fréquences 14,8-15,35 GHz au service de recherche spatiale, conformément à la Résolution </w:t>
      </w:r>
      <w:r w:rsidRPr="00570A65">
        <w:rPr>
          <w:b/>
          <w:bCs/>
          <w:iCs/>
        </w:rPr>
        <w:t>661 (CMR</w:t>
      </w:r>
      <w:r w:rsidRPr="00570A65">
        <w:rPr>
          <w:b/>
          <w:bCs/>
          <w:iCs/>
        </w:rPr>
        <w:noBreakHyphen/>
        <w:t>19)</w:t>
      </w:r>
      <w:r w:rsidRPr="00570A65">
        <w:rPr>
          <w:bCs/>
          <w:iCs/>
        </w:rPr>
        <w:t>;</w:t>
      </w:r>
    </w:p>
    <w:p w14:paraId="579F53E5" w14:textId="77777777" w:rsidR="0015203F" w:rsidRPr="00570A65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0A65">
        <w:br w:type="page"/>
      </w:r>
    </w:p>
    <w:p w14:paraId="16626451" w14:textId="77777777" w:rsidR="00DB3364" w:rsidRPr="00570A65" w:rsidRDefault="00F831EB">
      <w:pPr>
        <w:pStyle w:val="Proposal"/>
      </w:pPr>
      <w:r w:rsidRPr="00570A65">
        <w:rPr>
          <w:u w:val="single"/>
        </w:rPr>
        <w:lastRenderedPageBreak/>
        <w:t>NOC</w:t>
      </w:r>
      <w:r w:rsidRPr="00570A65">
        <w:tab/>
        <w:t>AFCP/87A13/1</w:t>
      </w:r>
      <w:r w:rsidRPr="00570A65">
        <w:rPr>
          <w:vanish/>
          <w:color w:val="7F7F7F" w:themeColor="text1" w:themeTint="80"/>
          <w:vertAlign w:val="superscript"/>
        </w:rPr>
        <w:t>#1815</w:t>
      </w:r>
    </w:p>
    <w:p w14:paraId="57AF2F05" w14:textId="77777777" w:rsidR="00F831EB" w:rsidRPr="00570A65" w:rsidRDefault="00F831EB" w:rsidP="00756C3A">
      <w:pPr>
        <w:pStyle w:val="Volumetitle"/>
        <w:rPr>
          <w:b w:val="0"/>
          <w:bCs/>
          <w:lang w:val="fr-FR"/>
        </w:rPr>
      </w:pPr>
      <w:r w:rsidRPr="00570A65">
        <w:rPr>
          <w:bCs/>
          <w:lang w:val="fr-FR"/>
        </w:rPr>
        <w:t>ARTICLES</w:t>
      </w:r>
    </w:p>
    <w:p w14:paraId="76ABCA79" w14:textId="77777777" w:rsidR="00DB3364" w:rsidRPr="00570A65" w:rsidRDefault="00DB3364">
      <w:pPr>
        <w:pStyle w:val="Reasons"/>
      </w:pPr>
    </w:p>
    <w:p w14:paraId="3783873B" w14:textId="77777777" w:rsidR="00DB3364" w:rsidRPr="00570A65" w:rsidRDefault="00F831EB">
      <w:pPr>
        <w:pStyle w:val="Proposal"/>
      </w:pPr>
      <w:r w:rsidRPr="00570A65">
        <w:rPr>
          <w:u w:val="single"/>
        </w:rPr>
        <w:t>NOC</w:t>
      </w:r>
      <w:r w:rsidRPr="00570A65">
        <w:tab/>
        <w:t>AFCP/87A13/2</w:t>
      </w:r>
      <w:r w:rsidRPr="00570A65">
        <w:rPr>
          <w:vanish/>
          <w:color w:val="7F7F7F" w:themeColor="text1" w:themeTint="80"/>
          <w:vertAlign w:val="superscript"/>
        </w:rPr>
        <w:t>#1816</w:t>
      </w:r>
    </w:p>
    <w:p w14:paraId="4BE7C543" w14:textId="77777777" w:rsidR="00F831EB" w:rsidRPr="00570A65" w:rsidRDefault="00F831EB" w:rsidP="00F831EB">
      <w:pPr>
        <w:pStyle w:val="Volumetitle"/>
        <w:rPr>
          <w:b w:val="0"/>
          <w:bCs/>
          <w:lang w:val="fr-FR"/>
        </w:rPr>
      </w:pPr>
      <w:bookmarkStart w:id="4" w:name="_Toc327956568"/>
      <w:r w:rsidRPr="00570A65">
        <w:rPr>
          <w:bCs/>
          <w:lang w:val="fr-FR"/>
        </w:rPr>
        <w:t>APPENDICE</w:t>
      </w:r>
      <w:bookmarkEnd w:id="4"/>
      <w:r w:rsidRPr="00570A65">
        <w:rPr>
          <w:bCs/>
          <w:lang w:val="fr-FR"/>
        </w:rPr>
        <w:t>S</w:t>
      </w:r>
    </w:p>
    <w:p w14:paraId="15878B96" w14:textId="77777777" w:rsidR="00DB3364" w:rsidRPr="00570A65" w:rsidRDefault="00DB3364">
      <w:pPr>
        <w:pStyle w:val="Reasons"/>
      </w:pPr>
    </w:p>
    <w:p w14:paraId="0C02B0B8" w14:textId="77777777" w:rsidR="00DB3364" w:rsidRPr="00570A65" w:rsidRDefault="00F831EB">
      <w:pPr>
        <w:pStyle w:val="Proposal"/>
      </w:pPr>
      <w:r w:rsidRPr="00570A65">
        <w:t>SUP</w:t>
      </w:r>
      <w:r w:rsidRPr="00570A65">
        <w:tab/>
        <w:t>AFCP/87A13/3</w:t>
      </w:r>
      <w:r w:rsidRPr="00570A65">
        <w:rPr>
          <w:vanish/>
          <w:color w:val="7F7F7F" w:themeColor="text1" w:themeTint="80"/>
          <w:vertAlign w:val="superscript"/>
        </w:rPr>
        <w:t>#1817</w:t>
      </w:r>
    </w:p>
    <w:p w14:paraId="5E42314C" w14:textId="77777777" w:rsidR="00F831EB" w:rsidRPr="00D635E3" w:rsidRDefault="00F831EB" w:rsidP="00D635E3">
      <w:pPr>
        <w:pStyle w:val="ResNo"/>
      </w:pPr>
      <w:bookmarkStart w:id="5" w:name="_Toc35933881"/>
      <w:bookmarkStart w:id="6" w:name="_Toc39829339"/>
      <w:r w:rsidRPr="00D635E3">
        <w:t xml:space="preserve">RÉSOLUTION </w:t>
      </w:r>
      <w:r w:rsidRPr="00D635E3">
        <w:rPr>
          <w:rStyle w:val="href"/>
        </w:rPr>
        <w:t>661</w:t>
      </w:r>
      <w:r w:rsidRPr="00D635E3">
        <w:t xml:space="preserve"> (CMR-19)</w:t>
      </w:r>
      <w:bookmarkEnd w:id="5"/>
      <w:bookmarkEnd w:id="6"/>
    </w:p>
    <w:p w14:paraId="2C6A2221" w14:textId="77777777" w:rsidR="00F831EB" w:rsidRPr="00570A65" w:rsidRDefault="00F831EB" w:rsidP="00756C3A">
      <w:pPr>
        <w:pStyle w:val="Restitle"/>
      </w:pPr>
      <w:r w:rsidRPr="00570A65">
        <w:t xml:space="preserve">Examen d'un relèvement possible au statut primaire de l'attribution </w:t>
      </w:r>
      <w:r w:rsidRPr="00570A65">
        <w:br/>
        <w:t xml:space="preserve">à titre secondaire au service de recherche spatiale </w:t>
      </w:r>
      <w:r w:rsidRPr="00570A65">
        <w:br/>
        <w:t>dans la bande de fréquences 14,8</w:t>
      </w:r>
      <w:r w:rsidRPr="00570A65">
        <w:noBreakHyphen/>
        <w:t>15,35 GHz</w:t>
      </w:r>
    </w:p>
    <w:p w14:paraId="7EAC0694" w14:textId="12DC99D1" w:rsidR="00DB3364" w:rsidRPr="00570A65" w:rsidRDefault="00F831EB">
      <w:pPr>
        <w:pStyle w:val="Reasons"/>
      </w:pPr>
      <w:r w:rsidRPr="00570A65">
        <w:rPr>
          <w:b/>
        </w:rPr>
        <w:t>Motifs:</w:t>
      </w:r>
      <w:r w:rsidRPr="00570A65">
        <w:tab/>
      </w:r>
      <w:r w:rsidR="00B70C82" w:rsidRPr="00570A65">
        <w:t>Il est proposé de supprim</w:t>
      </w:r>
      <w:r w:rsidR="00F24861" w:rsidRPr="00570A65">
        <w:t>er</w:t>
      </w:r>
      <w:r w:rsidR="00B70C82" w:rsidRPr="00570A65">
        <w:t xml:space="preserve"> cette Résolution, étant donné que les méthodes qu'elle décrit n</w:t>
      </w:r>
      <w:r w:rsidR="00464564" w:rsidRPr="00570A65">
        <w:t>'</w:t>
      </w:r>
      <w:r w:rsidR="00B70C82" w:rsidRPr="00570A65">
        <w:t xml:space="preserve">empêchent pas les brouillages préjudiciables causés aux services existants et ne protègent pas les systèmes des services primaires dans la bande de fréquences 14,8-15,35 GHz. </w:t>
      </w:r>
      <w:r w:rsidR="00F24861" w:rsidRPr="00570A65">
        <w:t xml:space="preserve">Cet avis </w:t>
      </w:r>
      <w:r w:rsidR="00B70C82" w:rsidRPr="00570A65">
        <w:t>peut changer si les conditions d</w:t>
      </w:r>
      <w:r w:rsidR="00464564" w:rsidRPr="00570A65">
        <w:t>'</w:t>
      </w:r>
      <w:r w:rsidR="00B70C82" w:rsidRPr="00570A65">
        <w:t>utilisation permettent de protéger les services existants contre les brouillages préjudiciables.</w:t>
      </w:r>
    </w:p>
    <w:p w14:paraId="742EFEBB" w14:textId="4C90E647" w:rsidR="00F831EB" w:rsidRPr="00570A65" w:rsidRDefault="00B70C82" w:rsidP="00085A0C">
      <w:r w:rsidRPr="00570A65">
        <w:t xml:space="preserve">Les </w:t>
      </w:r>
      <w:r w:rsidR="00D635E3" w:rsidRPr="00570A65">
        <w:t>A</w:t>
      </w:r>
      <w:r w:rsidRPr="00570A65">
        <w:t>dministrations</w:t>
      </w:r>
      <w:r w:rsidR="00BA7DE4" w:rsidRPr="00570A65">
        <w:t xml:space="preserve"> des pays membres</w:t>
      </w:r>
      <w:r w:rsidRPr="00570A65">
        <w:t xml:space="preserve"> de l</w:t>
      </w:r>
      <w:r w:rsidR="00464564" w:rsidRPr="00570A65">
        <w:t>'</w:t>
      </w:r>
      <w:r w:rsidRPr="00570A65">
        <w:t>UAT sont invitées à continuer d</w:t>
      </w:r>
      <w:r w:rsidR="00464564" w:rsidRPr="00570A65">
        <w:t>'</w:t>
      </w:r>
      <w:r w:rsidRPr="00570A65">
        <w:t xml:space="preserve">examiner les </w:t>
      </w:r>
      <w:r w:rsidR="008D1B25" w:rsidRPr="00570A65">
        <w:t>éléments nouveaux concernant</w:t>
      </w:r>
      <w:r w:rsidRPr="00570A65">
        <w:t xml:space="preserve"> ce point de l</w:t>
      </w:r>
      <w:r w:rsidR="00464564" w:rsidRPr="00570A65">
        <w:t>'</w:t>
      </w:r>
      <w:r w:rsidRPr="00570A65">
        <w:t xml:space="preserve">ordre du jour et à </w:t>
      </w:r>
      <w:r w:rsidR="00F24861" w:rsidRPr="00570A65">
        <w:t>envisager</w:t>
      </w:r>
      <w:r w:rsidRPr="00570A65">
        <w:t xml:space="preserve"> le relèvement éventuel du statut du service de recherche spatiale dans la bande de fréquences 14,8-15,35 GHz tout en </w:t>
      </w:r>
      <w:r w:rsidR="00552484" w:rsidRPr="00570A65">
        <w:t>assurant la protection des</w:t>
      </w:r>
      <w:r w:rsidRPr="00570A65">
        <w:t xml:space="preserve"> services primaires dans cette bande de fréquences, en vue d</w:t>
      </w:r>
      <w:r w:rsidR="00464564" w:rsidRPr="00570A65">
        <w:t>'</w:t>
      </w:r>
      <w:r w:rsidRPr="00570A65">
        <w:t>appuyer éventuellement la Méthode E1 ou la Méthode E2</w:t>
      </w:r>
      <w:r w:rsidR="00552484" w:rsidRPr="00570A65">
        <w:t>, dans le cas où les exigences</w:t>
      </w:r>
      <w:r w:rsidRPr="00570A65">
        <w:t xml:space="preserve"> relatives à la protection des services fixe et mobile ainsi que du service de radioastronomie</w:t>
      </w:r>
      <w:r w:rsidR="00552484" w:rsidRPr="00570A65">
        <w:t xml:space="preserve"> seraient satisfaites</w:t>
      </w:r>
      <w:r w:rsidRPr="00570A65">
        <w:t>.</w:t>
      </w:r>
    </w:p>
    <w:p w14:paraId="047A3DEA" w14:textId="2F37AF21" w:rsidR="00B70C82" w:rsidRPr="00570A65" w:rsidRDefault="00B70C82" w:rsidP="004137FA">
      <w:pPr>
        <w:pStyle w:val="Note"/>
      </w:pPr>
      <w:r w:rsidRPr="00570A65">
        <w:t xml:space="preserve">Note: L'Administration de la Tunisie </w:t>
      </w:r>
      <w:r w:rsidR="008D1B25" w:rsidRPr="00570A65">
        <w:t xml:space="preserve">appuie </w:t>
      </w:r>
      <w:r w:rsidRPr="00570A65">
        <w:t xml:space="preserve">une méthode différente </w:t>
      </w:r>
      <w:r w:rsidR="00A40859" w:rsidRPr="00570A65">
        <w:t xml:space="preserve">de celle </w:t>
      </w:r>
      <w:r w:rsidR="008D1B25" w:rsidRPr="00570A65">
        <w:t xml:space="preserve">choisie par </w:t>
      </w:r>
      <w:r w:rsidR="00A40859" w:rsidRPr="00570A65">
        <w:t>l'AFCP pour</w:t>
      </w:r>
      <w:r w:rsidR="008D1B25" w:rsidRPr="00570A65">
        <w:t xml:space="preserve"> traiter</w:t>
      </w:r>
      <w:r w:rsidR="00A40859" w:rsidRPr="00570A65">
        <w:t xml:space="preserve"> le point 1.13 de l'ordre du jour de la CMR-23, sans </w:t>
      </w:r>
      <w:r w:rsidR="008D1B25" w:rsidRPr="00570A65">
        <w:t>pour autant</w:t>
      </w:r>
      <w:r w:rsidR="00A40859" w:rsidRPr="00570A65">
        <w:t xml:space="preserve"> s'</w:t>
      </w:r>
      <w:r w:rsidR="008D1B25" w:rsidRPr="00570A65">
        <w:t xml:space="preserve">y </w:t>
      </w:r>
      <w:r w:rsidR="00A40859" w:rsidRPr="00570A65">
        <w:t>oppose</w:t>
      </w:r>
      <w:r w:rsidR="008D1B25" w:rsidRPr="00570A65">
        <w:t>r</w:t>
      </w:r>
      <w:r w:rsidR="00A40859" w:rsidRPr="00570A65">
        <w:t>.</w:t>
      </w:r>
    </w:p>
    <w:p w14:paraId="481EE342" w14:textId="4EE1B5CB" w:rsidR="00F75794" w:rsidRPr="00570A65" w:rsidRDefault="00F75794" w:rsidP="00F75794">
      <w:pPr>
        <w:jc w:val="center"/>
      </w:pPr>
      <w:r w:rsidRPr="00570A65">
        <w:t>______________</w:t>
      </w:r>
    </w:p>
    <w:sectPr w:rsidR="00F75794" w:rsidRPr="00570A6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A3C5" w14:textId="77777777" w:rsidR="00CB685A" w:rsidRDefault="00CB685A">
      <w:r>
        <w:separator/>
      </w:r>
    </w:p>
  </w:endnote>
  <w:endnote w:type="continuationSeparator" w:id="0">
    <w:p w14:paraId="45AC5C7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F7A0" w14:textId="1D26AEB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1B92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24D3" w14:textId="5F917880" w:rsidR="00936D25" w:rsidRPr="000A5A5F" w:rsidRDefault="000A5A5F" w:rsidP="000A5A5F">
    <w:pPr>
      <w:pStyle w:val="Footer"/>
      <w:rPr>
        <w:lang w:val="en-GB"/>
      </w:rPr>
    </w:pPr>
    <w:r>
      <w:fldChar w:fldCharType="begin"/>
    </w:r>
    <w:r w:rsidRPr="000A5A5F">
      <w:rPr>
        <w:lang w:val="en-GB"/>
      </w:rPr>
      <w:instrText xml:space="preserve"> FILENAME \p  \* MERGEFORMAT </w:instrText>
    </w:r>
    <w:r>
      <w:fldChar w:fldCharType="separate"/>
    </w:r>
    <w:r w:rsidR="00875232">
      <w:rPr>
        <w:lang w:val="en-GB"/>
      </w:rPr>
      <w:t>P:\FRA\ITU-R\CONF-R\CMR23\000\087ADD13F.docx</w:t>
    </w:r>
    <w:r>
      <w:fldChar w:fldCharType="end"/>
    </w:r>
    <w:r w:rsidRPr="000A5A5F">
      <w:rPr>
        <w:lang w:val="en-GB"/>
      </w:rPr>
      <w:t xml:space="preserve"> (</w:t>
    </w:r>
    <w:r>
      <w:rPr>
        <w:lang w:val="en-GB"/>
      </w:rPr>
      <w:t>530003)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E466" w14:textId="03E2F8A0" w:rsidR="00936D25" w:rsidRDefault="000A5A5F" w:rsidP="000A5A5F">
    <w:pPr>
      <w:pStyle w:val="Footer"/>
      <w:rPr>
        <w:lang w:val="en-US"/>
      </w:rPr>
    </w:pPr>
    <w:r w:rsidRPr="000A5A5F">
      <w:rPr>
        <w:lang w:val="en-US"/>
      </w:rPr>
      <w:fldChar w:fldCharType="begin"/>
    </w:r>
    <w:r w:rsidRPr="000A5A5F">
      <w:rPr>
        <w:lang w:val="en-US"/>
      </w:rPr>
      <w:instrText xml:space="preserve"> FILENAME \p  \* MERGEFORMAT </w:instrText>
    </w:r>
    <w:r w:rsidRPr="000A5A5F">
      <w:rPr>
        <w:lang w:val="en-US"/>
      </w:rPr>
      <w:fldChar w:fldCharType="separate"/>
    </w:r>
    <w:r w:rsidR="00875232">
      <w:rPr>
        <w:lang w:val="en-US"/>
      </w:rPr>
      <w:t>P:\FRA\ITU-R\CONF-R\CMR23\000\087ADD13F.docx</w:t>
    </w:r>
    <w:r w:rsidRPr="000A5A5F">
      <w:rPr>
        <w:lang w:val="en-US"/>
      </w:rPr>
      <w:fldChar w:fldCharType="end"/>
    </w:r>
    <w:r w:rsidRPr="000A5A5F">
      <w:rPr>
        <w:lang w:val="en-US"/>
      </w:rPr>
      <w:t xml:space="preserve"> (</w:t>
    </w:r>
    <w:r>
      <w:rPr>
        <w:lang w:val="en-US"/>
      </w:rPr>
      <w:t>530003)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D110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33CB0FE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932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BB0C24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87(Add.13)-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25960756">
    <w:abstractNumId w:val="0"/>
  </w:num>
  <w:num w:numId="2" w16cid:durableId="654206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5A0C"/>
    <w:rsid w:val="000863B3"/>
    <w:rsid w:val="000A4755"/>
    <w:rsid w:val="000A55AE"/>
    <w:rsid w:val="000A5A5F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137FA"/>
    <w:rsid w:val="00464564"/>
    <w:rsid w:val="00466211"/>
    <w:rsid w:val="00483196"/>
    <w:rsid w:val="004834A9"/>
    <w:rsid w:val="004D01FC"/>
    <w:rsid w:val="004D445E"/>
    <w:rsid w:val="004E28C3"/>
    <w:rsid w:val="004F1F8E"/>
    <w:rsid w:val="00512A32"/>
    <w:rsid w:val="005343DA"/>
    <w:rsid w:val="00552484"/>
    <w:rsid w:val="00560874"/>
    <w:rsid w:val="00570A65"/>
    <w:rsid w:val="00586CF2"/>
    <w:rsid w:val="005A7C75"/>
    <w:rsid w:val="005C3768"/>
    <w:rsid w:val="005C6C3F"/>
    <w:rsid w:val="00613635"/>
    <w:rsid w:val="0062093D"/>
    <w:rsid w:val="00637ECF"/>
    <w:rsid w:val="00647B59"/>
    <w:rsid w:val="00667A7B"/>
    <w:rsid w:val="00690C7B"/>
    <w:rsid w:val="006A4B45"/>
    <w:rsid w:val="006D4724"/>
    <w:rsid w:val="006F5FA2"/>
    <w:rsid w:val="0070076C"/>
    <w:rsid w:val="00701BAE"/>
    <w:rsid w:val="00721B92"/>
    <w:rsid w:val="00721F04"/>
    <w:rsid w:val="00730E95"/>
    <w:rsid w:val="007426B9"/>
    <w:rsid w:val="00764342"/>
    <w:rsid w:val="00765B27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75232"/>
    <w:rsid w:val="008A3120"/>
    <w:rsid w:val="008A4B97"/>
    <w:rsid w:val="008C5B8E"/>
    <w:rsid w:val="008C5DD5"/>
    <w:rsid w:val="008C7123"/>
    <w:rsid w:val="008D1B2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40859"/>
    <w:rsid w:val="00A43F0B"/>
    <w:rsid w:val="00A606C3"/>
    <w:rsid w:val="00A83B09"/>
    <w:rsid w:val="00A84541"/>
    <w:rsid w:val="00AE36A0"/>
    <w:rsid w:val="00B00294"/>
    <w:rsid w:val="00B3749C"/>
    <w:rsid w:val="00B64FD0"/>
    <w:rsid w:val="00B70C82"/>
    <w:rsid w:val="00BA5BD0"/>
    <w:rsid w:val="00BA7DE4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35E3"/>
    <w:rsid w:val="00D66EAC"/>
    <w:rsid w:val="00D730DF"/>
    <w:rsid w:val="00D772F0"/>
    <w:rsid w:val="00D77BDC"/>
    <w:rsid w:val="00DA0EE2"/>
    <w:rsid w:val="00DB076E"/>
    <w:rsid w:val="00DB3364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4861"/>
    <w:rsid w:val="00F711A7"/>
    <w:rsid w:val="00F75794"/>
    <w:rsid w:val="00F831EB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5BE36D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A7DE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06EE0-FD71-49F3-A498-639EBA98D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4CB5A-5453-4568-B20D-F55F26D987A8}">
  <ds:schemaRefs>
    <ds:schemaRef ds:uri="http://schemas.microsoft.com/office/infopath/2007/PartnerControls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9A94252-D3E6-4FB9-BAFB-1A8D76AC3E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R23-WRC23-C-0087!A13!MSW-F</vt:lpstr>
    </vt:vector>
  </TitlesOfParts>
  <Manager>Secrétariat général - Pool</Manager>
  <Company>Union internationale des télécommunications (UIT)</Company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14</cp:revision>
  <cp:lastPrinted>2003-06-05T19:34:00Z</cp:lastPrinted>
  <dcterms:created xsi:type="dcterms:W3CDTF">2023-11-07T06:54:00Z</dcterms:created>
  <dcterms:modified xsi:type="dcterms:W3CDTF">2023-11-07T10:29:00Z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