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1D69311" w14:textId="77777777" w:rsidTr="0080079E">
        <w:trPr>
          <w:cantSplit/>
        </w:trPr>
        <w:tc>
          <w:tcPr>
            <w:tcW w:w="1418" w:type="dxa"/>
            <w:vAlign w:val="center"/>
          </w:tcPr>
          <w:p w14:paraId="0B38BF75"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19D841F" wp14:editId="52E277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B159132"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56FECA7"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550D369E" wp14:editId="76F51BF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13A6098" w14:textId="77777777" w:rsidTr="0050008E">
        <w:trPr>
          <w:cantSplit/>
        </w:trPr>
        <w:tc>
          <w:tcPr>
            <w:tcW w:w="6911" w:type="dxa"/>
            <w:gridSpan w:val="2"/>
            <w:tcBorders>
              <w:bottom w:val="single" w:sz="12" w:space="0" w:color="auto"/>
            </w:tcBorders>
          </w:tcPr>
          <w:p w14:paraId="2FD4C932"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11374AB9" w14:textId="77777777" w:rsidR="0090121B" w:rsidRPr="0002785D" w:rsidRDefault="0090121B" w:rsidP="0090121B">
            <w:pPr>
              <w:spacing w:before="0" w:line="240" w:lineRule="atLeast"/>
              <w:rPr>
                <w:rFonts w:ascii="Verdana" w:hAnsi="Verdana"/>
                <w:szCs w:val="24"/>
                <w:lang w:val="en-US"/>
              </w:rPr>
            </w:pPr>
          </w:p>
        </w:tc>
      </w:tr>
      <w:tr w:rsidR="0090121B" w:rsidRPr="0002785D" w14:paraId="5C455D7A" w14:textId="77777777" w:rsidTr="0090121B">
        <w:trPr>
          <w:cantSplit/>
        </w:trPr>
        <w:tc>
          <w:tcPr>
            <w:tcW w:w="6911" w:type="dxa"/>
            <w:gridSpan w:val="2"/>
            <w:tcBorders>
              <w:top w:val="single" w:sz="12" w:space="0" w:color="auto"/>
            </w:tcBorders>
          </w:tcPr>
          <w:p w14:paraId="07986257"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C016324" w14:textId="77777777" w:rsidR="0090121B" w:rsidRPr="0002785D" w:rsidRDefault="0090121B" w:rsidP="0090121B">
            <w:pPr>
              <w:spacing w:before="0" w:line="240" w:lineRule="atLeast"/>
              <w:rPr>
                <w:rFonts w:ascii="Verdana" w:hAnsi="Verdana"/>
                <w:sz w:val="20"/>
                <w:lang w:val="en-US"/>
              </w:rPr>
            </w:pPr>
          </w:p>
        </w:tc>
      </w:tr>
      <w:tr w:rsidR="0090121B" w:rsidRPr="0002785D" w14:paraId="6603B64A" w14:textId="77777777" w:rsidTr="0090121B">
        <w:trPr>
          <w:cantSplit/>
        </w:trPr>
        <w:tc>
          <w:tcPr>
            <w:tcW w:w="6911" w:type="dxa"/>
            <w:gridSpan w:val="2"/>
          </w:tcPr>
          <w:p w14:paraId="6C2005D5"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38CA787"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12 al</w:t>
            </w:r>
            <w:r>
              <w:rPr>
                <w:rFonts w:ascii="Verdana" w:hAnsi="Verdana"/>
                <w:b/>
                <w:sz w:val="18"/>
                <w:szCs w:val="18"/>
                <w:lang w:val="en-US"/>
              </w:rPr>
              <w:br/>
              <w:t>Documento 87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5B46710F" w14:textId="77777777" w:rsidTr="0090121B">
        <w:trPr>
          <w:cantSplit/>
        </w:trPr>
        <w:tc>
          <w:tcPr>
            <w:tcW w:w="6911" w:type="dxa"/>
            <w:gridSpan w:val="2"/>
          </w:tcPr>
          <w:p w14:paraId="3775235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3D91D5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6C22518B" w14:textId="77777777" w:rsidTr="0090121B">
        <w:trPr>
          <w:cantSplit/>
        </w:trPr>
        <w:tc>
          <w:tcPr>
            <w:tcW w:w="6911" w:type="dxa"/>
            <w:gridSpan w:val="2"/>
          </w:tcPr>
          <w:p w14:paraId="386C34FA"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A391D35"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256C3B70" w14:textId="77777777" w:rsidTr="006744FC">
        <w:trPr>
          <w:cantSplit/>
        </w:trPr>
        <w:tc>
          <w:tcPr>
            <w:tcW w:w="10031" w:type="dxa"/>
            <w:gridSpan w:val="4"/>
          </w:tcPr>
          <w:p w14:paraId="7B9F32C9" w14:textId="77777777" w:rsidR="000A5B9A" w:rsidRPr="007424E8" w:rsidRDefault="000A5B9A" w:rsidP="0045384C">
            <w:pPr>
              <w:spacing w:before="0"/>
              <w:rPr>
                <w:rFonts w:ascii="Verdana" w:hAnsi="Verdana"/>
                <w:b/>
                <w:sz w:val="18"/>
                <w:szCs w:val="22"/>
                <w:lang w:val="en-US"/>
              </w:rPr>
            </w:pPr>
          </w:p>
        </w:tc>
      </w:tr>
      <w:tr w:rsidR="000A5B9A" w:rsidRPr="0002785D" w14:paraId="25D6E39E" w14:textId="77777777" w:rsidTr="0050008E">
        <w:trPr>
          <w:cantSplit/>
        </w:trPr>
        <w:tc>
          <w:tcPr>
            <w:tcW w:w="10031" w:type="dxa"/>
            <w:gridSpan w:val="4"/>
          </w:tcPr>
          <w:p w14:paraId="4430F940" w14:textId="77777777" w:rsidR="000A5B9A" w:rsidRPr="0002785D" w:rsidRDefault="000A5B9A" w:rsidP="000A5B9A">
            <w:pPr>
              <w:pStyle w:val="Source"/>
              <w:rPr>
                <w:lang w:val="en-US"/>
              </w:rPr>
            </w:pPr>
            <w:bookmarkStart w:id="2" w:name="dsource" w:colFirst="0" w:colLast="0"/>
            <w:r w:rsidRPr="0002785D">
              <w:rPr>
                <w:lang w:val="en-US"/>
              </w:rPr>
              <w:t>Propuestas Comunes Africanas</w:t>
            </w:r>
          </w:p>
        </w:tc>
      </w:tr>
      <w:tr w:rsidR="000A5B9A" w:rsidRPr="000974AB" w14:paraId="1A83898B" w14:textId="77777777" w:rsidTr="0050008E">
        <w:trPr>
          <w:cantSplit/>
        </w:trPr>
        <w:tc>
          <w:tcPr>
            <w:tcW w:w="10031" w:type="dxa"/>
            <w:gridSpan w:val="4"/>
          </w:tcPr>
          <w:p w14:paraId="3FE6F64C" w14:textId="3DA45A43" w:rsidR="000A5B9A" w:rsidRPr="000974AB" w:rsidRDefault="000A5B9A" w:rsidP="000A5B9A">
            <w:pPr>
              <w:pStyle w:val="Title1"/>
              <w:rPr>
                <w:lang w:val="es-ES"/>
              </w:rPr>
            </w:pPr>
            <w:bookmarkStart w:id="3" w:name="dtitle1" w:colFirst="0" w:colLast="0"/>
            <w:bookmarkEnd w:id="2"/>
            <w:r w:rsidRPr="000974AB">
              <w:rPr>
                <w:lang w:val="es-ES"/>
              </w:rPr>
              <w:t>PROP</w:t>
            </w:r>
            <w:r w:rsidR="000974AB" w:rsidRPr="000974AB">
              <w:rPr>
                <w:lang w:val="es-ES"/>
              </w:rPr>
              <w:t>UESTAS PARA LOS TRABAJOS D</w:t>
            </w:r>
            <w:r w:rsidR="000974AB">
              <w:rPr>
                <w:lang w:val="es-ES"/>
              </w:rPr>
              <w:t>E LA CONFERENCIA</w:t>
            </w:r>
          </w:p>
        </w:tc>
      </w:tr>
      <w:tr w:rsidR="000A5B9A" w:rsidRPr="000974AB" w14:paraId="16FDA54D" w14:textId="77777777" w:rsidTr="0050008E">
        <w:trPr>
          <w:cantSplit/>
        </w:trPr>
        <w:tc>
          <w:tcPr>
            <w:tcW w:w="10031" w:type="dxa"/>
            <w:gridSpan w:val="4"/>
          </w:tcPr>
          <w:p w14:paraId="43405B5C" w14:textId="77777777" w:rsidR="000A5B9A" w:rsidRPr="000974AB" w:rsidRDefault="000A5B9A" w:rsidP="000A5B9A">
            <w:pPr>
              <w:pStyle w:val="Title2"/>
              <w:rPr>
                <w:lang w:val="es-ES"/>
              </w:rPr>
            </w:pPr>
            <w:bookmarkStart w:id="4" w:name="dtitle2" w:colFirst="0" w:colLast="0"/>
            <w:bookmarkEnd w:id="3"/>
          </w:p>
        </w:tc>
      </w:tr>
      <w:tr w:rsidR="000A5B9A" w14:paraId="79086B64" w14:textId="77777777" w:rsidTr="0050008E">
        <w:trPr>
          <w:cantSplit/>
        </w:trPr>
        <w:tc>
          <w:tcPr>
            <w:tcW w:w="10031" w:type="dxa"/>
            <w:gridSpan w:val="4"/>
          </w:tcPr>
          <w:p w14:paraId="1BBB3C63" w14:textId="77777777" w:rsidR="000A5B9A" w:rsidRDefault="000A5B9A" w:rsidP="000A5B9A">
            <w:pPr>
              <w:pStyle w:val="Agendaitem"/>
            </w:pPr>
            <w:bookmarkStart w:id="5" w:name="dtitle3" w:colFirst="0" w:colLast="0"/>
            <w:bookmarkEnd w:id="4"/>
            <w:r w:rsidRPr="00AE658F">
              <w:t>Punto 1.12 del orden del día</w:t>
            </w:r>
          </w:p>
        </w:tc>
      </w:tr>
    </w:tbl>
    <w:bookmarkEnd w:id="5"/>
    <w:p w14:paraId="530CDBD4" w14:textId="77777777" w:rsidR="00CA2965" w:rsidRPr="006C746C" w:rsidRDefault="00EF4122" w:rsidP="006C746C">
      <w:r w:rsidRPr="00ED1619">
        <w:t>1.12</w:t>
      </w:r>
      <w:r w:rsidRPr="00ED1619">
        <w:tab/>
        <w:t>realizar y completar, a tiempo para la CMR</w:t>
      </w:r>
      <w:r w:rsidRPr="00ED1619">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ED1619">
        <w:rPr>
          <w:bCs/>
        </w:rPr>
        <w:t xml:space="preserve">de frecuencias </w:t>
      </w:r>
      <w:r w:rsidRPr="00ED1619">
        <w:t>adyacentes, de conformidad con la Resolución </w:t>
      </w:r>
      <w:r w:rsidRPr="00ED1619">
        <w:rPr>
          <w:b/>
          <w:bCs/>
        </w:rPr>
        <w:t>656 (Rev.CMR-19)</w:t>
      </w:r>
      <w:r w:rsidRPr="00ED1619">
        <w:t>;</w:t>
      </w:r>
    </w:p>
    <w:p w14:paraId="2F5A41A3" w14:textId="77777777" w:rsidR="00363A65" w:rsidRDefault="00363A65" w:rsidP="002C1A52"/>
    <w:p w14:paraId="3494DA17"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D7F6FF5" w14:textId="77777777" w:rsidR="00DF1227" w:rsidRDefault="00EF4122">
      <w:pPr>
        <w:pStyle w:val="Proposal"/>
      </w:pPr>
      <w:r>
        <w:rPr>
          <w:u w:val="single"/>
        </w:rPr>
        <w:lastRenderedPageBreak/>
        <w:t>NOC</w:t>
      </w:r>
      <w:r>
        <w:tab/>
        <w:t>AFCP/87A12/1</w:t>
      </w:r>
      <w:r>
        <w:rPr>
          <w:vanish/>
          <w:color w:val="7F7F7F" w:themeColor="text1" w:themeTint="80"/>
          <w:vertAlign w:val="superscript"/>
        </w:rPr>
        <w:t>#1812</w:t>
      </w:r>
    </w:p>
    <w:p w14:paraId="2CF6EE69" w14:textId="77777777" w:rsidR="007704DB" w:rsidRPr="009B4C33" w:rsidRDefault="00EF4122" w:rsidP="008F621F">
      <w:pPr>
        <w:pStyle w:val="Volumetitle"/>
        <w:rPr>
          <w:lang w:val="es-ES"/>
        </w:rPr>
      </w:pPr>
      <w:r>
        <w:rPr>
          <w:lang w:val="es-ES"/>
        </w:rPr>
        <w:t>ARTÍCULOS</w:t>
      </w:r>
    </w:p>
    <w:p w14:paraId="1824F4E9" w14:textId="77777777" w:rsidR="00DF1227" w:rsidRDefault="00DF1227">
      <w:pPr>
        <w:pStyle w:val="Reasons"/>
      </w:pPr>
    </w:p>
    <w:p w14:paraId="5CD43C0D" w14:textId="77777777" w:rsidR="00DF1227" w:rsidRDefault="00EF4122">
      <w:pPr>
        <w:pStyle w:val="Proposal"/>
      </w:pPr>
      <w:r>
        <w:rPr>
          <w:u w:val="single"/>
        </w:rPr>
        <w:t>NOC</w:t>
      </w:r>
      <w:r>
        <w:tab/>
        <w:t>AFCP/87A12/2</w:t>
      </w:r>
      <w:r>
        <w:rPr>
          <w:vanish/>
          <w:color w:val="7F7F7F" w:themeColor="text1" w:themeTint="80"/>
          <w:vertAlign w:val="superscript"/>
        </w:rPr>
        <w:t>#1813</w:t>
      </w:r>
    </w:p>
    <w:p w14:paraId="55109B68" w14:textId="77777777" w:rsidR="007704DB" w:rsidRPr="009B4C33" w:rsidRDefault="00EF4122" w:rsidP="008F621F">
      <w:pPr>
        <w:pStyle w:val="Volumetitle"/>
        <w:rPr>
          <w:lang w:val="es-ES"/>
        </w:rPr>
      </w:pPr>
      <w:r w:rsidRPr="009B4C33">
        <w:rPr>
          <w:lang w:val="es-ES"/>
        </w:rPr>
        <w:t>APÉNDICES</w:t>
      </w:r>
    </w:p>
    <w:p w14:paraId="7926D911" w14:textId="77777777" w:rsidR="00DF1227" w:rsidRDefault="00DF1227">
      <w:pPr>
        <w:pStyle w:val="Reasons"/>
      </w:pPr>
    </w:p>
    <w:p w14:paraId="62625DC8" w14:textId="77777777" w:rsidR="00DF1227" w:rsidRDefault="00EF4122">
      <w:pPr>
        <w:pStyle w:val="Proposal"/>
      </w:pPr>
      <w:r>
        <w:t>SUP</w:t>
      </w:r>
      <w:r>
        <w:tab/>
        <w:t>AFCP/87A12/3</w:t>
      </w:r>
      <w:r>
        <w:rPr>
          <w:vanish/>
          <w:color w:val="7F7F7F" w:themeColor="text1" w:themeTint="80"/>
          <w:vertAlign w:val="superscript"/>
        </w:rPr>
        <w:t>#1814</w:t>
      </w:r>
    </w:p>
    <w:p w14:paraId="72B49E31" w14:textId="77777777" w:rsidR="007704DB" w:rsidRPr="009B4C33" w:rsidRDefault="00EF4122" w:rsidP="008F621F">
      <w:pPr>
        <w:pStyle w:val="ResNo"/>
        <w:rPr>
          <w:lang w:val="es-ES"/>
        </w:rPr>
      </w:pPr>
      <w:bookmarkStart w:id="6" w:name="_Toc39735029"/>
      <w:r w:rsidRPr="009B4C33">
        <w:rPr>
          <w:lang w:val="es-ES"/>
        </w:rPr>
        <w:t>RESOLUCIÓN 656 (REV.CMR</w:t>
      </w:r>
      <w:r w:rsidRPr="009B4C33">
        <w:rPr>
          <w:lang w:val="es-ES"/>
        </w:rPr>
        <w:noBreakHyphen/>
        <w:t>19)</w:t>
      </w:r>
      <w:bookmarkEnd w:id="6"/>
    </w:p>
    <w:p w14:paraId="1625A428" w14:textId="77777777" w:rsidR="007704DB" w:rsidRPr="009B4C33" w:rsidRDefault="00EF4122" w:rsidP="008F621F">
      <w:pPr>
        <w:pStyle w:val="Restitle"/>
        <w:rPr>
          <w:lang w:val="es-ES"/>
        </w:rPr>
      </w:pPr>
      <w:bookmarkStart w:id="7" w:name="_Toc36190308"/>
      <w:bookmarkStart w:id="8" w:name="_Toc39735030"/>
      <w:r w:rsidRPr="009B4C33">
        <w:rPr>
          <w:lang w:val="es-ES"/>
        </w:rPr>
        <w:t xml:space="preserve">Posible atribución a título secundario al servicio de exploración de la Tierra </w:t>
      </w:r>
      <w:r w:rsidRPr="009B4C33">
        <w:rPr>
          <w:lang w:val="es-ES"/>
        </w:rPr>
        <w:br/>
        <w:t xml:space="preserve">por satélite (activo) para sondas de radar en vehículos espaciales </w:t>
      </w:r>
      <w:r w:rsidRPr="009B4C33">
        <w:rPr>
          <w:lang w:val="es-ES"/>
        </w:rPr>
        <w:br/>
        <w:t>en la gama de frecuencias alrededor de 45 MHz</w:t>
      </w:r>
      <w:bookmarkEnd w:id="7"/>
      <w:bookmarkEnd w:id="8"/>
    </w:p>
    <w:p w14:paraId="28482E72" w14:textId="07DD20AF" w:rsidR="000974AB" w:rsidRPr="000974AB" w:rsidRDefault="00EF4122" w:rsidP="000974AB">
      <w:pPr>
        <w:pStyle w:val="Reasons"/>
        <w:rPr>
          <w:lang w:val="es-ES"/>
        </w:rPr>
      </w:pPr>
      <w:r w:rsidRPr="000974AB">
        <w:rPr>
          <w:b/>
          <w:lang w:val="es-ES"/>
        </w:rPr>
        <w:t>Motivos:</w:t>
      </w:r>
      <w:r w:rsidRPr="000974AB">
        <w:rPr>
          <w:lang w:val="es-ES"/>
        </w:rPr>
        <w:tab/>
      </w:r>
      <w:r w:rsidR="000974AB" w:rsidRPr="000974AB">
        <w:rPr>
          <w:lang w:val="es-ES"/>
        </w:rPr>
        <w:t xml:space="preserve">No se ha establecido todavía un límite de densidad de flujo de potencia (dfp) suficiente para garantizar la protección de todos los servicios </w:t>
      </w:r>
      <w:r w:rsidR="000974AB">
        <w:rPr>
          <w:lang w:val="es-ES"/>
        </w:rPr>
        <w:t xml:space="preserve">existentes contra </w:t>
      </w:r>
      <w:r w:rsidR="000974AB" w:rsidRPr="000974AB">
        <w:rPr>
          <w:lang w:val="es-ES"/>
        </w:rPr>
        <w:t>la interferencia</w:t>
      </w:r>
      <w:r w:rsidR="000974AB">
        <w:rPr>
          <w:lang w:val="es-ES"/>
        </w:rPr>
        <w:t>.</w:t>
      </w:r>
      <w:r w:rsidR="000974AB" w:rsidRPr="000974AB">
        <w:t xml:space="preserve"> </w:t>
      </w:r>
      <w:r w:rsidR="000974AB" w:rsidRPr="000974AB">
        <w:rPr>
          <w:lang w:val="es-ES"/>
        </w:rPr>
        <w:t>Dicho esto, la</w:t>
      </w:r>
      <w:r w:rsidR="008E616E">
        <w:rPr>
          <w:lang w:val="es-ES"/>
        </w:rPr>
        <w:t> </w:t>
      </w:r>
      <w:r w:rsidR="000974AB">
        <w:rPr>
          <w:lang w:val="es-ES"/>
        </w:rPr>
        <w:t>UAT</w:t>
      </w:r>
      <w:r w:rsidR="000974AB" w:rsidRPr="000974AB">
        <w:rPr>
          <w:lang w:val="es-ES"/>
        </w:rPr>
        <w:t xml:space="preserve"> </w:t>
      </w:r>
      <w:r w:rsidR="000974AB">
        <w:rPr>
          <w:lang w:val="es-ES"/>
        </w:rPr>
        <w:t>seguirá de cerca</w:t>
      </w:r>
      <w:r w:rsidR="000974AB" w:rsidRPr="000974AB">
        <w:rPr>
          <w:lang w:val="es-ES"/>
        </w:rPr>
        <w:t>/</w:t>
      </w:r>
      <w:r w:rsidR="000974AB">
        <w:rPr>
          <w:lang w:val="es-ES"/>
        </w:rPr>
        <w:t xml:space="preserve"> contribuirá </w:t>
      </w:r>
      <w:r w:rsidR="00650CD7">
        <w:rPr>
          <w:lang w:val="es-ES"/>
        </w:rPr>
        <w:t>a los avances</w:t>
      </w:r>
      <w:r w:rsidR="000974AB" w:rsidRPr="000974AB">
        <w:rPr>
          <w:lang w:val="es-ES"/>
        </w:rPr>
        <w:t xml:space="preserve"> relativos a dicho </w:t>
      </w:r>
      <w:r w:rsidR="00650CD7" w:rsidRPr="000974AB">
        <w:rPr>
          <w:lang w:val="es-ES"/>
        </w:rPr>
        <w:t>punto del orden del día de la</w:t>
      </w:r>
      <w:r w:rsidR="008E616E">
        <w:rPr>
          <w:lang w:val="es-ES"/>
        </w:rPr>
        <w:t> </w:t>
      </w:r>
      <w:r w:rsidR="00650CD7" w:rsidRPr="000974AB">
        <w:rPr>
          <w:lang w:val="es-ES"/>
        </w:rPr>
        <w:t>CMR</w:t>
      </w:r>
      <w:r w:rsidR="008E616E">
        <w:rPr>
          <w:lang w:val="es-ES"/>
        </w:rPr>
        <w:noBreakHyphen/>
      </w:r>
      <w:r w:rsidR="00650CD7" w:rsidRPr="000974AB">
        <w:rPr>
          <w:lang w:val="es-ES"/>
        </w:rPr>
        <w:t>23</w:t>
      </w:r>
      <w:r w:rsidR="000974AB" w:rsidRPr="000974AB">
        <w:rPr>
          <w:lang w:val="es-ES"/>
        </w:rPr>
        <w:t xml:space="preserve">, </w:t>
      </w:r>
      <w:r w:rsidR="00F46C92">
        <w:rPr>
          <w:lang w:val="es-ES"/>
        </w:rPr>
        <w:t>con especial interés en</w:t>
      </w:r>
      <w:r w:rsidR="000974AB" w:rsidRPr="000974AB">
        <w:rPr>
          <w:lang w:val="es-ES"/>
        </w:rPr>
        <w:t xml:space="preserve"> el Método A2, Opción 2, </w:t>
      </w:r>
      <w:r w:rsidR="00F46C92">
        <w:rPr>
          <w:lang w:val="es-ES"/>
        </w:rPr>
        <w:t>por tratarse de un</w:t>
      </w:r>
      <w:r w:rsidR="000974AB" w:rsidRPr="000974AB">
        <w:rPr>
          <w:lang w:val="es-ES"/>
        </w:rPr>
        <w:t xml:space="preserve"> compromiso favorable</w:t>
      </w:r>
      <w:r w:rsidR="00650CD7">
        <w:rPr>
          <w:lang w:val="es-ES"/>
        </w:rPr>
        <w:t>, teniendo en cuenta que</w:t>
      </w:r>
      <w:r w:rsidR="000974AB" w:rsidRPr="000974AB">
        <w:rPr>
          <w:lang w:val="es-ES"/>
        </w:rPr>
        <w:t>:</w:t>
      </w:r>
    </w:p>
    <w:p w14:paraId="742A8A6D" w14:textId="2A48C4E7" w:rsidR="000974AB" w:rsidRPr="00650CD7" w:rsidRDefault="000974AB" w:rsidP="000974AB">
      <w:pPr>
        <w:pStyle w:val="enumlev1"/>
        <w:rPr>
          <w:lang w:val="es-ES"/>
        </w:rPr>
      </w:pPr>
      <w:r w:rsidRPr="00650CD7">
        <w:rPr>
          <w:lang w:val="es-ES"/>
        </w:rPr>
        <w:t>a)</w:t>
      </w:r>
      <w:r w:rsidRPr="00650CD7">
        <w:rPr>
          <w:lang w:val="es-ES"/>
        </w:rPr>
        <w:tab/>
      </w:r>
      <w:r w:rsidR="00650CD7" w:rsidRPr="00650CD7">
        <w:rPr>
          <w:lang w:val="es-ES"/>
        </w:rPr>
        <w:t>permite determinar un límite de dfp adecuado para evitar la interferencia perjudicial al servicio existente de que se trate</w:t>
      </w:r>
      <w:r w:rsidRPr="00650CD7">
        <w:rPr>
          <w:lang w:val="es-ES"/>
        </w:rPr>
        <w:t xml:space="preserve">. </w:t>
      </w:r>
      <w:r w:rsidR="00650CD7" w:rsidRPr="00650CD7">
        <w:rPr>
          <w:lang w:val="es-ES"/>
        </w:rPr>
        <w:t xml:space="preserve">Conviene calcular </w:t>
      </w:r>
      <w:r w:rsidR="00F46C92">
        <w:rPr>
          <w:lang w:val="es-ES"/>
        </w:rPr>
        <w:t xml:space="preserve">la </w:t>
      </w:r>
      <w:r w:rsidR="00650CD7" w:rsidRPr="00650CD7">
        <w:rPr>
          <w:lang w:val="es-ES"/>
        </w:rPr>
        <w:t>dfp que pued</w:t>
      </w:r>
      <w:r w:rsidR="00F46C92">
        <w:rPr>
          <w:lang w:val="es-ES"/>
        </w:rPr>
        <w:t>a</w:t>
      </w:r>
      <w:r w:rsidR="00650CD7" w:rsidRPr="00650CD7">
        <w:rPr>
          <w:lang w:val="es-ES"/>
        </w:rPr>
        <w:t xml:space="preserve"> proteger </w:t>
      </w:r>
      <w:r w:rsidR="00F46C92">
        <w:rPr>
          <w:lang w:val="es-ES"/>
        </w:rPr>
        <w:t>a todos los servicios existentes</w:t>
      </w:r>
      <w:r w:rsidR="00650CD7" w:rsidRPr="00650CD7">
        <w:rPr>
          <w:lang w:val="es-ES"/>
        </w:rPr>
        <w:t xml:space="preserve"> de forma satisfactoria.</w:t>
      </w:r>
    </w:p>
    <w:p w14:paraId="1F0D6E96" w14:textId="32E94B97" w:rsidR="000974AB" w:rsidRPr="00650CD7" w:rsidRDefault="000974AB" w:rsidP="000974AB">
      <w:pPr>
        <w:pStyle w:val="enumlev1"/>
        <w:rPr>
          <w:lang w:val="es-ES"/>
        </w:rPr>
      </w:pPr>
      <w:r w:rsidRPr="00650CD7">
        <w:rPr>
          <w:lang w:val="es-ES"/>
        </w:rPr>
        <w:t>b)</w:t>
      </w:r>
      <w:r w:rsidRPr="00650CD7">
        <w:rPr>
          <w:lang w:val="es-ES"/>
        </w:rPr>
        <w:tab/>
      </w:r>
      <w:r w:rsidR="00650CD7" w:rsidRPr="00650CD7">
        <w:rPr>
          <w:lang w:val="es-ES"/>
        </w:rPr>
        <w:t>no se ha alcanzado ningún acuerdo sobre tiempo de exposición a la interferencia de sondas radar a los servicios interferidos</w:t>
      </w:r>
      <w:r w:rsidRPr="00650CD7">
        <w:rPr>
          <w:lang w:val="es-ES"/>
        </w:rPr>
        <w:t>.</w:t>
      </w:r>
    </w:p>
    <w:p w14:paraId="6158350D" w14:textId="068034F6" w:rsidR="000974AB" w:rsidRPr="00650CD7" w:rsidRDefault="000974AB" w:rsidP="000974AB">
      <w:pPr>
        <w:pStyle w:val="Note"/>
        <w:rPr>
          <w:lang w:val="es-ES"/>
        </w:rPr>
      </w:pPr>
      <w:r w:rsidRPr="00650CD7">
        <w:rPr>
          <w:lang w:val="es-ES"/>
        </w:rPr>
        <w:t>Not</w:t>
      </w:r>
      <w:r w:rsidR="00650CD7">
        <w:rPr>
          <w:lang w:val="es-ES"/>
        </w:rPr>
        <w:t xml:space="preserve">a: La </w:t>
      </w:r>
      <w:r w:rsidR="00650CD7" w:rsidRPr="00650CD7">
        <w:rPr>
          <w:lang w:val="es-ES"/>
        </w:rPr>
        <w:t>Administración de Túnez, en relación con el punto 1.12 del orden del día, adopta un método diferente del de la AFCP, pero compatible con éste.</w:t>
      </w:r>
    </w:p>
    <w:p w14:paraId="493B9CA3" w14:textId="77777777" w:rsidR="008E616E" w:rsidRDefault="008E616E" w:rsidP="00411C49">
      <w:pPr>
        <w:pStyle w:val="Reasons"/>
      </w:pPr>
    </w:p>
    <w:p w14:paraId="3D174ACE" w14:textId="2141BFA4" w:rsidR="00DF1227" w:rsidRPr="008E616E" w:rsidRDefault="008E616E" w:rsidP="008E616E">
      <w:pPr>
        <w:jc w:val="center"/>
      </w:pPr>
      <w:r>
        <w:t>______________</w:t>
      </w:r>
    </w:p>
    <w:sectPr w:rsidR="00DF1227" w:rsidRPr="008E616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0666" w14:textId="77777777" w:rsidR="008737BC" w:rsidRDefault="008737BC">
      <w:r>
        <w:separator/>
      </w:r>
    </w:p>
  </w:endnote>
  <w:endnote w:type="continuationSeparator" w:id="0">
    <w:p w14:paraId="414E14B1" w14:textId="77777777" w:rsidR="008737BC" w:rsidRDefault="0087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A21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B1B2D" w14:textId="79A3317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E616E">
      <w:rPr>
        <w:noProof/>
      </w:rPr>
      <w:t>12.11.23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A648" w14:textId="6D9A5D4F" w:rsidR="0077084A" w:rsidRPr="00695E49" w:rsidRDefault="00695E49" w:rsidP="00695E49">
    <w:pPr>
      <w:pStyle w:val="Footer"/>
    </w:pPr>
    <w:r>
      <w:fldChar w:fldCharType="begin"/>
    </w:r>
    <w:r>
      <w:rPr>
        <w:lang w:val="en-US"/>
      </w:rPr>
      <w:instrText xml:space="preserve"> FILENAME \p  \* MERGEFORMAT </w:instrText>
    </w:r>
    <w:r>
      <w:fldChar w:fldCharType="separate"/>
    </w:r>
    <w:r>
      <w:rPr>
        <w:lang w:val="en-US"/>
      </w:rPr>
      <w:t>P:\ESP\ITU-R\CONF-R\CMR23\000\087ADD12S.docx</w:t>
    </w:r>
    <w:r>
      <w:fldChar w:fldCharType="end"/>
    </w:r>
    <w:r w:rsidRPr="00EF4122">
      <w:rPr>
        <w:lang w:val="en-US"/>
      </w:rPr>
      <w:t xml:space="preserve"> </w:t>
    </w:r>
    <w:r>
      <w:rPr>
        <w:lang w:val="en-US"/>
      </w:rPr>
      <w:t>(530002)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5A2B" w14:textId="25B08CA8" w:rsidR="0077084A" w:rsidRPr="00EF4122" w:rsidRDefault="0077084A" w:rsidP="00B47331">
    <w:pPr>
      <w:pStyle w:val="Footer"/>
      <w:rPr>
        <w:lang w:val="en-US"/>
      </w:rPr>
    </w:pPr>
    <w:r>
      <w:fldChar w:fldCharType="begin"/>
    </w:r>
    <w:r>
      <w:rPr>
        <w:lang w:val="en-US"/>
      </w:rPr>
      <w:instrText xml:space="preserve"> FILENAME \p  \* MERGEFORMAT </w:instrText>
    </w:r>
    <w:r>
      <w:fldChar w:fldCharType="separate"/>
    </w:r>
    <w:r w:rsidR="00695E49">
      <w:rPr>
        <w:lang w:val="en-US"/>
      </w:rPr>
      <w:t>P:\ESP\ITU-R\CONF-R\CMR23\000\087ADD12S.docx</w:t>
    </w:r>
    <w:r>
      <w:fldChar w:fldCharType="end"/>
    </w:r>
    <w:r w:rsidR="00EF4122" w:rsidRPr="00EF4122">
      <w:rPr>
        <w:lang w:val="en-US"/>
      </w:rPr>
      <w:t xml:space="preserve"> </w:t>
    </w:r>
    <w:r w:rsidR="00EF4122">
      <w:rPr>
        <w:lang w:val="en-US"/>
      </w:rPr>
      <w:t>(530002)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91FF" w14:textId="77777777" w:rsidR="008737BC" w:rsidRDefault="008737BC">
      <w:r>
        <w:rPr>
          <w:b/>
        </w:rPr>
        <w:t>_______________</w:t>
      </w:r>
    </w:p>
  </w:footnote>
  <w:footnote w:type="continuationSeparator" w:id="0">
    <w:p w14:paraId="734B69E6" w14:textId="77777777" w:rsidR="008737BC" w:rsidRDefault="0087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0A5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49B26B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619533785">
    <w:abstractNumId w:val="8"/>
  </w:num>
  <w:num w:numId="2" w16cid:durableId="7891308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0983593">
    <w:abstractNumId w:val="9"/>
  </w:num>
  <w:num w:numId="4" w16cid:durableId="447704402">
    <w:abstractNumId w:val="7"/>
  </w:num>
  <w:num w:numId="5" w16cid:durableId="1777825418">
    <w:abstractNumId w:val="6"/>
  </w:num>
  <w:num w:numId="6" w16cid:durableId="857423624">
    <w:abstractNumId w:val="5"/>
  </w:num>
  <w:num w:numId="7" w16cid:durableId="1834367188">
    <w:abstractNumId w:val="4"/>
  </w:num>
  <w:num w:numId="8" w16cid:durableId="1085104356">
    <w:abstractNumId w:val="3"/>
  </w:num>
  <w:num w:numId="9" w16cid:durableId="990912401">
    <w:abstractNumId w:val="2"/>
  </w:num>
  <w:num w:numId="10" w16cid:durableId="2121610385">
    <w:abstractNumId w:val="1"/>
  </w:num>
  <w:num w:numId="11" w16cid:durableId="174780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74AB"/>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50CD7"/>
    <w:rsid w:val="00662BA0"/>
    <w:rsid w:val="00666B37"/>
    <w:rsid w:val="0067344B"/>
    <w:rsid w:val="00684A94"/>
    <w:rsid w:val="00692AAE"/>
    <w:rsid w:val="00695E49"/>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679BA"/>
    <w:rsid w:val="008737BC"/>
    <w:rsid w:val="008750A8"/>
    <w:rsid w:val="008D3316"/>
    <w:rsid w:val="008E5AF2"/>
    <w:rsid w:val="008E616E"/>
    <w:rsid w:val="0090121B"/>
    <w:rsid w:val="009144C9"/>
    <w:rsid w:val="009307A5"/>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DF1227"/>
    <w:rsid w:val="00E05BFF"/>
    <w:rsid w:val="00E262F1"/>
    <w:rsid w:val="00E3176A"/>
    <w:rsid w:val="00E36CE4"/>
    <w:rsid w:val="00E54754"/>
    <w:rsid w:val="00E56BD3"/>
    <w:rsid w:val="00E71D14"/>
    <w:rsid w:val="00EA77F0"/>
    <w:rsid w:val="00EF4122"/>
    <w:rsid w:val="00F32316"/>
    <w:rsid w:val="00F46C92"/>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9A59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0F0D-9898-462F-AFB5-CC394514C16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1A5E947-B21B-4B5F-A93F-0CBDB1187644}">
  <ds:schemaRefs>
    <ds:schemaRef ds:uri="http://schemas.microsoft.com/sharepoint/events"/>
  </ds:schemaRefs>
</ds:datastoreItem>
</file>

<file path=customXml/itemProps3.xml><?xml version="1.0" encoding="utf-8"?>
<ds:datastoreItem xmlns:ds="http://schemas.openxmlformats.org/officeDocument/2006/customXml" ds:itemID="{2DFFF863-7CAB-4E90-9033-E426465081E8}">
  <ds:schemaRefs>
    <ds:schemaRef ds:uri="http://schemas.microsoft.com/sharepoint/v3/contenttype/forms"/>
  </ds:schemaRefs>
</ds:datastoreItem>
</file>

<file path=customXml/itemProps4.xml><?xml version="1.0" encoding="utf-8"?>
<ds:datastoreItem xmlns:ds="http://schemas.openxmlformats.org/officeDocument/2006/customXml" ds:itemID="{E8683CC4-BB81-467F-A73E-8A771E122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R23-WRC23-C-0087!A12!MSW-S</vt:lpstr>
    </vt:vector>
  </TitlesOfParts>
  <Manager>Secretaría General - Pool</Manager>
  <Company>Unión Internacional de Telecomunicaciones (UIT)</Company>
  <LinksUpToDate>false</LinksUpToDate>
  <CharactersWithSpaces>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R23-WRC23-C-0087!A12!MSW-S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2023-11-13T11:51:00Z</dcterms:created>
  <dcterms:modified xsi:type="dcterms:W3CDTF">2023-11-13T11:52:00Z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