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6D330A" w14:paraId="4295345D" w14:textId="77777777" w:rsidTr="004C6D0B">
        <w:trPr>
          <w:cantSplit/>
        </w:trPr>
        <w:tc>
          <w:tcPr>
            <w:tcW w:w="1418" w:type="dxa"/>
            <w:vAlign w:val="center"/>
          </w:tcPr>
          <w:p w14:paraId="1CFACCAE" w14:textId="77777777" w:rsidR="004C6D0B" w:rsidRPr="006D330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330A">
              <w:drawing>
                <wp:inline distT="0" distB="0" distL="0" distR="0" wp14:anchorId="42B2479A" wp14:editId="4C71BB0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AEF7F" w14:textId="77777777" w:rsidR="004C6D0B" w:rsidRPr="006D330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330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D330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12D57E" w14:textId="77777777" w:rsidR="004C6D0B" w:rsidRPr="006D330A" w:rsidRDefault="004C6D0B" w:rsidP="004C6D0B">
            <w:pPr>
              <w:spacing w:before="0" w:line="240" w:lineRule="atLeast"/>
            </w:pPr>
            <w:r w:rsidRPr="006D330A">
              <w:drawing>
                <wp:inline distT="0" distB="0" distL="0" distR="0" wp14:anchorId="422104D0" wp14:editId="07C2706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330A" w14:paraId="2857C318" w14:textId="77777777" w:rsidTr="00CB75A9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106BBB5" w14:textId="77777777" w:rsidR="005651C9" w:rsidRPr="006D330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A5C0C7C" w14:textId="77777777" w:rsidR="005651C9" w:rsidRPr="006D330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330A" w14:paraId="3C7DF4F2" w14:textId="77777777" w:rsidTr="00CB75A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9E44596" w14:textId="77777777" w:rsidR="005651C9" w:rsidRPr="006D330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554E6B79" w14:textId="77777777" w:rsidR="005651C9" w:rsidRPr="006D330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D330A" w14:paraId="3CBF385A" w14:textId="77777777" w:rsidTr="00CB75A9">
        <w:trPr>
          <w:cantSplit/>
        </w:trPr>
        <w:tc>
          <w:tcPr>
            <w:tcW w:w="6521" w:type="dxa"/>
            <w:gridSpan w:val="2"/>
          </w:tcPr>
          <w:p w14:paraId="472AC8A5" w14:textId="77777777" w:rsidR="005651C9" w:rsidRPr="006D330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330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F604EE3" w14:textId="77777777" w:rsidR="005651C9" w:rsidRPr="006D330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330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6D330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6D330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330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330A" w14:paraId="5D291C12" w14:textId="77777777" w:rsidTr="00CB75A9">
        <w:trPr>
          <w:cantSplit/>
        </w:trPr>
        <w:tc>
          <w:tcPr>
            <w:tcW w:w="6521" w:type="dxa"/>
            <w:gridSpan w:val="2"/>
          </w:tcPr>
          <w:p w14:paraId="0EE19F07" w14:textId="77777777" w:rsidR="000F33D8" w:rsidRPr="006D33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09E8A37" w14:textId="77777777" w:rsidR="000F33D8" w:rsidRPr="006D33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330A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6D330A" w14:paraId="419CD86B" w14:textId="77777777" w:rsidTr="00CB75A9">
        <w:trPr>
          <w:cantSplit/>
        </w:trPr>
        <w:tc>
          <w:tcPr>
            <w:tcW w:w="6521" w:type="dxa"/>
            <w:gridSpan w:val="2"/>
          </w:tcPr>
          <w:p w14:paraId="0D26D24F" w14:textId="77777777" w:rsidR="000F33D8" w:rsidRPr="006D33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55ED1A1" w14:textId="77777777" w:rsidR="000F33D8" w:rsidRPr="006D33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330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330A" w14:paraId="33BEE196" w14:textId="77777777" w:rsidTr="009546EA">
        <w:trPr>
          <w:cantSplit/>
        </w:trPr>
        <w:tc>
          <w:tcPr>
            <w:tcW w:w="10031" w:type="dxa"/>
            <w:gridSpan w:val="4"/>
          </w:tcPr>
          <w:p w14:paraId="39274CED" w14:textId="77777777" w:rsidR="000F33D8" w:rsidRPr="006D330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330A" w14:paraId="1FF88BD9" w14:textId="77777777">
        <w:trPr>
          <w:cantSplit/>
        </w:trPr>
        <w:tc>
          <w:tcPr>
            <w:tcW w:w="10031" w:type="dxa"/>
            <w:gridSpan w:val="4"/>
          </w:tcPr>
          <w:p w14:paraId="3CE107E4" w14:textId="77777777" w:rsidR="000F33D8" w:rsidRPr="006D330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D330A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6D330A" w14:paraId="019C80B7" w14:textId="77777777">
        <w:trPr>
          <w:cantSplit/>
        </w:trPr>
        <w:tc>
          <w:tcPr>
            <w:tcW w:w="10031" w:type="dxa"/>
            <w:gridSpan w:val="4"/>
          </w:tcPr>
          <w:p w14:paraId="1D19CB64" w14:textId="77777777" w:rsidR="000F33D8" w:rsidRPr="006D330A" w:rsidRDefault="00AF6D2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D330A"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6D330A" w14:paraId="3CE47E7C" w14:textId="77777777">
        <w:trPr>
          <w:cantSplit/>
        </w:trPr>
        <w:tc>
          <w:tcPr>
            <w:tcW w:w="10031" w:type="dxa"/>
            <w:gridSpan w:val="4"/>
          </w:tcPr>
          <w:p w14:paraId="6C02A799" w14:textId="77777777" w:rsidR="000F33D8" w:rsidRPr="006D330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D330A" w14:paraId="24436427" w14:textId="77777777">
        <w:trPr>
          <w:cantSplit/>
        </w:trPr>
        <w:tc>
          <w:tcPr>
            <w:tcW w:w="10031" w:type="dxa"/>
            <w:gridSpan w:val="4"/>
          </w:tcPr>
          <w:p w14:paraId="24D541A0" w14:textId="77777777" w:rsidR="000F33D8" w:rsidRPr="006D330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D330A">
              <w:rPr>
                <w:lang w:val="ru-RU"/>
              </w:rPr>
              <w:t>Пункт 1.12 повестки дня</w:t>
            </w:r>
          </w:p>
        </w:tc>
      </w:tr>
    </w:tbl>
    <w:bookmarkEnd w:id="3"/>
    <w:p w14:paraId="4865FB84" w14:textId="77777777" w:rsidR="00F25641" w:rsidRPr="006D330A" w:rsidRDefault="008111F4" w:rsidP="00295983">
      <w:r w:rsidRPr="006D330A">
        <w:t>1.12</w:t>
      </w:r>
      <w:r w:rsidRPr="006D330A">
        <w:tab/>
        <w:t>в соответствии с Резолюцией </w:t>
      </w:r>
      <w:r w:rsidRPr="006D330A">
        <w:rPr>
          <w:b/>
          <w:bCs/>
        </w:rPr>
        <w:t>656 (Пересм. ВКР-19)</w:t>
      </w:r>
      <w:r w:rsidRPr="006D330A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6D330A">
        <w:rPr>
          <w:rFonts w:eastAsia="Calibri"/>
          <w:szCs w:val="24"/>
        </w:rPr>
        <w:t>;</w:t>
      </w:r>
    </w:p>
    <w:p w14:paraId="0B6EDE82" w14:textId="5D3BBE81" w:rsidR="0003535B" w:rsidRPr="006D330A" w:rsidRDefault="00B81668" w:rsidP="00B81668">
      <w:pPr>
        <w:pStyle w:val="Headingb"/>
        <w:rPr>
          <w:lang w:val="ru-RU"/>
        </w:rPr>
      </w:pPr>
      <w:r w:rsidRPr="006D330A">
        <w:rPr>
          <w:lang w:val="ru-RU"/>
        </w:rPr>
        <w:t>Предложения</w:t>
      </w:r>
    </w:p>
    <w:p w14:paraId="2A777C82" w14:textId="77777777" w:rsidR="00B81668" w:rsidRPr="006D330A" w:rsidRDefault="00B81668" w:rsidP="00B81668"/>
    <w:p w14:paraId="375AD5C1" w14:textId="77777777" w:rsidR="009B5CC2" w:rsidRPr="006D330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D330A">
        <w:br w:type="page"/>
      </w:r>
    </w:p>
    <w:p w14:paraId="32C70D41" w14:textId="77777777" w:rsidR="00CB58AC" w:rsidRPr="006D330A" w:rsidRDefault="008111F4">
      <w:pPr>
        <w:pStyle w:val="Proposal"/>
      </w:pPr>
      <w:r w:rsidRPr="006D330A">
        <w:rPr>
          <w:u w:val="single"/>
        </w:rPr>
        <w:lastRenderedPageBreak/>
        <w:t>NOC</w:t>
      </w:r>
      <w:r w:rsidRPr="006D330A">
        <w:tab/>
        <w:t>AFCP/87A12/1</w:t>
      </w:r>
      <w:r w:rsidRPr="006D330A">
        <w:rPr>
          <w:vanish/>
          <w:color w:val="7F7F7F" w:themeColor="text1" w:themeTint="80"/>
          <w:vertAlign w:val="superscript"/>
        </w:rPr>
        <w:t>#1812</w:t>
      </w:r>
    </w:p>
    <w:p w14:paraId="19543CAD" w14:textId="77777777" w:rsidR="00F25641" w:rsidRPr="006D330A" w:rsidRDefault="008111F4" w:rsidP="00B81668">
      <w:pPr>
        <w:pStyle w:val="ArtNo"/>
      </w:pPr>
      <w:r w:rsidRPr="006D330A">
        <w:t>статьи</w:t>
      </w:r>
    </w:p>
    <w:p w14:paraId="4FA865F4" w14:textId="77777777" w:rsidR="00CB58AC" w:rsidRPr="006D330A" w:rsidRDefault="00CB58AC">
      <w:pPr>
        <w:pStyle w:val="Reasons"/>
      </w:pPr>
    </w:p>
    <w:p w14:paraId="0A5C28D2" w14:textId="77777777" w:rsidR="00CB58AC" w:rsidRPr="006D330A" w:rsidRDefault="008111F4">
      <w:pPr>
        <w:pStyle w:val="Proposal"/>
      </w:pPr>
      <w:r w:rsidRPr="006D330A">
        <w:rPr>
          <w:u w:val="single"/>
        </w:rPr>
        <w:t>NOC</w:t>
      </w:r>
      <w:r w:rsidRPr="006D330A">
        <w:tab/>
        <w:t>AFCP/87A12/2</w:t>
      </w:r>
      <w:r w:rsidRPr="006D330A">
        <w:rPr>
          <w:vanish/>
          <w:color w:val="7F7F7F" w:themeColor="text1" w:themeTint="80"/>
          <w:vertAlign w:val="superscript"/>
        </w:rPr>
        <w:t>#1813</w:t>
      </w:r>
    </w:p>
    <w:p w14:paraId="0C96B857" w14:textId="77777777" w:rsidR="00F25641" w:rsidRPr="006D330A" w:rsidRDefault="008111F4" w:rsidP="00B81668">
      <w:pPr>
        <w:pStyle w:val="AnnexNo"/>
      </w:pPr>
      <w:r w:rsidRPr="006D330A">
        <w:t>приложения</w:t>
      </w:r>
    </w:p>
    <w:p w14:paraId="0D2A8FFD" w14:textId="77777777" w:rsidR="00CB58AC" w:rsidRPr="006D330A" w:rsidRDefault="00CB58AC">
      <w:pPr>
        <w:pStyle w:val="Reasons"/>
      </w:pPr>
    </w:p>
    <w:p w14:paraId="34E2A119" w14:textId="77777777" w:rsidR="00CB58AC" w:rsidRPr="006D330A" w:rsidRDefault="008111F4">
      <w:pPr>
        <w:pStyle w:val="Proposal"/>
      </w:pPr>
      <w:r w:rsidRPr="006D330A">
        <w:t>SUP</w:t>
      </w:r>
      <w:r w:rsidRPr="006D330A">
        <w:tab/>
        <w:t>AFCP/87A12/3</w:t>
      </w:r>
      <w:r w:rsidRPr="006D330A">
        <w:rPr>
          <w:vanish/>
          <w:color w:val="7F7F7F" w:themeColor="text1" w:themeTint="80"/>
          <w:vertAlign w:val="superscript"/>
        </w:rPr>
        <w:t>#1814</w:t>
      </w:r>
    </w:p>
    <w:p w14:paraId="754AFACB" w14:textId="77777777" w:rsidR="00F25641" w:rsidRPr="006D330A" w:rsidRDefault="008111F4" w:rsidP="00DE6B1C">
      <w:pPr>
        <w:pStyle w:val="ResNo"/>
      </w:pPr>
      <w:r w:rsidRPr="006D330A">
        <w:t xml:space="preserve">РЕЗОЛЮЦИЯ  </w:t>
      </w:r>
      <w:r w:rsidRPr="006D330A">
        <w:rPr>
          <w:rStyle w:val="href"/>
        </w:rPr>
        <w:t xml:space="preserve">656 </w:t>
      </w:r>
      <w:r w:rsidRPr="006D330A">
        <w:t xml:space="preserve"> (Пересм. ВКР-19)</w:t>
      </w:r>
    </w:p>
    <w:p w14:paraId="58843F39" w14:textId="55B2ED7F" w:rsidR="00F25641" w:rsidRPr="006D330A" w:rsidRDefault="008111F4" w:rsidP="00DE6B1C">
      <w:pPr>
        <w:pStyle w:val="Restitle"/>
      </w:pPr>
      <w:bookmarkStart w:id="4" w:name="_Toc450292739"/>
      <w:bookmarkStart w:id="5" w:name="_Toc35863711"/>
      <w:bookmarkStart w:id="6" w:name="_Toc35864060"/>
      <w:bookmarkStart w:id="7" w:name="_Toc36020451"/>
      <w:bookmarkStart w:id="8" w:name="_Toc39740264"/>
      <w:r w:rsidRPr="006D330A">
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</w:r>
      <w:bookmarkEnd w:id="4"/>
      <w:bookmarkEnd w:id="5"/>
      <w:bookmarkEnd w:id="6"/>
      <w:bookmarkEnd w:id="7"/>
      <w:bookmarkEnd w:id="8"/>
    </w:p>
    <w:p w14:paraId="647A42C0" w14:textId="3C8D95BF" w:rsidR="00AF6D2C" w:rsidRPr="006D330A" w:rsidRDefault="008111F4" w:rsidP="00AF6D2C">
      <w:pPr>
        <w:pStyle w:val="Reasons"/>
      </w:pPr>
      <w:r w:rsidRPr="006D330A">
        <w:rPr>
          <w:b/>
        </w:rPr>
        <w:t>Основания</w:t>
      </w:r>
      <w:r w:rsidRPr="006D330A">
        <w:t>:</w:t>
      </w:r>
      <w:r w:rsidRPr="006D330A">
        <w:tab/>
      </w:r>
      <w:r w:rsidR="005D60CB" w:rsidRPr="006D330A">
        <w:t>Поскольку еще не установлен достаточный предел плотности потока мощности (п.п.м.) для обеспечения защиты всех действующих служб</w:t>
      </w:r>
      <w:r w:rsidR="0045634B" w:rsidRPr="006D330A">
        <w:t xml:space="preserve"> от помех</w:t>
      </w:r>
      <w:r w:rsidR="005D60CB" w:rsidRPr="006D330A">
        <w:t xml:space="preserve">. </w:t>
      </w:r>
      <w:r w:rsidR="00723BD6" w:rsidRPr="006D330A">
        <w:t>При этом АСЭ будет внимательно следить за изменениями, касающимися пункта повестки дня ВКР-23, и вносить в них свой вклад, уделяя особое внимание варианту 2 метода А2 как удачному компромиссу, учитывая, что:</w:t>
      </w:r>
    </w:p>
    <w:p w14:paraId="415F9FCF" w14:textId="30772B2B" w:rsidR="00AF6D2C" w:rsidRPr="006D330A" w:rsidRDefault="00AF6D2C" w:rsidP="00B81668">
      <w:pPr>
        <w:pStyle w:val="enumlev1"/>
      </w:pPr>
      <w:r w:rsidRPr="006D330A">
        <w:t>a)</w:t>
      </w:r>
      <w:r w:rsidRPr="006D330A">
        <w:tab/>
      </w:r>
      <w:r w:rsidR="00723BD6" w:rsidRPr="006D330A">
        <w:t>он дает возможность определить соответствующий предел п.п.м. для предотвращения вредных помех, создаваемых конкретной действующей службе. Важно рассчитать такую п.п.м., которая может обеспечить защиту всех действующих служб на удовлетворительном уровне;</w:t>
      </w:r>
    </w:p>
    <w:p w14:paraId="0C829CCC" w14:textId="3C8AA2E7" w:rsidR="00AF6D2C" w:rsidRPr="006D330A" w:rsidRDefault="00AF6D2C" w:rsidP="00B81668">
      <w:pPr>
        <w:pStyle w:val="enumlev1"/>
      </w:pPr>
      <w:r w:rsidRPr="006D330A">
        <w:t>b)</w:t>
      </w:r>
      <w:r w:rsidRPr="006D330A">
        <w:tab/>
      </w:r>
      <w:r w:rsidR="0045634B" w:rsidRPr="006D330A">
        <w:t xml:space="preserve">не было достигнуто </w:t>
      </w:r>
      <w:r w:rsidR="00F25641" w:rsidRPr="006D330A">
        <w:t>согласия относительно времени воздействия помех со стороны радиолокационных зондов службам, испытывающим помехи</w:t>
      </w:r>
      <w:r w:rsidRPr="006D330A">
        <w:t>.</w:t>
      </w:r>
    </w:p>
    <w:p w14:paraId="09C5F45C" w14:textId="1C4A9DF5" w:rsidR="00AF6D2C" w:rsidRPr="006D330A" w:rsidRDefault="00F25641" w:rsidP="00B81668">
      <w:pPr>
        <w:pStyle w:val="Note"/>
        <w:rPr>
          <w:lang w:val="ru-RU"/>
        </w:rPr>
      </w:pPr>
      <w:r w:rsidRPr="006D330A">
        <w:rPr>
          <w:lang w:val="ru-RU"/>
        </w:rPr>
        <w:t>Примечание. − Администрация Туниса одобряет метод выполнения пункта 1.12, который отличается от метода, одобренного в AFCP, но не возражает против AFCP.</w:t>
      </w:r>
    </w:p>
    <w:p w14:paraId="0A3C3462" w14:textId="77777777" w:rsidR="00AF6D2C" w:rsidRPr="006D330A" w:rsidRDefault="00AF6D2C" w:rsidP="00AF6D2C">
      <w:pPr>
        <w:spacing w:before="720"/>
        <w:jc w:val="center"/>
      </w:pPr>
      <w:r w:rsidRPr="006D330A">
        <w:t>______________</w:t>
      </w:r>
    </w:p>
    <w:sectPr w:rsidR="00AF6D2C" w:rsidRPr="006D330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80C4" w14:textId="77777777" w:rsidR="00B958BD" w:rsidRDefault="00B958BD">
      <w:r>
        <w:separator/>
      </w:r>
    </w:p>
  </w:endnote>
  <w:endnote w:type="continuationSeparator" w:id="0">
    <w:p w14:paraId="280B4E7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149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A2A878" w14:textId="5FB8078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1668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3BA6" w14:textId="1C4D8247" w:rsidR="00567276" w:rsidRPr="00AF6D2C" w:rsidRDefault="00B81668" w:rsidP="00F33B22">
    <w:pPr>
      <w:pStyle w:val="Footer"/>
      <w:rPr>
        <w:lang w:val="en-US"/>
      </w:rPr>
    </w:pPr>
    <w:r>
      <w:fldChar w:fldCharType="begin"/>
    </w:r>
    <w:r w:rsidRPr="005D60CB">
      <w:instrText xml:space="preserve"> FILENAME \p  \* MERGEFORMAT </w:instrText>
    </w:r>
    <w:r>
      <w:fldChar w:fldCharType="separate"/>
    </w:r>
    <w:r w:rsidRPr="005D60CB">
      <w:t>P:\ITU-R\CONF-R\CMR23\000\087ADD12R.docx</w:t>
    </w:r>
    <w:r>
      <w:fldChar w:fldCharType="end"/>
    </w:r>
    <w:r w:rsidRPr="00AF6D2C">
      <w:rPr>
        <w:lang w:val="en-US"/>
      </w:rPr>
      <w:t xml:space="preserve"> (</w:t>
    </w:r>
    <w:r>
      <w:t>530002</w:t>
    </w:r>
    <w:r w:rsidRPr="00AF6D2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3F10" w14:textId="77777777" w:rsidR="00567276" w:rsidRPr="00AF6D2C" w:rsidRDefault="00567276" w:rsidP="00FB67E5">
    <w:pPr>
      <w:pStyle w:val="Footer"/>
      <w:rPr>
        <w:lang w:val="en-US"/>
      </w:rPr>
    </w:pPr>
    <w:r>
      <w:fldChar w:fldCharType="begin"/>
    </w:r>
    <w:r w:rsidRPr="005D60CB">
      <w:instrText xml:space="preserve"> FILENAME \p  \* MERGEFORMAT </w:instrText>
    </w:r>
    <w:r>
      <w:fldChar w:fldCharType="separate"/>
    </w:r>
    <w:r w:rsidR="00AF6D2C" w:rsidRPr="005D60CB">
      <w:t>P:\ITU-R\CONF-R\CMR23\000\087ADD12R.docx</w:t>
    </w:r>
    <w:r>
      <w:fldChar w:fldCharType="end"/>
    </w:r>
    <w:r w:rsidR="00AF6D2C" w:rsidRPr="00AF6D2C">
      <w:rPr>
        <w:lang w:val="en-US"/>
      </w:rPr>
      <w:t xml:space="preserve"> (</w:t>
    </w:r>
    <w:r w:rsidR="00AF6D2C">
      <w:t>530002</w:t>
    </w:r>
    <w:r w:rsidR="00AF6D2C" w:rsidRPr="00AF6D2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46D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1ECE883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225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11F4">
      <w:rPr>
        <w:noProof/>
      </w:rPr>
      <w:t>2</w:t>
    </w:r>
    <w:r>
      <w:fldChar w:fldCharType="end"/>
    </w:r>
  </w:p>
  <w:p w14:paraId="51C4762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37499298">
    <w:abstractNumId w:val="0"/>
  </w:num>
  <w:num w:numId="2" w16cid:durableId="200208188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634B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60CB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330A"/>
    <w:rsid w:val="00723BD6"/>
    <w:rsid w:val="00763F4F"/>
    <w:rsid w:val="00775720"/>
    <w:rsid w:val="007917AE"/>
    <w:rsid w:val="007A08B5"/>
    <w:rsid w:val="008111F4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0A36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30B3"/>
    <w:rsid w:val="00A4600A"/>
    <w:rsid w:val="00A57C04"/>
    <w:rsid w:val="00A61057"/>
    <w:rsid w:val="00A710E7"/>
    <w:rsid w:val="00A81026"/>
    <w:rsid w:val="00A97EC0"/>
    <w:rsid w:val="00AC66E6"/>
    <w:rsid w:val="00AF6D2C"/>
    <w:rsid w:val="00B24E60"/>
    <w:rsid w:val="00B468A6"/>
    <w:rsid w:val="00B75113"/>
    <w:rsid w:val="00B81668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58AC"/>
    <w:rsid w:val="00CB75A9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8294E"/>
    <w:rsid w:val="00E976C1"/>
    <w:rsid w:val="00EA0C0C"/>
    <w:rsid w:val="00EB66F7"/>
    <w:rsid w:val="00EF43E7"/>
    <w:rsid w:val="00F1578A"/>
    <w:rsid w:val="00F21A03"/>
    <w:rsid w:val="00F25641"/>
    <w:rsid w:val="00F33B22"/>
    <w:rsid w:val="00F65316"/>
    <w:rsid w:val="00F65C19"/>
    <w:rsid w:val="00F761D2"/>
    <w:rsid w:val="00F83853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60BE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D2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66CF7-520A-4C6F-B3FC-50E1F85D741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BCA7F-2A60-4303-B942-0A71E61075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R23-WRC23-C-0087!A12!MSW-R</vt:lpstr>
    </vt:vector>
  </TitlesOfParts>
  <Manager>General Secretariat - Pool</Manager>
  <Company>International Telecommunication Union (ITU)</Company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R23-WRC23-C-0087!A12!MSW-R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10</cp:revision>
  <cp:lastPrinted>2003-06-17T08:22:00Z</cp:lastPrinted>
  <dcterms:created xsi:type="dcterms:W3CDTF">2023-11-10T10:41:00Z</dcterms:created>
  <dcterms:modified xsi:type="dcterms:W3CDTF">2023-11-11T17:46:00Z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