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1584450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289E7D7C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1CAF5CB4" wp14:editId="0E8436EA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6340D111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8A173E8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74E87959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13B7A77" wp14:editId="61D5D75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2BC17BA3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0E5883B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74C103F3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4783D514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8B0E785" w14:textId="77777777" w:rsidR="000D1EE4" w:rsidRPr="00DF61F6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75AEA1D8" w14:textId="77777777" w:rsidR="000D1EE4" w:rsidRPr="00DF61F6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A2DBE02" w14:textId="77777777" w:rsidTr="00752552">
        <w:trPr>
          <w:cantSplit/>
        </w:trPr>
        <w:tc>
          <w:tcPr>
            <w:tcW w:w="6696" w:type="dxa"/>
            <w:gridSpan w:val="2"/>
          </w:tcPr>
          <w:p w14:paraId="2792329D" w14:textId="77777777" w:rsidR="000D1EE4" w:rsidRPr="00DF61F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F61F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EAC7C6A" w14:textId="77777777" w:rsidR="000D1EE4" w:rsidRPr="00DF61F6" w:rsidRDefault="00E50850" w:rsidP="00DF61F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DF61F6">
              <w:rPr>
                <w:rFonts w:eastAsia="SimSun"/>
                <w:b/>
                <w:bCs/>
                <w:rtl/>
                <w:lang w:bidi="ar-EG"/>
              </w:rPr>
              <w:t>الإضافة 12</w:t>
            </w:r>
            <w:r w:rsidRPr="00DF61F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DF61F6">
              <w:rPr>
                <w:rFonts w:eastAsia="SimSun"/>
                <w:b/>
                <w:bCs/>
              </w:rPr>
              <w:t>87-A</w:t>
            </w:r>
          </w:p>
        </w:tc>
      </w:tr>
      <w:tr w:rsidR="000D1EE4" w:rsidRPr="000D1EE4" w14:paraId="73CF715B" w14:textId="77777777" w:rsidTr="00752552">
        <w:trPr>
          <w:cantSplit/>
        </w:trPr>
        <w:tc>
          <w:tcPr>
            <w:tcW w:w="6696" w:type="dxa"/>
            <w:gridSpan w:val="2"/>
          </w:tcPr>
          <w:p w14:paraId="37DF21DA" w14:textId="77777777" w:rsidR="000D1EE4" w:rsidRPr="00DF61F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6227AD8" w14:textId="77777777" w:rsidR="000D1EE4" w:rsidRPr="00DF61F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DF61F6">
              <w:rPr>
                <w:rFonts w:eastAsia="SimSun"/>
                <w:b/>
                <w:bCs/>
              </w:rPr>
              <w:t>23</w:t>
            </w:r>
            <w:r w:rsidRPr="00DF61F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DF61F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26243392" w14:textId="77777777" w:rsidTr="00752552">
        <w:trPr>
          <w:cantSplit/>
        </w:trPr>
        <w:tc>
          <w:tcPr>
            <w:tcW w:w="6696" w:type="dxa"/>
            <w:gridSpan w:val="2"/>
          </w:tcPr>
          <w:p w14:paraId="783C956F" w14:textId="77777777" w:rsidR="000D1EE4" w:rsidRPr="00DF61F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73DBA63" w14:textId="77777777" w:rsidR="000D1EE4" w:rsidRPr="00DF61F6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DF61F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5350B664" w14:textId="77777777" w:rsidTr="00752552">
        <w:trPr>
          <w:cantSplit/>
        </w:trPr>
        <w:tc>
          <w:tcPr>
            <w:tcW w:w="9666" w:type="dxa"/>
            <w:gridSpan w:val="4"/>
          </w:tcPr>
          <w:p w14:paraId="55DB2614" w14:textId="77777777" w:rsidR="000D1EE4" w:rsidRPr="00DF61F6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FC811C4" w14:textId="77777777" w:rsidTr="00752552">
        <w:trPr>
          <w:cantSplit/>
        </w:trPr>
        <w:tc>
          <w:tcPr>
            <w:tcW w:w="9666" w:type="dxa"/>
            <w:gridSpan w:val="4"/>
          </w:tcPr>
          <w:p w14:paraId="5A71EE1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59743804" w14:textId="77777777" w:rsidTr="00752552">
        <w:trPr>
          <w:cantSplit/>
        </w:trPr>
        <w:tc>
          <w:tcPr>
            <w:tcW w:w="9666" w:type="dxa"/>
            <w:gridSpan w:val="4"/>
          </w:tcPr>
          <w:p w14:paraId="195E807F" w14:textId="450E2C02" w:rsidR="000D1EE4" w:rsidRPr="000D1EE4" w:rsidRDefault="0063348D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40096964" w14:textId="77777777" w:rsidTr="00752552">
        <w:trPr>
          <w:cantSplit/>
        </w:trPr>
        <w:tc>
          <w:tcPr>
            <w:tcW w:w="9666" w:type="dxa"/>
            <w:gridSpan w:val="4"/>
          </w:tcPr>
          <w:p w14:paraId="5A95CDEA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82CC32A" w14:textId="77777777" w:rsidTr="00752552">
        <w:trPr>
          <w:cantSplit/>
        </w:trPr>
        <w:tc>
          <w:tcPr>
            <w:tcW w:w="9666" w:type="dxa"/>
            <w:gridSpan w:val="4"/>
          </w:tcPr>
          <w:p w14:paraId="441D03EF" w14:textId="0E8E371E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63348D">
              <w:rPr>
                <w:rFonts w:hint="cs"/>
                <w:rtl/>
              </w:rPr>
              <w:t xml:space="preserve"> 12.1</w:t>
            </w:r>
          </w:p>
        </w:tc>
      </w:tr>
    </w:tbl>
    <w:p w14:paraId="5847E5D8" w14:textId="77777777" w:rsidR="00471EDD" w:rsidRPr="00FE2CFF" w:rsidRDefault="002620CB" w:rsidP="0001710C">
      <w:pPr>
        <w:spacing w:line="185" w:lineRule="auto"/>
        <w:rPr>
          <w:rtl/>
          <w:lang w:val="en-GB"/>
        </w:rPr>
      </w:pPr>
      <w:r w:rsidRPr="00684F98">
        <w:t>12.1</w:t>
      </w:r>
      <w:r w:rsidRPr="00684F98">
        <w:tab/>
      </w:r>
      <w:r w:rsidRPr="00FE2CFF">
        <w:rPr>
          <w:rtl/>
          <w:lang w:val="es-ES"/>
        </w:rPr>
        <w:t xml:space="preserve">إجراء الدراسات الضرورية واستكمالها في الوقت المناسب </w:t>
      </w:r>
      <w:r w:rsidRPr="00FE2CFF">
        <w:rPr>
          <w:rFonts w:hint="eastAsia"/>
          <w:rtl/>
          <w:lang w:val="es-ES"/>
        </w:rPr>
        <w:t>قبل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</w:t>
      </w:r>
      <w:r w:rsidRPr="00FE2CFF">
        <w:rPr>
          <w:rtl/>
          <w:lang w:val="es-ES"/>
        </w:rPr>
        <w:t>لمؤتمر العالمي للاتصالات الراديوية لعام</w:t>
      </w:r>
      <w:r w:rsidRPr="00FE2CFF">
        <w:rPr>
          <w:rFonts w:hint="cs"/>
          <w:rtl/>
          <w:lang w:val="es-ES"/>
        </w:rPr>
        <w:t> </w:t>
      </w:r>
      <w:r w:rsidRPr="00FE2CFF">
        <w:rPr>
          <w:lang w:bidi="ar-EG"/>
        </w:rPr>
        <w:t>2023</w:t>
      </w:r>
      <w:r w:rsidRPr="00FE2CFF">
        <w:rPr>
          <w:rtl/>
          <w:lang w:val="es-ES"/>
        </w:rPr>
        <w:t xml:space="preserve"> من أجل إمكانية منح توزيع ثانوي جديد لخدمة استكشاف الأرض الساتلية (النشيطة) فيما يخص أنظمة السبر الراد</w:t>
      </w:r>
      <w:r w:rsidRPr="00FE2CFF">
        <w:rPr>
          <w:rFonts w:hint="eastAsia"/>
          <w:rtl/>
          <w:lang w:val="es-ES"/>
        </w:rPr>
        <w:t>يو</w:t>
      </w:r>
      <w:r w:rsidRPr="00FE2CFF">
        <w:rPr>
          <w:rtl/>
          <w:lang w:val="es-ES"/>
        </w:rPr>
        <w:t>ية المحمولة في الفضاء ضمن مدى التردد</w:t>
      </w:r>
      <w:r w:rsidRPr="00FE2CFF">
        <w:rPr>
          <w:rFonts w:hint="eastAsia"/>
          <w:rtl/>
          <w:lang w:val="es-ES"/>
        </w:rPr>
        <w:t>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حول</w:t>
      </w:r>
      <w:r w:rsidRPr="00FE2CFF">
        <w:rPr>
          <w:rtl/>
          <w:lang w:val="es-ES"/>
        </w:rPr>
        <w:t xml:space="preserve"> </w:t>
      </w:r>
      <w:r w:rsidRPr="00FE2CFF">
        <w:rPr>
          <w:lang w:bidi="ar-EG"/>
        </w:rPr>
        <w:t>MHz 45</w:t>
      </w:r>
      <w:r w:rsidRPr="00FE2CFF">
        <w:rPr>
          <w:rtl/>
          <w:lang w:val="es-ES"/>
        </w:rPr>
        <w:t>، مع مراعاة حماية الخدمات القائمة</w:t>
      </w:r>
      <w:r w:rsidRPr="00FE2CFF">
        <w:rPr>
          <w:rFonts w:hint="eastAsia"/>
          <w:rtl/>
          <w:lang w:val="es-ES"/>
        </w:rPr>
        <w:t>،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بما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فيها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تلك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القائمة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في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النطاقات</w:t>
      </w:r>
      <w:r w:rsidRPr="00FE2CFF">
        <w:rPr>
          <w:rtl/>
          <w:lang w:val="es-ES"/>
        </w:rPr>
        <w:t xml:space="preserve"> </w:t>
      </w:r>
      <w:r w:rsidRPr="00FE2CFF">
        <w:rPr>
          <w:rFonts w:hint="eastAsia"/>
          <w:rtl/>
          <w:lang w:val="es-ES"/>
        </w:rPr>
        <w:t>المجاورة،</w:t>
      </w:r>
      <w:r w:rsidRPr="00FE2CFF">
        <w:rPr>
          <w:rtl/>
          <w:lang w:val="es-ES"/>
        </w:rPr>
        <w:t xml:space="preserve"> </w:t>
      </w:r>
      <w:r w:rsidRPr="00FE2CFF">
        <w:rPr>
          <w:rFonts w:hint="cs"/>
          <w:rtl/>
          <w:lang w:val="es-ES"/>
        </w:rPr>
        <w:t>وفقاً</w:t>
      </w:r>
      <w:r w:rsidRPr="00FE2CFF">
        <w:rPr>
          <w:rtl/>
          <w:lang w:val="es-ES"/>
        </w:rPr>
        <w:t xml:space="preserve"> للقرار </w:t>
      </w:r>
      <w:r w:rsidRPr="00FE2CFF">
        <w:rPr>
          <w:b/>
          <w:lang w:bidi="ar-EG"/>
        </w:rPr>
        <w:t>656</w:t>
      </w:r>
      <w:r w:rsidRPr="00FE2CFF">
        <w:rPr>
          <w:b/>
          <w:lang w:val="en-GB" w:bidi="ar-EG"/>
        </w:rPr>
        <w:t> (</w:t>
      </w:r>
      <w:proofErr w:type="spellStart"/>
      <w:r w:rsidRPr="00FE2CFF">
        <w:rPr>
          <w:b/>
          <w:lang w:val="en-GB" w:bidi="ar-EG"/>
        </w:rPr>
        <w:t>Rev.WRC</w:t>
      </w:r>
      <w:proofErr w:type="spellEnd"/>
      <w:r w:rsidRPr="00FE2CFF">
        <w:rPr>
          <w:b/>
          <w:lang w:val="en-GB" w:bidi="ar-EG"/>
        </w:rPr>
        <w:noBreakHyphen/>
      </w:r>
      <w:proofErr w:type="gramStart"/>
      <w:r w:rsidRPr="00FE2CFF">
        <w:rPr>
          <w:b/>
          <w:lang w:bidi="ar-EG"/>
        </w:rPr>
        <w:t>19</w:t>
      </w:r>
      <w:r w:rsidRPr="00FE2CFF">
        <w:rPr>
          <w:b/>
          <w:lang w:val="en-GB" w:bidi="ar-EG"/>
        </w:rPr>
        <w:t>)</w:t>
      </w:r>
      <w:r w:rsidRPr="00FE2CFF">
        <w:rPr>
          <w:rFonts w:hint="eastAsia"/>
          <w:b/>
          <w:rtl/>
          <w:lang w:val="es-ES" w:bidi="ar-EG"/>
        </w:rPr>
        <w:t>؛</w:t>
      </w:r>
      <w:proofErr w:type="gramEnd"/>
    </w:p>
    <w:p w14:paraId="5949632A" w14:textId="77777777" w:rsidR="00471EDD" w:rsidRPr="00684F98" w:rsidRDefault="00471EDD" w:rsidP="00684F98">
      <w:pPr>
        <w:rPr>
          <w:rtl/>
        </w:rPr>
      </w:pPr>
    </w:p>
    <w:p w14:paraId="6F6E17F9" w14:textId="0DCECFFD" w:rsidR="00417E14" w:rsidRDefault="0098306B" w:rsidP="0098306B">
      <w:pPr>
        <w:pStyle w:val="Headingb"/>
      </w:pPr>
      <w:r>
        <w:rPr>
          <w:rFonts w:hint="cs"/>
          <w:rtl/>
        </w:rPr>
        <w:t>المقترحات</w:t>
      </w:r>
    </w:p>
    <w:p w14:paraId="608D5197" w14:textId="77777777" w:rsidR="00C45930" w:rsidRPr="007579F6" w:rsidRDefault="00C45930" w:rsidP="00E56BD6">
      <w:pPr>
        <w:rPr>
          <w:lang w:bidi="ar-EG"/>
        </w:rPr>
      </w:pPr>
    </w:p>
    <w:p w14:paraId="287FF4E2" w14:textId="77777777" w:rsidR="004C67F1" w:rsidRDefault="004C67F1" w:rsidP="00146184">
      <w:pPr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34CD25F6" w14:textId="77777777" w:rsidR="00C10220" w:rsidRDefault="002620CB">
      <w:pPr>
        <w:pStyle w:val="Proposal"/>
      </w:pPr>
      <w:r>
        <w:rPr>
          <w:u w:val="single"/>
        </w:rPr>
        <w:lastRenderedPageBreak/>
        <w:t>NOC</w:t>
      </w:r>
      <w:r>
        <w:tab/>
        <w:t>AFCP/87A12/1</w:t>
      </w:r>
      <w:r>
        <w:rPr>
          <w:vanish/>
          <w:color w:val="7F7F7F" w:themeColor="text1" w:themeTint="80"/>
          <w:vertAlign w:val="superscript"/>
        </w:rPr>
        <w:t>#1812</w:t>
      </w:r>
    </w:p>
    <w:p w14:paraId="3D362C54" w14:textId="77777777" w:rsidR="00471EDD" w:rsidRDefault="002620CB" w:rsidP="00F91337">
      <w:pPr>
        <w:pStyle w:val="VolumeTitle0"/>
        <w:rPr>
          <w:rtl/>
          <w:lang w:bidi="ar-EG"/>
        </w:rPr>
      </w:pPr>
      <w:r w:rsidRPr="009609DD">
        <w:rPr>
          <w:rFonts w:hint="cs"/>
          <w:rtl/>
          <w:lang w:bidi="ar-EG"/>
        </w:rPr>
        <w:t>المواد</w:t>
      </w:r>
    </w:p>
    <w:p w14:paraId="624F63D0" w14:textId="77777777" w:rsidR="00C10220" w:rsidRPr="00E32326" w:rsidRDefault="00C10220">
      <w:pPr>
        <w:pStyle w:val="Reasons"/>
        <w:rPr>
          <w:b w:val="0"/>
          <w:bCs w:val="0"/>
        </w:rPr>
      </w:pPr>
    </w:p>
    <w:p w14:paraId="1AB4FF7A" w14:textId="77777777" w:rsidR="00C10220" w:rsidRDefault="002620CB">
      <w:pPr>
        <w:pStyle w:val="Proposal"/>
      </w:pPr>
      <w:r>
        <w:rPr>
          <w:u w:val="single"/>
        </w:rPr>
        <w:t>NOC</w:t>
      </w:r>
      <w:r>
        <w:tab/>
        <w:t>AFCP/87A12/2</w:t>
      </w:r>
      <w:r>
        <w:rPr>
          <w:vanish/>
          <w:color w:val="7F7F7F" w:themeColor="text1" w:themeTint="80"/>
          <w:vertAlign w:val="superscript"/>
        </w:rPr>
        <w:t>#1813</w:t>
      </w:r>
    </w:p>
    <w:p w14:paraId="2CB9A7CA" w14:textId="77777777" w:rsidR="00471EDD" w:rsidRPr="009609DD" w:rsidRDefault="002620CB" w:rsidP="00F91337">
      <w:pPr>
        <w:pStyle w:val="VolumeTitle0"/>
        <w:rPr>
          <w:rtl/>
        </w:rPr>
      </w:pPr>
      <w:r w:rsidRPr="009609DD">
        <w:rPr>
          <w:rFonts w:hint="cs"/>
          <w:rtl/>
        </w:rPr>
        <w:t>التذييلات</w:t>
      </w:r>
    </w:p>
    <w:p w14:paraId="6966BA43" w14:textId="77777777" w:rsidR="00C10220" w:rsidRPr="00011B00" w:rsidRDefault="00C10220">
      <w:pPr>
        <w:pStyle w:val="Reasons"/>
        <w:rPr>
          <w:b w:val="0"/>
          <w:bCs w:val="0"/>
        </w:rPr>
      </w:pPr>
    </w:p>
    <w:p w14:paraId="250479ED" w14:textId="77777777" w:rsidR="00C10220" w:rsidRDefault="002620CB">
      <w:pPr>
        <w:pStyle w:val="Proposal"/>
      </w:pPr>
      <w:r>
        <w:t>SUP</w:t>
      </w:r>
      <w:r>
        <w:tab/>
        <w:t>AFCP/87A12/3</w:t>
      </w:r>
      <w:r>
        <w:rPr>
          <w:vanish/>
          <w:color w:val="7F7F7F" w:themeColor="text1" w:themeTint="80"/>
          <w:vertAlign w:val="superscript"/>
        </w:rPr>
        <w:t>#1814</w:t>
      </w:r>
    </w:p>
    <w:p w14:paraId="37C64DEB" w14:textId="77777777" w:rsidR="00471EDD" w:rsidRPr="009609DD" w:rsidRDefault="002620CB" w:rsidP="00F91337">
      <w:pPr>
        <w:pStyle w:val="ResNo"/>
        <w:spacing w:before="480"/>
      </w:pPr>
      <w:r w:rsidRPr="009609DD">
        <w:rPr>
          <w:rFonts w:hint="cs"/>
          <w:rtl/>
        </w:rPr>
        <w:t>ال</w:t>
      </w:r>
      <w:r w:rsidRPr="009609DD">
        <w:rPr>
          <w:rtl/>
        </w:rPr>
        <w:t>قرار</w:t>
      </w:r>
      <w:r w:rsidRPr="009609DD">
        <w:rPr>
          <w:rFonts w:hint="cs"/>
          <w:rtl/>
        </w:rPr>
        <w:t xml:space="preserve"> </w:t>
      </w:r>
      <w:r w:rsidRPr="009609DD">
        <w:rPr>
          <w:rStyle w:val="href"/>
        </w:rPr>
        <w:t>656</w:t>
      </w:r>
      <w:r w:rsidRPr="009609DD">
        <w:rPr>
          <w:lang w:val="en-GB"/>
        </w:rPr>
        <w:t xml:space="preserve"> </w:t>
      </w:r>
      <w:r w:rsidRPr="009609DD">
        <w:t>(</w:t>
      </w:r>
      <w:r w:rsidRPr="009609DD">
        <w:rPr>
          <w:rFonts w:hint="eastAsia"/>
        </w:rPr>
        <w:t>R</w:t>
      </w:r>
      <w:r w:rsidRPr="009609DD">
        <w:t>EV</w:t>
      </w:r>
      <w:r w:rsidRPr="009609DD">
        <w:rPr>
          <w:rFonts w:hint="eastAsia"/>
        </w:rPr>
        <w:t>.</w:t>
      </w:r>
      <w:r w:rsidRPr="009609DD">
        <w:t>WRC-19)</w:t>
      </w:r>
    </w:p>
    <w:p w14:paraId="4DA7FB86" w14:textId="77777777" w:rsidR="00471EDD" w:rsidRPr="00FE2CFF" w:rsidRDefault="002620CB" w:rsidP="00F91337">
      <w:pPr>
        <w:pStyle w:val="Restitle"/>
        <w:rPr>
          <w:rtl/>
        </w:rPr>
      </w:pPr>
      <w:r w:rsidRPr="009609DD">
        <w:rPr>
          <w:rFonts w:hint="cs"/>
          <w:rtl/>
        </w:rPr>
        <w:t xml:space="preserve">إمكانية منح </w:t>
      </w:r>
      <w:r w:rsidRPr="009609DD">
        <w:rPr>
          <w:rFonts w:hint="eastAsia"/>
          <w:rtl/>
        </w:rPr>
        <w:t>توزيع</w:t>
      </w:r>
      <w:r w:rsidRPr="009609DD">
        <w:rPr>
          <w:rFonts w:hint="cs"/>
          <w:rtl/>
        </w:rPr>
        <w:t xml:space="preserve"> على أساس ثانوي لخدمة استكشاف الأرض الساتلية</w:t>
      </w:r>
      <w:r w:rsidRPr="009609DD">
        <w:rPr>
          <w:rFonts w:hint="eastAsia"/>
          <w:rtl/>
        </w:rPr>
        <w:t> </w:t>
      </w:r>
      <w:r w:rsidRPr="009609DD">
        <w:rPr>
          <w:rFonts w:hint="cs"/>
          <w:rtl/>
        </w:rPr>
        <w:t>(النشيطة)</w:t>
      </w:r>
      <w:r w:rsidRPr="009609DD">
        <w:rPr>
          <w:rtl/>
        </w:rPr>
        <w:br/>
      </w:r>
      <w:r w:rsidRPr="009609DD">
        <w:rPr>
          <w:rFonts w:hint="cs"/>
          <w:rtl/>
        </w:rPr>
        <w:t xml:space="preserve">من أجل أنظمة السبر الرادارية المحمولة في الفضاء في مدى التردد حول </w:t>
      </w:r>
      <w:r w:rsidRPr="009609DD">
        <w:rPr>
          <w:rFonts w:hint="cs"/>
        </w:rPr>
        <w:t>MHz</w:t>
      </w:r>
      <w:r w:rsidRPr="009609DD">
        <w:t> </w:t>
      </w:r>
      <w:r w:rsidRPr="009609DD">
        <w:rPr>
          <w:rFonts w:hint="cs"/>
        </w:rPr>
        <w:t>4</w:t>
      </w:r>
      <w:r w:rsidRPr="009609DD">
        <w:t>5</w:t>
      </w:r>
    </w:p>
    <w:p w14:paraId="406924A3" w14:textId="071BB367" w:rsidR="00C10220" w:rsidRPr="00822F3E" w:rsidRDefault="002620CB" w:rsidP="00CA3FB2">
      <w:pPr>
        <w:pStyle w:val="Reasons"/>
        <w:rPr>
          <w:b w:val="0"/>
          <w:bCs w:val="0"/>
          <w:spacing w:val="-2"/>
          <w:rtl/>
        </w:rPr>
      </w:pPr>
      <w:r w:rsidRPr="00822F3E">
        <w:rPr>
          <w:spacing w:val="-2"/>
          <w:rtl/>
        </w:rPr>
        <w:t>الأسباب:</w:t>
      </w:r>
      <w:r w:rsidRPr="00822F3E">
        <w:rPr>
          <w:spacing w:val="-2"/>
        </w:rPr>
        <w:tab/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لأنه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لم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يتم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بعد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تحديد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حد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كافٍ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لكثافة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تدفق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القدرة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(</w:t>
      </w:r>
      <w:proofErr w:type="spellStart"/>
      <w:r w:rsidR="00C04C91" w:rsidRPr="00822F3E">
        <w:rPr>
          <w:b w:val="0"/>
          <w:bCs w:val="0"/>
          <w:spacing w:val="-2"/>
          <w:lang w:val="fr-FR"/>
        </w:rPr>
        <w:t>pfd</w:t>
      </w:r>
      <w:proofErr w:type="spellEnd"/>
      <w:r w:rsidR="00C04C91" w:rsidRPr="00822F3E">
        <w:rPr>
          <w:b w:val="0"/>
          <w:bCs w:val="0"/>
          <w:spacing w:val="-2"/>
          <w:rtl/>
          <w:lang w:bidi="ar"/>
        </w:rPr>
        <w:t xml:space="preserve">) </w:t>
      </w:r>
      <w:r w:rsidR="00C04C91" w:rsidRPr="00822F3E">
        <w:rPr>
          <w:rFonts w:hint="cs"/>
          <w:b w:val="0"/>
          <w:bCs w:val="0"/>
          <w:spacing w:val="-2"/>
          <w:rtl/>
          <w:lang w:bidi="ar-EG"/>
        </w:rPr>
        <w:t xml:space="preserve">من أجل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ضمان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حماية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جميع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الخدمات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القائمة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من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التداخل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.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ومع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ذلك،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سيتابع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الاتحاد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الأفريقي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للاتصالات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(</w:t>
      </w:r>
      <w:r w:rsidR="00C04C91" w:rsidRPr="00822F3E">
        <w:rPr>
          <w:b w:val="0"/>
          <w:bCs w:val="0"/>
          <w:spacing w:val="-2"/>
          <w:lang w:val="fr-FR"/>
        </w:rPr>
        <w:t>ATU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) عن كثب التطورات المتعلقة ببند جدول أعمال المؤتمر </w:t>
      </w:r>
      <w:r w:rsidR="00C04C91" w:rsidRPr="00822F3E">
        <w:rPr>
          <w:b w:val="0"/>
          <w:bCs w:val="0"/>
          <w:spacing w:val="-2"/>
          <w:lang w:val="fr-FR"/>
        </w:rPr>
        <w:t>WRC-23 (AI)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مع الاهتمام بالخيار 2 من </w:t>
      </w:r>
      <w:r w:rsidR="00C04C91" w:rsidRPr="00822F3E">
        <w:rPr>
          <w:rFonts w:hint="cs"/>
          <w:b w:val="0"/>
          <w:bCs w:val="0"/>
          <w:spacing w:val="-2"/>
          <w:rtl/>
          <w:lang w:bidi="ar"/>
        </w:rPr>
        <w:t>الأسلوب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b w:val="0"/>
          <w:bCs w:val="0"/>
          <w:spacing w:val="-2"/>
          <w:lang w:val="fr-FR"/>
        </w:rPr>
        <w:t>A2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A3FB2" w:rsidRPr="00822F3E">
        <w:rPr>
          <w:rFonts w:hint="cs"/>
          <w:b w:val="0"/>
          <w:bCs w:val="0"/>
          <w:spacing w:val="-2"/>
          <w:rtl/>
          <w:lang w:bidi="ar"/>
        </w:rPr>
        <w:t>باعتباره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A3FB2" w:rsidRPr="00822F3E">
        <w:rPr>
          <w:b w:val="0"/>
          <w:bCs w:val="0"/>
          <w:spacing w:val="-2"/>
          <w:rtl/>
          <w:lang w:bidi="ar"/>
        </w:rPr>
        <w:t xml:space="preserve">حلاً وسطاً مؤاتياً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بالنظر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إلى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ما</w:t>
      </w:r>
      <w:r w:rsidR="00C04C91" w:rsidRPr="00822F3E">
        <w:rPr>
          <w:b w:val="0"/>
          <w:bCs w:val="0"/>
          <w:spacing w:val="-2"/>
          <w:rtl/>
          <w:lang w:bidi="ar"/>
        </w:rPr>
        <w:t xml:space="preserve"> </w:t>
      </w:r>
      <w:r w:rsidR="00C04C91" w:rsidRPr="00822F3E">
        <w:rPr>
          <w:rFonts w:hint="eastAsia"/>
          <w:b w:val="0"/>
          <w:bCs w:val="0"/>
          <w:spacing w:val="-2"/>
          <w:rtl/>
          <w:lang w:bidi="ar"/>
        </w:rPr>
        <w:t>يلي</w:t>
      </w:r>
      <w:r w:rsidR="00EB1FDC" w:rsidRPr="00822F3E">
        <w:rPr>
          <w:rFonts w:hint="cs"/>
          <w:b w:val="0"/>
          <w:bCs w:val="0"/>
          <w:spacing w:val="-2"/>
          <w:rtl/>
        </w:rPr>
        <w:t>:</w:t>
      </w:r>
    </w:p>
    <w:p w14:paraId="39EFE8FD" w14:textId="2F63AE2A" w:rsidR="00EB1FDC" w:rsidRDefault="00EB1FDC" w:rsidP="00EB1FDC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tl/>
        </w:rPr>
        <w:tab/>
      </w:r>
      <w:r w:rsidR="006A3FC0" w:rsidRPr="006A3FC0">
        <w:rPr>
          <w:rtl/>
        </w:rPr>
        <w:t>يفسح المجال لتعيين حد مناسب لكثافة تدفق القدرة يمنع حدوث تداخل ضار في الخدمة القائمة المعنية</w:t>
      </w:r>
      <w:r w:rsidR="006A3FC0">
        <w:rPr>
          <w:rFonts w:hint="cs"/>
          <w:rtl/>
        </w:rPr>
        <w:t xml:space="preserve">، </w:t>
      </w:r>
      <w:r w:rsidR="006A3FC0" w:rsidRPr="006A3FC0">
        <w:rPr>
          <w:rtl/>
        </w:rPr>
        <w:t xml:space="preserve">ومن المهم حساب </w:t>
      </w:r>
      <w:r w:rsidR="006A3FC0">
        <w:rPr>
          <w:rFonts w:hint="cs"/>
          <w:rtl/>
        </w:rPr>
        <w:t>ال</w:t>
      </w:r>
      <w:r w:rsidR="006A3FC0" w:rsidRPr="006A3FC0">
        <w:rPr>
          <w:rtl/>
        </w:rPr>
        <w:t xml:space="preserve">كثافة </w:t>
      </w:r>
      <w:proofErr w:type="spellStart"/>
      <w:r w:rsidR="006A3FC0" w:rsidRPr="006A3FC0">
        <w:t>pfd</w:t>
      </w:r>
      <w:proofErr w:type="spellEnd"/>
      <w:r w:rsidR="006A3FC0" w:rsidRPr="006A3FC0">
        <w:rPr>
          <w:rtl/>
        </w:rPr>
        <w:t xml:space="preserve"> التي يمكن أن تحمي جميع الخدمات القائمة بمستوى مرض.</w:t>
      </w:r>
    </w:p>
    <w:p w14:paraId="6DD14764" w14:textId="36753DF4" w:rsidR="00EB1FDC" w:rsidRDefault="00EB1FDC" w:rsidP="00EB1FDC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DF2899" w:rsidRPr="00DF2899">
        <w:rPr>
          <w:rtl/>
        </w:rPr>
        <w:t xml:space="preserve">لم يتم التوصل إلى اتفاق بشأن مدة تعرض الخدمات المتأثرة للتداخل الذي تسببه أنظمة السبر </w:t>
      </w:r>
      <w:proofErr w:type="spellStart"/>
      <w:r w:rsidR="00DF2899" w:rsidRPr="00DF2899">
        <w:rPr>
          <w:rtl/>
        </w:rPr>
        <w:t>الرادارية</w:t>
      </w:r>
      <w:proofErr w:type="spellEnd"/>
      <w:r w:rsidR="00DF2899" w:rsidRPr="00DF2899">
        <w:rPr>
          <w:rtl/>
        </w:rPr>
        <w:t>.</w:t>
      </w:r>
    </w:p>
    <w:p w14:paraId="297A6F07" w14:textId="5DCD0A93" w:rsidR="00EB1FDC" w:rsidRDefault="00DF2899" w:rsidP="00EB1FDC">
      <w:pPr>
        <w:pStyle w:val="Note"/>
      </w:pPr>
      <w:r>
        <w:rPr>
          <w:rFonts w:hint="cs"/>
          <w:rtl/>
        </w:rPr>
        <w:t>ملاحظة</w:t>
      </w:r>
      <w:r w:rsidRPr="00DF2899">
        <w:rPr>
          <w:rtl/>
        </w:rPr>
        <w:t>: تتبع إدارة تونس أسلوباً مختلفاً لبند جدول الأعمال 12.1 عن الأسلوب المتبع في المقترح الإفريقي المشترك دون إبداء أي اعتراض على المقترح.</w:t>
      </w:r>
    </w:p>
    <w:p w14:paraId="2E428D6B" w14:textId="6E839E02" w:rsidR="00EB1FDC" w:rsidRPr="00EB1FDC" w:rsidRDefault="002620CB" w:rsidP="002620CB">
      <w:pPr>
        <w:spacing w:before="600"/>
        <w:jc w:val="center"/>
      </w:pPr>
      <w:r w:rsidRPr="002620CB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B1FDC" w:rsidRPr="00EB1FD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6BC6" w14:textId="77777777" w:rsidR="00C55DB9" w:rsidRDefault="00C55DB9" w:rsidP="002919E1">
      <w:r>
        <w:separator/>
      </w:r>
    </w:p>
    <w:p w14:paraId="068A3F75" w14:textId="77777777" w:rsidR="00C55DB9" w:rsidRDefault="00C55DB9" w:rsidP="002919E1"/>
    <w:p w14:paraId="00B12BA6" w14:textId="77777777" w:rsidR="00C55DB9" w:rsidRDefault="00C55DB9" w:rsidP="002919E1"/>
    <w:p w14:paraId="27E41F00" w14:textId="77777777" w:rsidR="00C55DB9" w:rsidRDefault="00C55DB9"/>
    <w:p w14:paraId="75861678" w14:textId="77777777" w:rsidR="00C55DB9" w:rsidRDefault="00C55DB9"/>
  </w:endnote>
  <w:endnote w:type="continuationSeparator" w:id="0">
    <w:p w14:paraId="3B2D003D" w14:textId="77777777" w:rsidR="00C55DB9" w:rsidRDefault="00C55DB9" w:rsidP="002919E1">
      <w:r>
        <w:continuationSeparator/>
      </w:r>
    </w:p>
    <w:p w14:paraId="486EF096" w14:textId="77777777" w:rsidR="00C55DB9" w:rsidRDefault="00C55DB9" w:rsidP="002919E1"/>
    <w:p w14:paraId="63108ED2" w14:textId="77777777" w:rsidR="00C55DB9" w:rsidRDefault="00C55DB9" w:rsidP="002919E1"/>
    <w:p w14:paraId="0D43F073" w14:textId="77777777" w:rsidR="00C55DB9" w:rsidRDefault="00C55DB9"/>
    <w:p w14:paraId="026C1D4F" w14:textId="77777777" w:rsidR="00C55DB9" w:rsidRDefault="00C55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2C08" w14:textId="01AB302A" w:rsidR="00D63A6F" w:rsidRPr="00D63A6F" w:rsidRDefault="00D63A6F" w:rsidP="0014618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22F3E">
      <w:rPr>
        <w:noProof/>
        <w:sz w:val="16"/>
        <w:szCs w:val="16"/>
        <w:lang w:val="fr-FR"/>
      </w:rPr>
      <w:t>P:\ARA\ITU-R\CONF-R\CMR23\000\087ADD12A.docx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146184" w:rsidRPr="00146184">
      <w:rPr>
        <w:sz w:val="16"/>
        <w:szCs w:val="16"/>
      </w:rPr>
      <w:t>530002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D6E9" w14:textId="77777777" w:rsidR="00822F3E" w:rsidRDefault="00822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942F" w14:textId="2C617D84" w:rsidR="00146184" w:rsidRPr="00D63A6F" w:rsidRDefault="00146184" w:rsidP="00146184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22F3E">
      <w:rPr>
        <w:noProof/>
        <w:sz w:val="16"/>
        <w:szCs w:val="16"/>
        <w:lang w:val="fr-FR"/>
      </w:rPr>
      <w:t>P:\ARA\ITU-R\CONF-R\CMR23\000\087ADD12A.docx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Pr="00146184">
      <w:rPr>
        <w:sz w:val="16"/>
        <w:szCs w:val="16"/>
      </w:rPr>
      <w:t>530002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8B03" w14:textId="77777777" w:rsidR="00C55DB9" w:rsidRDefault="00C55DB9" w:rsidP="00C45930">
      <w:r>
        <w:separator/>
      </w:r>
    </w:p>
  </w:footnote>
  <w:footnote w:type="continuationSeparator" w:id="0">
    <w:p w14:paraId="466BB774" w14:textId="77777777" w:rsidR="00C55DB9" w:rsidRDefault="00C55DB9" w:rsidP="002919E1">
      <w:r>
        <w:continuationSeparator/>
      </w:r>
    </w:p>
    <w:p w14:paraId="2D69CAB0" w14:textId="77777777" w:rsidR="00C55DB9" w:rsidRDefault="00C55DB9" w:rsidP="002919E1"/>
    <w:p w14:paraId="4E918AD8" w14:textId="77777777" w:rsidR="00C55DB9" w:rsidRDefault="00C55DB9" w:rsidP="002919E1"/>
    <w:p w14:paraId="40885031" w14:textId="77777777" w:rsidR="00C55DB9" w:rsidRDefault="00C55DB9"/>
    <w:p w14:paraId="48794BD4" w14:textId="77777777" w:rsidR="00C55DB9" w:rsidRDefault="00C55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AC50" w14:textId="36519C2D" w:rsidR="00D63A6F" w:rsidRPr="00146184" w:rsidRDefault="005E5F16" w:rsidP="00146184">
    <w:pPr>
      <w:bidi w:val="0"/>
      <w:spacing w:after="360" w:line="240" w:lineRule="auto"/>
      <w:jc w:val="center"/>
    </w:pPr>
    <w:r w:rsidRPr="00146184">
      <w:rPr>
        <w:rStyle w:val="PageNumber"/>
        <w:rFonts w:ascii="Dubai" w:hAnsi="Dubai" w:cs="Dubai"/>
      </w:rPr>
      <w:fldChar w:fldCharType="begin"/>
    </w:r>
    <w:r w:rsidRPr="00146184">
      <w:rPr>
        <w:rStyle w:val="PageNumber"/>
        <w:rFonts w:ascii="Dubai" w:hAnsi="Dubai" w:cs="Dubai"/>
      </w:rPr>
      <w:instrText xml:space="preserve"> PAGE </w:instrText>
    </w:r>
    <w:r w:rsidRPr="00146184">
      <w:rPr>
        <w:rStyle w:val="PageNumber"/>
        <w:rFonts w:ascii="Dubai" w:hAnsi="Dubai" w:cs="Dubai"/>
      </w:rPr>
      <w:fldChar w:fldCharType="separate"/>
    </w:r>
    <w:r w:rsidRPr="00146184">
      <w:rPr>
        <w:rStyle w:val="PageNumber"/>
        <w:rFonts w:ascii="Dubai" w:hAnsi="Dubai" w:cs="Dubai"/>
      </w:rPr>
      <w:t>2</w:t>
    </w:r>
    <w:r w:rsidRPr="00146184">
      <w:rPr>
        <w:rStyle w:val="PageNumber"/>
        <w:rFonts w:ascii="Dubai" w:hAnsi="Dubai" w:cs="Dubai"/>
      </w:rPr>
      <w:fldChar w:fldCharType="end"/>
    </w:r>
    <w:r w:rsidRPr="00146184">
      <w:rPr>
        <w:rStyle w:val="PageNumber"/>
        <w:rFonts w:ascii="Dubai" w:hAnsi="Dubai" w:cs="Dubai"/>
        <w:rtl/>
      </w:rPr>
      <w:br/>
    </w:r>
    <w:r w:rsidR="004F5F29" w:rsidRPr="00146184">
      <w:rPr>
        <w:rStyle w:val="PageNumber"/>
        <w:rFonts w:ascii="Dubai" w:hAnsi="Dubai" w:cs="Dubai"/>
      </w:rPr>
      <w:t>WRC</w:t>
    </w:r>
    <w:r w:rsidRPr="00146184">
      <w:rPr>
        <w:rStyle w:val="PageNumber"/>
        <w:rFonts w:ascii="Dubai" w:hAnsi="Dubai" w:cs="Dubai"/>
      </w:rPr>
      <w:t>23/87(Add.12)-A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8C8B" w14:textId="77777777" w:rsidR="00822F3E" w:rsidRDefault="00822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1F5B" w14:textId="77777777" w:rsidR="00822F3E" w:rsidRDefault="00822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8F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A2A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6258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CC6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6671933">
    <w:abstractNumId w:val="9"/>
  </w:num>
  <w:num w:numId="2" w16cid:durableId="289748922">
    <w:abstractNumId w:val="13"/>
  </w:num>
  <w:num w:numId="3" w16cid:durableId="1311709409">
    <w:abstractNumId w:val="11"/>
  </w:num>
  <w:num w:numId="4" w16cid:durableId="1997344524">
    <w:abstractNumId w:val="14"/>
  </w:num>
  <w:num w:numId="5" w16cid:durableId="474689172">
    <w:abstractNumId w:val="7"/>
  </w:num>
  <w:num w:numId="6" w16cid:durableId="1788616859">
    <w:abstractNumId w:val="6"/>
  </w:num>
  <w:num w:numId="7" w16cid:durableId="1058282724">
    <w:abstractNumId w:val="5"/>
  </w:num>
  <w:num w:numId="8" w16cid:durableId="292832991">
    <w:abstractNumId w:val="4"/>
  </w:num>
  <w:num w:numId="9" w16cid:durableId="490025054">
    <w:abstractNumId w:val="8"/>
  </w:num>
  <w:num w:numId="10" w16cid:durableId="329141419">
    <w:abstractNumId w:val="3"/>
  </w:num>
  <w:num w:numId="11" w16cid:durableId="1722512848">
    <w:abstractNumId w:val="2"/>
  </w:num>
  <w:num w:numId="12" w16cid:durableId="1712072990">
    <w:abstractNumId w:val="1"/>
  </w:num>
  <w:num w:numId="13" w16cid:durableId="420490464">
    <w:abstractNumId w:val="0"/>
  </w:num>
  <w:num w:numId="14" w16cid:durableId="1526603040">
    <w:abstractNumId w:val="10"/>
  </w:num>
  <w:num w:numId="15" w16cid:durableId="951134731">
    <w:abstractNumId w:val="15"/>
  </w:num>
  <w:num w:numId="16" w16cid:durableId="263616762">
    <w:abstractNumId w:val="12"/>
  </w:num>
  <w:num w:numId="17" w16cid:durableId="1718776432">
    <w:abstractNumId w:val="6"/>
  </w:num>
  <w:num w:numId="18" w16cid:durableId="1140075417">
    <w:abstractNumId w:val="5"/>
  </w:num>
  <w:num w:numId="19" w16cid:durableId="1363088990">
    <w:abstractNumId w:val="3"/>
  </w:num>
  <w:num w:numId="20" w16cid:durableId="337732161">
    <w:abstractNumId w:val="2"/>
  </w:num>
  <w:num w:numId="21" w16cid:durableId="243224779">
    <w:abstractNumId w:val="6"/>
  </w:num>
  <w:num w:numId="22" w16cid:durableId="1026519971">
    <w:abstractNumId w:val="5"/>
  </w:num>
  <w:num w:numId="23" w16cid:durableId="1242720879">
    <w:abstractNumId w:val="3"/>
  </w:num>
  <w:num w:numId="24" w16cid:durableId="143255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B00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184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20CB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1ED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0089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1B15"/>
    <w:rsid w:val="0063348D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3FC0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2F3E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306B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3631"/>
    <w:rsid w:val="00BF60DF"/>
    <w:rsid w:val="00C0250B"/>
    <w:rsid w:val="00C047CA"/>
    <w:rsid w:val="00C04C91"/>
    <w:rsid w:val="00C10220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5DB9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3FB2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362A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899"/>
    <w:rsid w:val="00DF2A6A"/>
    <w:rsid w:val="00DF3B72"/>
    <w:rsid w:val="00DF4CA8"/>
    <w:rsid w:val="00DF61F6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2326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1FDC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FD9998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F157E0"/>
    <w:pPr>
      <w:keepNext/>
      <w:keepLines/>
      <w:tabs>
        <w:tab w:val="clear" w:pos="1871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SimSun"/>
      <w:b/>
      <w:bCs/>
      <w:sz w:val="32"/>
      <w:szCs w:val="32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C04C91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C04C91"/>
    <w:rPr>
      <w:rFonts w:ascii="Consolas" w:hAnsi="Consolas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26c0aa-3843-4869-8270-e0666477041e">DPM</DPM_x0020_Author>
    <DPM_x0020_File_x0020_name xmlns="c426c0aa-3843-4869-8270-e0666477041e">R23-WRC23-C-0087!A12!MSW-A</DPM_x0020_File_x0020_name>
    <DPM_x0020_Version xmlns="c426c0aa-3843-4869-8270-e0666477041e">DPM_2022.05.12.01</DPM_x0020_Version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26c0aa-3843-4869-8270-e0666477041e" targetNamespace="http://schemas.microsoft.com/office/2006/metadata/properties" ma:root="true" ma:fieldsID="d41af5c836d734370eb92e7ee5f83852" ns2:_="" ns3:_="">
    <xsd:import namespace="996b2e75-67fd-4955-a3b0-5ab9934cb50b"/>
    <xsd:import namespace="c426c0aa-3843-4869-8270-e0666477041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6c0aa-3843-4869-8270-e0666477041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426c0aa-3843-4869-8270-e0666477041e"/>
  </ds:schemaRefs>
</ds:datastoreItem>
</file>

<file path=customXml/itemProps3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26c0aa-3843-4869-8270-e06664770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R23-WRC23-C-0087!A12!MSW-A</vt:lpstr>
    </vt:vector>
  </TitlesOfParts>
  <Manager>General Secretariat - Pool</Manager>
  <Company>International Telecommunication Union (ITU)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R23-WRC23-C-0087!A12!MSW-A</dc:title>
  <dc:creator>Documents Proposals Manager (DPM)</dc:creator>
  <cp:keywords>DPM_v2023.8.1.1_prod</cp:keywords>
  <cp:lastModifiedBy>Arabic_HS</cp:lastModifiedBy>
  <cp:revision>3</cp:revision>
  <cp:lastPrinted>2020-08-11T14:28:00Z</cp:lastPrinted>
  <dcterms:created xsi:type="dcterms:W3CDTF">2023-11-17T23:22:00Z</dcterms:created>
  <dcterms:modified xsi:type="dcterms:W3CDTF">2023-11-17T23:24:00Z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