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762BBC" w14:paraId="64C7024B" w14:textId="77777777" w:rsidTr="00762BBC">
        <w:trPr>
          <w:cantSplit/>
        </w:trPr>
        <w:tc>
          <w:tcPr>
            <w:tcW w:w="1418" w:type="dxa"/>
            <w:vAlign w:val="center"/>
          </w:tcPr>
          <w:p w14:paraId="473F5947" w14:textId="77777777" w:rsidR="00762BBC" w:rsidRPr="00DF23FC" w:rsidRDefault="00762BBC" w:rsidP="00762BBC">
            <w:pPr>
              <w:spacing w:before="0" w:after="100" w:afterAutospacing="1" w:line="240" w:lineRule="atLeast"/>
              <w:rPr>
                <w:rFonts w:ascii="Verdana" w:hAnsi="Verdana"/>
                <w:position w:val="6"/>
              </w:rPr>
            </w:pPr>
            <w:r>
              <w:rPr>
                <w:noProof/>
                <w:lang w:val="en-US"/>
              </w:rPr>
              <w:drawing>
                <wp:inline distT="0" distB="0" distL="0" distR="0" wp14:anchorId="399B29DC" wp14:editId="10A1A56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6450C4C5" w14:textId="77777777" w:rsidR="00762BBC" w:rsidRPr="00DF23FC" w:rsidRDefault="00762BBC" w:rsidP="00C97A88">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C97A88">
              <w:rPr>
                <w:rFonts w:ascii="Verdana" w:hAnsi="Verdana"/>
                <w:b/>
                <w:bCs/>
                <w:position w:val="6"/>
                <w:sz w:val="17"/>
                <w:szCs w:val="17"/>
              </w:rPr>
              <w:t>Dubái, 20 de noviembre - 15 de diciembre de 2023</w:t>
            </w:r>
          </w:p>
        </w:tc>
        <w:tc>
          <w:tcPr>
            <w:tcW w:w="2093" w:type="dxa"/>
            <w:vAlign w:val="center"/>
          </w:tcPr>
          <w:p w14:paraId="09999A74" w14:textId="77777777" w:rsidR="00762BBC" w:rsidRDefault="00762BBC" w:rsidP="00762BBC">
            <w:pPr>
              <w:spacing w:before="0" w:line="240" w:lineRule="atLeast"/>
            </w:pPr>
            <w:bookmarkStart w:id="0" w:name="ditulogo"/>
            <w:bookmarkEnd w:id="0"/>
            <w:r>
              <w:rPr>
                <w:noProof/>
              </w:rPr>
              <w:drawing>
                <wp:inline distT="0" distB="0" distL="0" distR="0" wp14:anchorId="24524684" wp14:editId="03680C59">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C8286D" w:rsidRPr="009538D2" w14:paraId="1613CFB2" w14:textId="77777777" w:rsidTr="00A1779F">
        <w:trPr>
          <w:cantSplit/>
        </w:trPr>
        <w:tc>
          <w:tcPr>
            <w:tcW w:w="10031" w:type="dxa"/>
            <w:gridSpan w:val="4"/>
            <w:tcBorders>
              <w:bottom w:val="single" w:sz="12" w:space="0" w:color="auto"/>
            </w:tcBorders>
          </w:tcPr>
          <w:p w14:paraId="41AFF341"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0A3D7BED" w14:textId="77777777" w:rsidTr="0050008E">
        <w:trPr>
          <w:cantSplit/>
        </w:trPr>
        <w:tc>
          <w:tcPr>
            <w:tcW w:w="6911" w:type="dxa"/>
            <w:gridSpan w:val="2"/>
            <w:tcBorders>
              <w:top w:val="single" w:sz="12" w:space="0" w:color="auto"/>
            </w:tcBorders>
          </w:tcPr>
          <w:p w14:paraId="1113934B" w14:textId="77777777" w:rsidR="00C8286D" w:rsidRPr="00C324A8" w:rsidRDefault="00C8286D" w:rsidP="00C8286D">
            <w:pPr>
              <w:spacing w:before="0" w:after="48" w:line="240" w:lineRule="atLeast"/>
              <w:rPr>
                <w:rFonts w:ascii="Verdana" w:hAnsi="Verdana"/>
                <w:b/>
                <w:smallCaps/>
                <w:sz w:val="20"/>
              </w:rPr>
            </w:pPr>
          </w:p>
        </w:tc>
        <w:tc>
          <w:tcPr>
            <w:tcW w:w="3120" w:type="dxa"/>
            <w:gridSpan w:val="2"/>
            <w:tcBorders>
              <w:top w:val="single" w:sz="12" w:space="0" w:color="auto"/>
            </w:tcBorders>
          </w:tcPr>
          <w:p w14:paraId="37065D7E" w14:textId="77777777" w:rsidR="00C8286D" w:rsidRPr="00C324A8" w:rsidRDefault="00C8286D" w:rsidP="00C8286D">
            <w:pPr>
              <w:spacing w:before="0" w:line="240" w:lineRule="atLeast"/>
              <w:rPr>
                <w:rFonts w:ascii="Verdana" w:hAnsi="Verdana"/>
                <w:sz w:val="20"/>
              </w:rPr>
            </w:pPr>
          </w:p>
        </w:tc>
      </w:tr>
      <w:tr w:rsidR="00C8286D" w:rsidRPr="00C324A8" w14:paraId="43CE2338" w14:textId="77777777" w:rsidTr="0050008E">
        <w:trPr>
          <w:cantSplit/>
          <w:trHeight w:val="23"/>
        </w:trPr>
        <w:tc>
          <w:tcPr>
            <w:tcW w:w="6911" w:type="dxa"/>
            <w:gridSpan w:val="2"/>
            <w:vMerge w:val="restart"/>
          </w:tcPr>
          <w:p w14:paraId="73C7DBB5" w14:textId="29BDECFF" w:rsidR="00C8286D" w:rsidRPr="00B20F1E" w:rsidRDefault="00B20F1E" w:rsidP="00C8286D">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B20F1E">
              <w:rPr>
                <w:rFonts w:ascii="Verdana" w:hAnsi="Verdana"/>
                <w:b/>
                <w:bCs/>
                <w:sz w:val="20"/>
              </w:rPr>
              <w:t>SESIÓN PLENARIA</w:t>
            </w:r>
          </w:p>
        </w:tc>
        <w:tc>
          <w:tcPr>
            <w:tcW w:w="3120" w:type="dxa"/>
            <w:gridSpan w:val="2"/>
          </w:tcPr>
          <w:p w14:paraId="554499D3" w14:textId="54561415" w:rsidR="00C8286D" w:rsidRPr="00C8286D" w:rsidRDefault="00C8286D" w:rsidP="00C8286D">
            <w:pPr>
              <w:tabs>
                <w:tab w:val="left" w:pos="851"/>
              </w:tabs>
              <w:spacing w:before="0" w:line="240" w:lineRule="atLeast"/>
              <w:rPr>
                <w:rFonts w:ascii="Verdana" w:hAnsi="Verdana"/>
                <w:sz w:val="20"/>
              </w:rPr>
            </w:pPr>
            <w:r>
              <w:rPr>
                <w:rFonts w:ascii="Verdana" w:hAnsi="Verdana"/>
                <w:b/>
                <w:sz w:val="20"/>
              </w:rPr>
              <w:t xml:space="preserve">Documento </w:t>
            </w:r>
            <w:r w:rsidR="00B20F1E">
              <w:rPr>
                <w:rFonts w:ascii="Verdana" w:hAnsi="Verdana"/>
                <w:b/>
                <w:sz w:val="20"/>
              </w:rPr>
              <w:t>87</w:t>
            </w:r>
            <w:r>
              <w:rPr>
                <w:rFonts w:ascii="Verdana" w:hAnsi="Verdana"/>
                <w:b/>
                <w:sz w:val="20"/>
              </w:rPr>
              <w:t>-S</w:t>
            </w:r>
          </w:p>
        </w:tc>
      </w:tr>
      <w:tr w:rsidR="00C8286D" w:rsidRPr="00C324A8" w14:paraId="670AC9DC" w14:textId="77777777" w:rsidTr="0050008E">
        <w:trPr>
          <w:cantSplit/>
          <w:trHeight w:val="23"/>
        </w:trPr>
        <w:tc>
          <w:tcPr>
            <w:tcW w:w="6911" w:type="dxa"/>
            <w:gridSpan w:val="2"/>
            <w:vMerge/>
          </w:tcPr>
          <w:p w14:paraId="562A06F1" w14:textId="77777777" w:rsidR="00C8286D" w:rsidRPr="00C324A8"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gridSpan w:val="2"/>
          </w:tcPr>
          <w:p w14:paraId="25591F19" w14:textId="6F09DC40" w:rsidR="00C8286D" w:rsidRPr="00C8286D" w:rsidRDefault="00B20F1E" w:rsidP="00C8286D">
            <w:pPr>
              <w:tabs>
                <w:tab w:val="left" w:pos="993"/>
              </w:tabs>
              <w:spacing w:before="0"/>
              <w:rPr>
                <w:rFonts w:ascii="Verdana" w:hAnsi="Verdana"/>
                <w:sz w:val="20"/>
              </w:rPr>
            </w:pPr>
            <w:r>
              <w:rPr>
                <w:rFonts w:ascii="Verdana" w:hAnsi="Verdana"/>
                <w:b/>
                <w:sz w:val="20"/>
              </w:rPr>
              <w:t>23 de octubre</w:t>
            </w:r>
            <w:r w:rsidR="00C8286D">
              <w:rPr>
                <w:rFonts w:ascii="Verdana" w:hAnsi="Verdana"/>
                <w:b/>
                <w:sz w:val="20"/>
              </w:rPr>
              <w:t xml:space="preserve"> de 20</w:t>
            </w:r>
            <w:r w:rsidR="00C97A88">
              <w:rPr>
                <w:rFonts w:ascii="Verdana" w:hAnsi="Verdana"/>
                <w:b/>
                <w:sz w:val="20"/>
              </w:rPr>
              <w:t>23</w:t>
            </w:r>
          </w:p>
        </w:tc>
      </w:tr>
      <w:tr w:rsidR="00C8286D" w:rsidRPr="00C324A8" w14:paraId="0DE06659" w14:textId="77777777" w:rsidTr="0050008E">
        <w:trPr>
          <w:cantSplit/>
          <w:trHeight w:val="23"/>
        </w:trPr>
        <w:tc>
          <w:tcPr>
            <w:tcW w:w="6911" w:type="dxa"/>
            <w:gridSpan w:val="2"/>
            <w:vMerge/>
          </w:tcPr>
          <w:p w14:paraId="23EEFD93" w14:textId="77777777" w:rsidR="00C8286D" w:rsidRPr="00C324A8" w:rsidRDefault="00C8286D" w:rsidP="0050008E">
            <w:pPr>
              <w:tabs>
                <w:tab w:val="left" w:pos="851"/>
              </w:tabs>
              <w:spacing w:line="240" w:lineRule="atLeast"/>
              <w:rPr>
                <w:rFonts w:ascii="Verdana" w:hAnsi="Verdana"/>
                <w:b/>
                <w:sz w:val="20"/>
              </w:rPr>
            </w:pPr>
            <w:bookmarkStart w:id="5" w:name="dorlang" w:colFirst="1" w:colLast="1"/>
            <w:bookmarkEnd w:id="4"/>
          </w:p>
        </w:tc>
        <w:tc>
          <w:tcPr>
            <w:tcW w:w="3120" w:type="dxa"/>
            <w:gridSpan w:val="2"/>
          </w:tcPr>
          <w:p w14:paraId="2282C586" w14:textId="77777777"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p>
        </w:tc>
      </w:tr>
      <w:tr w:rsidR="00C8286D" w14:paraId="7A0DE209" w14:textId="77777777" w:rsidTr="0050008E">
        <w:trPr>
          <w:cantSplit/>
        </w:trPr>
        <w:tc>
          <w:tcPr>
            <w:tcW w:w="10031" w:type="dxa"/>
            <w:gridSpan w:val="4"/>
          </w:tcPr>
          <w:p w14:paraId="74C30E70" w14:textId="42B6BB1A" w:rsidR="00C8286D" w:rsidRDefault="00B20F1E" w:rsidP="0050008E">
            <w:pPr>
              <w:pStyle w:val="Source"/>
            </w:pPr>
            <w:bookmarkStart w:id="6" w:name="dsource" w:colFirst="0" w:colLast="0"/>
            <w:bookmarkEnd w:id="5"/>
            <w:r w:rsidRPr="00B20F1E">
              <w:t>Propuestas Comunes Africanas</w:t>
            </w:r>
          </w:p>
        </w:tc>
      </w:tr>
      <w:tr w:rsidR="00C8286D" w14:paraId="3FF3213E" w14:textId="77777777" w:rsidTr="0050008E">
        <w:trPr>
          <w:cantSplit/>
        </w:trPr>
        <w:tc>
          <w:tcPr>
            <w:tcW w:w="10031" w:type="dxa"/>
            <w:gridSpan w:val="4"/>
          </w:tcPr>
          <w:p w14:paraId="01A55D26" w14:textId="0D5E32E7" w:rsidR="00C8286D" w:rsidRDefault="00B20F1E" w:rsidP="0050008E">
            <w:pPr>
              <w:pStyle w:val="Title1"/>
            </w:pPr>
            <w:bookmarkStart w:id="7" w:name="dtitle1" w:colFirst="0" w:colLast="0"/>
            <w:bookmarkEnd w:id="6"/>
            <w:r w:rsidRPr="00B20F1E">
              <w:t>PROPUESTAS PARA LOS TRABAJOS DE LA CONFERENCIA</w:t>
            </w:r>
          </w:p>
        </w:tc>
      </w:tr>
      <w:tr w:rsidR="00C8286D" w14:paraId="10CB1DE6" w14:textId="77777777" w:rsidTr="0050008E">
        <w:trPr>
          <w:cantSplit/>
        </w:trPr>
        <w:tc>
          <w:tcPr>
            <w:tcW w:w="10031" w:type="dxa"/>
            <w:gridSpan w:val="4"/>
          </w:tcPr>
          <w:p w14:paraId="6D4F2854" w14:textId="527F08D0" w:rsidR="00C8286D" w:rsidRDefault="00B20F1E" w:rsidP="0050008E">
            <w:pPr>
              <w:pStyle w:val="Title2"/>
            </w:pPr>
            <w:bookmarkStart w:id="8" w:name="dtitle2" w:colFirst="0" w:colLast="0"/>
            <w:bookmarkEnd w:id="7"/>
            <w:r w:rsidRPr="00B20F1E">
              <w:t>DOCUMENTO DE BASE</w:t>
            </w:r>
          </w:p>
        </w:tc>
      </w:tr>
      <w:tr w:rsidR="00C8286D" w14:paraId="413EF68C" w14:textId="77777777" w:rsidTr="0050008E">
        <w:trPr>
          <w:cantSplit/>
        </w:trPr>
        <w:tc>
          <w:tcPr>
            <w:tcW w:w="10031" w:type="dxa"/>
            <w:gridSpan w:val="4"/>
          </w:tcPr>
          <w:p w14:paraId="5B46ABF0" w14:textId="77777777" w:rsidR="00C8286D" w:rsidRDefault="00C8286D" w:rsidP="0050008E">
            <w:pPr>
              <w:pStyle w:val="Title3"/>
            </w:pPr>
            <w:bookmarkStart w:id="9" w:name="dtitle3" w:colFirst="0" w:colLast="0"/>
            <w:bookmarkEnd w:id="8"/>
          </w:p>
        </w:tc>
      </w:tr>
    </w:tbl>
    <w:bookmarkEnd w:id="9"/>
    <w:p w14:paraId="2F1DA312" w14:textId="77777777" w:rsidR="00B20F1E" w:rsidRPr="000D2717" w:rsidRDefault="00B20F1E" w:rsidP="0056026E">
      <w:pPr>
        <w:pStyle w:val="Heading1"/>
        <w:rPr>
          <w:lang w:val="es-ES"/>
        </w:rPr>
      </w:pPr>
      <w:r w:rsidRPr="000D2717">
        <w:rPr>
          <w:lang w:val="es-ES"/>
        </w:rPr>
        <w:t>1</w:t>
      </w:r>
      <w:r w:rsidRPr="000D2717">
        <w:rPr>
          <w:lang w:val="es-ES"/>
        </w:rPr>
        <w:tab/>
        <w:t>Introducción</w:t>
      </w:r>
    </w:p>
    <w:p w14:paraId="1F05BF2F" w14:textId="77777777" w:rsidR="00B20F1E" w:rsidRPr="000D2717" w:rsidRDefault="00B20F1E" w:rsidP="00B20F1E">
      <w:pPr>
        <w:rPr>
          <w:lang w:val="es-ES"/>
        </w:rPr>
      </w:pPr>
      <w:r w:rsidRPr="000D2717">
        <w:rPr>
          <w:lang w:val="es-ES"/>
        </w:rPr>
        <w:t xml:space="preserve">A lo largo del periodo transcurrido desde la celebración de la AR-19/CMR-19, la región africana ha llevado a cabo amplios preparativos para la AR-23/CMR-23. </w:t>
      </w:r>
      <w:r>
        <w:rPr>
          <w:lang w:val="es-ES"/>
        </w:rPr>
        <w:t>Desde entonces</w:t>
      </w:r>
      <w:r w:rsidRPr="000D2717">
        <w:rPr>
          <w:lang w:val="es-ES"/>
        </w:rPr>
        <w:t xml:space="preserve">, una </w:t>
      </w:r>
      <w:r>
        <w:rPr>
          <w:lang w:val="es-ES"/>
        </w:rPr>
        <w:t>amplia</w:t>
      </w:r>
      <w:r w:rsidRPr="000D2717">
        <w:rPr>
          <w:lang w:val="es-ES"/>
        </w:rPr>
        <w:t xml:space="preserve"> mayoría de los Estados </w:t>
      </w:r>
      <w:r>
        <w:rPr>
          <w:lang w:val="es-ES"/>
        </w:rPr>
        <w:t>M</w:t>
      </w:r>
      <w:r w:rsidRPr="000D2717">
        <w:rPr>
          <w:lang w:val="es-ES"/>
        </w:rPr>
        <w:t>iembros de la UAT</w:t>
      </w:r>
      <w:r w:rsidRPr="000D2717">
        <w:rPr>
          <w:rStyle w:val="FootnoteReference"/>
          <w:lang w:val="es-ES"/>
        </w:rPr>
        <w:footnoteReference w:id="1"/>
      </w:r>
      <w:r w:rsidRPr="000D2717">
        <w:rPr>
          <w:lang w:val="es-ES"/>
        </w:rPr>
        <w:t xml:space="preserve"> han participado </w:t>
      </w:r>
      <w:r>
        <w:rPr>
          <w:lang w:val="es-ES"/>
        </w:rPr>
        <w:t xml:space="preserve">de forma </w:t>
      </w:r>
      <w:r w:rsidRPr="000D2717">
        <w:rPr>
          <w:lang w:val="es-ES"/>
        </w:rPr>
        <w:t xml:space="preserve">plena y activa en las decisiones tomadas. </w:t>
      </w:r>
      <w:r>
        <w:rPr>
          <w:lang w:val="es-ES"/>
        </w:rPr>
        <w:t>En la</w:t>
      </w:r>
      <w:r w:rsidRPr="000D2717">
        <w:rPr>
          <w:lang w:val="es-ES"/>
        </w:rPr>
        <w:t xml:space="preserve"> última Reunión Preparatoria de la UAT, celebrada en agosto de 2023, participaron los Estados Miembros</w:t>
      </w:r>
      <w:r>
        <w:rPr>
          <w:lang w:val="es-ES"/>
        </w:rPr>
        <w:t xml:space="preserve"> enumerados a continuación</w:t>
      </w:r>
      <w:r w:rsidRPr="000D2717">
        <w:rPr>
          <w:lang w:val="es-ES"/>
        </w:rPr>
        <w:t>:</w:t>
      </w:r>
    </w:p>
    <w:p w14:paraId="3A843927" w14:textId="77777777" w:rsidR="00B20F1E" w:rsidRPr="000D2717" w:rsidRDefault="00B20F1E" w:rsidP="00B20F1E">
      <w:pPr>
        <w:pStyle w:val="enumlev1"/>
        <w:rPr>
          <w:lang w:val="es-ES"/>
        </w:rPr>
      </w:pPr>
      <w:r w:rsidRPr="000D2717">
        <w:rPr>
          <w:lang w:val="es-ES"/>
        </w:rPr>
        <w:tab/>
        <w:t xml:space="preserve">Cuarenta y cinco (45) Estados </w:t>
      </w:r>
      <w:r>
        <w:rPr>
          <w:lang w:val="es-ES"/>
        </w:rPr>
        <w:t>M</w:t>
      </w:r>
      <w:r w:rsidRPr="000D2717">
        <w:rPr>
          <w:lang w:val="es-ES"/>
        </w:rPr>
        <w:t xml:space="preserve">iembros de la </w:t>
      </w:r>
      <w:r>
        <w:rPr>
          <w:lang w:val="es-ES"/>
        </w:rPr>
        <w:t>UAT, a saber,</w:t>
      </w:r>
      <w:r w:rsidRPr="000D2717">
        <w:rPr>
          <w:lang w:val="es-ES"/>
        </w:rPr>
        <w:t xml:space="preserve"> Argelia, Angola, </w:t>
      </w:r>
      <w:proofErr w:type="spellStart"/>
      <w:r w:rsidRPr="000D2717">
        <w:rPr>
          <w:lang w:val="es-ES"/>
        </w:rPr>
        <w:t>Benin</w:t>
      </w:r>
      <w:proofErr w:type="spellEnd"/>
      <w:r w:rsidRPr="000D2717">
        <w:rPr>
          <w:lang w:val="es-ES"/>
        </w:rPr>
        <w:t xml:space="preserve">, </w:t>
      </w:r>
      <w:proofErr w:type="spellStart"/>
      <w:r w:rsidRPr="000D2717">
        <w:rPr>
          <w:lang w:val="es-ES"/>
        </w:rPr>
        <w:t>Bots</w:t>
      </w:r>
      <w:r>
        <w:rPr>
          <w:lang w:val="es-ES"/>
        </w:rPr>
        <w:t>w</w:t>
      </w:r>
      <w:r w:rsidRPr="000D2717">
        <w:rPr>
          <w:lang w:val="es-ES"/>
        </w:rPr>
        <w:t>ana</w:t>
      </w:r>
      <w:proofErr w:type="spellEnd"/>
      <w:r w:rsidRPr="000D2717">
        <w:rPr>
          <w:lang w:val="es-ES"/>
        </w:rPr>
        <w:t xml:space="preserve">, Burkina Faso, Burundi, Cabo Verde, Camerún, República Centroafricana, Chad, Comoras, Congo, Costa de Marfil, Yibuti, República Democrática del Congo, Egipto, </w:t>
      </w:r>
      <w:proofErr w:type="spellStart"/>
      <w:r w:rsidRPr="000D2717">
        <w:rPr>
          <w:lang w:val="es-ES"/>
        </w:rPr>
        <w:t>Eswatini</w:t>
      </w:r>
      <w:proofErr w:type="spellEnd"/>
      <w:r w:rsidRPr="000D2717">
        <w:rPr>
          <w:lang w:val="es-ES"/>
        </w:rPr>
        <w:t xml:space="preserve">, Guinea Ecuatorial, Gabón, Gambia, Ghana, Guinea, </w:t>
      </w:r>
      <w:proofErr w:type="spellStart"/>
      <w:r w:rsidRPr="000D2717">
        <w:rPr>
          <w:lang w:val="es-ES"/>
        </w:rPr>
        <w:t>Ken</w:t>
      </w:r>
      <w:r>
        <w:rPr>
          <w:lang w:val="es-ES"/>
        </w:rPr>
        <w:t>y</w:t>
      </w:r>
      <w:r w:rsidRPr="000D2717">
        <w:rPr>
          <w:lang w:val="es-ES"/>
        </w:rPr>
        <w:t>a</w:t>
      </w:r>
      <w:proofErr w:type="spellEnd"/>
      <w:r w:rsidRPr="000D2717">
        <w:rPr>
          <w:lang w:val="es-ES"/>
        </w:rPr>
        <w:t>, Lesoto, Liberia, Madagascar, Mala</w:t>
      </w:r>
      <w:r>
        <w:rPr>
          <w:lang w:val="es-ES"/>
        </w:rPr>
        <w:t>w</w:t>
      </w:r>
      <w:r w:rsidRPr="000D2717">
        <w:rPr>
          <w:lang w:val="es-ES"/>
        </w:rPr>
        <w:t xml:space="preserve">i, Malí, Marruecos, Mauricio, Mozambique, Namibia, Níger, Nigeria, </w:t>
      </w:r>
      <w:proofErr w:type="spellStart"/>
      <w:r w:rsidRPr="000D2717">
        <w:rPr>
          <w:lang w:val="es-ES"/>
        </w:rPr>
        <w:t>R</w:t>
      </w:r>
      <w:r>
        <w:rPr>
          <w:lang w:val="es-ES"/>
        </w:rPr>
        <w:t>w</w:t>
      </w:r>
      <w:r w:rsidRPr="000D2717">
        <w:rPr>
          <w:lang w:val="es-ES"/>
        </w:rPr>
        <w:t>anda</w:t>
      </w:r>
      <w:proofErr w:type="spellEnd"/>
      <w:r w:rsidRPr="000D2717">
        <w:rPr>
          <w:lang w:val="es-ES"/>
        </w:rPr>
        <w:t xml:space="preserve">, Santo Tomé y Príncipe, Senegal, Sudáfrica, Sudán del Sur, Tanzania, Togo, Túnez, Uganda, Zambia y </w:t>
      </w:r>
      <w:proofErr w:type="spellStart"/>
      <w:r w:rsidRPr="000D2717">
        <w:rPr>
          <w:lang w:val="es-ES"/>
        </w:rPr>
        <w:t>Zimbab</w:t>
      </w:r>
      <w:r>
        <w:rPr>
          <w:lang w:val="es-ES"/>
        </w:rPr>
        <w:t>w</w:t>
      </w:r>
      <w:r w:rsidRPr="000D2717">
        <w:rPr>
          <w:lang w:val="es-ES"/>
        </w:rPr>
        <w:t>e</w:t>
      </w:r>
      <w:proofErr w:type="spellEnd"/>
      <w:r w:rsidRPr="000D2717">
        <w:rPr>
          <w:lang w:val="es-ES"/>
        </w:rPr>
        <w:t>.</w:t>
      </w:r>
    </w:p>
    <w:p w14:paraId="7D916727" w14:textId="77777777" w:rsidR="00B20F1E" w:rsidRPr="000D2717" w:rsidRDefault="00B20F1E" w:rsidP="0056026E">
      <w:pPr>
        <w:pStyle w:val="Heading1"/>
        <w:rPr>
          <w:b w:val="0"/>
          <w:bCs/>
          <w:lang w:val="es-ES"/>
        </w:rPr>
      </w:pPr>
      <w:r w:rsidRPr="000D2717">
        <w:rPr>
          <w:bCs/>
          <w:lang w:val="es-ES"/>
        </w:rPr>
        <w:t>2</w:t>
      </w:r>
      <w:r w:rsidRPr="000D2717">
        <w:rPr>
          <w:bCs/>
          <w:lang w:val="es-ES"/>
        </w:rPr>
        <w:tab/>
      </w:r>
      <w:r w:rsidRPr="0056026E">
        <w:rPr>
          <w:lang w:val="es-ES"/>
        </w:rPr>
        <w:t>Propuestas</w:t>
      </w:r>
    </w:p>
    <w:p w14:paraId="4E2F4924" w14:textId="77777777" w:rsidR="00B20F1E" w:rsidRPr="000D2717" w:rsidRDefault="00B20F1E" w:rsidP="00B20F1E">
      <w:pPr>
        <w:rPr>
          <w:lang w:val="es-ES"/>
        </w:rPr>
      </w:pPr>
      <w:r w:rsidRPr="000D2717">
        <w:rPr>
          <w:lang w:val="es-ES"/>
        </w:rPr>
        <w:t xml:space="preserve">Como resultado de </w:t>
      </w:r>
      <w:r>
        <w:rPr>
          <w:lang w:val="es-ES"/>
        </w:rPr>
        <w:t>esos</w:t>
      </w:r>
      <w:r w:rsidRPr="000D2717">
        <w:rPr>
          <w:lang w:val="es-ES"/>
        </w:rPr>
        <w:t xml:space="preserve"> preparativos,</w:t>
      </w:r>
      <w:r>
        <w:rPr>
          <w:lang w:val="es-ES"/>
        </w:rPr>
        <w:t xml:space="preserve"> a</w:t>
      </w:r>
      <w:r w:rsidRPr="000D2717">
        <w:rPr>
          <w:lang w:val="es-ES"/>
        </w:rPr>
        <w:t xml:space="preserve"> la UAT </w:t>
      </w:r>
      <w:r>
        <w:rPr>
          <w:lang w:val="es-ES"/>
        </w:rPr>
        <w:t>le</w:t>
      </w:r>
      <w:r w:rsidRPr="000D2717">
        <w:rPr>
          <w:lang w:val="es-ES"/>
        </w:rPr>
        <w:t xml:space="preserve"> complace presentar las siguientes propuestas</w:t>
      </w:r>
      <w:r>
        <w:rPr>
          <w:lang w:val="es-ES"/>
        </w:rPr>
        <w:t xml:space="preserve"> o posiciones</w:t>
      </w:r>
      <w:r w:rsidRPr="000D2717">
        <w:rPr>
          <w:lang w:val="es-ES"/>
        </w:rPr>
        <w:t xml:space="preserve"> comunes africanas </w:t>
      </w:r>
      <w:r>
        <w:rPr>
          <w:lang w:val="es-ES"/>
        </w:rPr>
        <w:t xml:space="preserve">(AFCP) </w:t>
      </w:r>
      <w:r w:rsidRPr="000D2717">
        <w:rPr>
          <w:lang w:val="es-ES"/>
        </w:rPr>
        <w:t xml:space="preserve">a la Conferencia Mundial de Radiocomunicaciones </w:t>
      </w:r>
      <w:r>
        <w:rPr>
          <w:lang w:val="es-ES"/>
        </w:rPr>
        <w:t>de 2023 (</w:t>
      </w:r>
      <w:r w:rsidRPr="000D2717">
        <w:rPr>
          <w:lang w:val="es-ES"/>
        </w:rPr>
        <w:t>CMR-23</w:t>
      </w:r>
      <w:r>
        <w:rPr>
          <w:lang w:val="es-ES"/>
        </w:rPr>
        <w:t>)</w:t>
      </w:r>
      <w:r w:rsidRPr="000D2717">
        <w:rPr>
          <w:lang w:val="es-ES"/>
        </w:rPr>
        <w:t xml:space="preserve">, </w:t>
      </w:r>
      <w:r>
        <w:rPr>
          <w:lang w:val="es-ES"/>
        </w:rPr>
        <w:t>en relación con las expectativas</w:t>
      </w:r>
      <w:r w:rsidRPr="000D2717">
        <w:rPr>
          <w:lang w:val="es-ES"/>
        </w:rPr>
        <w:t xml:space="preserve"> africanas </w:t>
      </w:r>
      <w:r>
        <w:rPr>
          <w:lang w:val="es-ES"/>
        </w:rPr>
        <w:t>sobre dicha Conferencia.</w:t>
      </w:r>
      <w:r w:rsidRPr="000D2717">
        <w:rPr>
          <w:lang w:val="es-ES"/>
        </w:rPr>
        <w:t xml:space="preserve"> Todas ellas tienen por objeto </w:t>
      </w:r>
      <w:r>
        <w:rPr>
          <w:lang w:val="es-ES"/>
        </w:rPr>
        <w:t>ampliar</w:t>
      </w:r>
      <w:r w:rsidRPr="000D2717">
        <w:rPr>
          <w:lang w:val="es-ES"/>
        </w:rPr>
        <w:t xml:space="preserve"> el alcance y </w:t>
      </w:r>
      <w:r>
        <w:rPr>
          <w:lang w:val="es-ES"/>
        </w:rPr>
        <w:t>la repercusión</w:t>
      </w:r>
      <w:r w:rsidRPr="000D2717">
        <w:rPr>
          <w:lang w:val="es-ES"/>
        </w:rPr>
        <w:t xml:space="preserve"> de las TIC en África mediante </w:t>
      </w:r>
      <w:r>
        <w:rPr>
          <w:lang w:val="es-ES"/>
        </w:rPr>
        <w:t>la utilización racional</w:t>
      </w:r>
      <w:r w:rsidRPr="000D2717">
        <w:rPr>
          <w:lang w:val="es-ES"/>
        </w:rPr>
        <w:t xml:space="preserve"> del espectro radioeléctrico, </w:t>
      </w:r>
      <w:r>
        <w:rPr>
          <w:lang w:val="es-ES"/>
        </w:rPr>
        <w:t>y facilitar el</w:t>
      </w:r>
      <w:r w:rsidRPr="000D2717">
        <w:rPr>
          <w:lang w:val="es-ES"/>
        </w:rPr>
        <w:t xml:space="preserve"> apoyo al programa de mitigación </w:t>
      </w:r>
      <w:r>
        <w:rPr>
          <w:lang w:val="es-ES"/>
        </w:rPr>
        <w:t>de los efectos del</w:t>
      </w:r>
      <w:r w:rsidRPr="000D2717">
        <w:rPr>
          <w:lang w:val="es-ES"/>
        </w:rPr>
        <w:t xml:space="preserve"> cambio climático. Las propuestas se </w:t>
      </w:r>
      <w:r>
        <w:rPr>
          <w:lang w:val="es-ES"/>
        </w:rPr>
        <w:t>sintetizan</w:t>
      </w:r>
      <w:r w:rsidRPr="000D2717">
        <w:rPr>
          <w:lang w:val="es-ES"/>
        </w:rPr>
        <w:t xml:space="preserve"> en el Anexo 1, </w:t>
      </w:r>
      <w:r>
        <w:rPr>
          <w:lang w:val="es-ES"/>
        </w:rPr>
        <w:t>y</w:t>
      </w:r>
      <w:r w:rsidRPr="000D2717">
        <w:rPr>
          <w:lang w:val="es-ES"/>
        </w:rPr>
        <w:t xml:space="preserve"> las referencias </w:t>
      </w:r>
      <w:r>
        <w:rPr>
          <w:lang w:val="es-ES"/>
        </w:rPr>
        <w:t xml:space="preserve">recíprocas </w:t>
      </w:r>
      <w:r w:rsidRPr="000D2717">
        <w:rPr>
          <w:lang w:val="es-ES"/>
        </w:rPr>
        <w:t>a los documentos de las propuestas (</w:t>
      </w:r>
      <w:proofErr w:type="spellStart"/>
      <w:r w:rsidRPr="00D341AE">
        <w:rPr>
          <w:i/>
          <w:iCs/>
          <w:lang w:val="es-ES"/>
        </w:rPr>
        <w:t>addéndums</w:t>
      </w:r>
      <w:proofErr w:type="spellEnd"/>
      <w:r w:rsidRPr="000D2717">
        <w:rPr>
          <w:lang w:val="es-ES"/>
        </w:rPr>
        <w:t>)</w:t>
      </w:r>
      <w:r>
        <w:rPr>
          <w:lang w:val="es-ES"/>
        </w:rPr>
        <w:t xml:space="preserve"> presentadas</w:t>
      </w:r>
      <w:r w:rsidRPr="000D2717">
        <w:rPr>
          <w:lang w:val="es-ES"/>
        </w:rPr>
        <w:t xml:space="preserve"> a la CMR-23 figuran en el Anexo 2. Los Estados </w:t>
      </w:r>
      <w:r>
        <w:rPr>
          <w:lang w:val="es-ES"/>
        </w:rPr>
        <w:t>M</w:t>
      </w:r>
      <w:r w:rsidRPr="000D2717">
        <w:rPr>
          <w:lang w:val="es-ES"/>
        </w:rPr>
        <w:t xml:space="preserve">iembros de la ATU que </w:t>
      </w:r>
      <w:r>
        <w:rPr>
          <w:lang w:val="es-ES"/>
        </w:rPr>
        <w:t>manifestaron</w:t>
      </w:r>
      <w:r w:rsidRPr="000D2717">
        <w:rPr>
          <w:lang w:val="es-ES"/>
        </w:rPr>
        <w:t xml:space="preserve"> reservas sobre </w:t>
      </w:r>
      <w:r>
        <w:rPr>
          <w:lang w:val="es-ES"/>
        </w:rPr>
        <w:t>algunas de esas propuestas o posiciones africanas, al adoptarse en</w:t>
      </w:r>
      <w:r w:rsidRPr="000D2717">
        <w:rPr>
          <w:lang w:val="es-ES"/>
        </w:rPr>
        <w:t xml:space="preserve"> la Reunión Preparatoria final de la ATU para la CMR-23 (APM23-4), </w:t>
      </w:r>
      <w:r>
        <w:rPr>
          <w:lang w:val="es-ES"/>
        </w:rPr>
        <w:lastRenderedPageBreak/>
        <w:t>figuran</w:t>
      </w:r>
      <w:r w:rsidRPr="000D2717">
        <w:rPr>
          <w:lang w:val="es-ES"/>
        </w:rPr>
        <w:t xml:space="preserve"> en el Anexo 3, </w:t>
      </w:r>
      <w:r>
        <w:rPr>
          <w:lang w:val="es-ES"/>
        </w:rPr>
        <w:t>al tiempo</w:t>
      </w:r>
      <w:r w:rsidRPr="000D2717">
        <w:rPr>
          <w:lang w:val="es-ES"/>
        </w:rPr>
        <w:t xml:space="preserve"> que </w:t>
      </w:r>
      <w:r>
        <w:rPr>
          <w:lang w:val="es-ES"/>
        </w:rPr>
        <w:t>las</w:t>
      </w:r>
      <w:r w:rsidRPr="000D2717">
        <w:rPr>
          <w:lang w:val="es-ES"/>
        </w:rPr>
        <w:t xml:space="preserve"> </w:t>
      </w:r>
      <w:r>
        <w:rPr>
          <w:lang w:val="es-ES"/>
        </w:rPr>
        <w:t>propuestas y posiciones respaldadas por</w:t>
      </w:r>
      <w:r w:rsidRPr="000D2717">
        <w:rPr>
          <w:lang w:val="es-ES"/>
        </w:rPr>
        <w:t xml:space="preserve"> Marruecos </w:t>
      </w:r>
      <w:r>
        <w:rPr>
          <w:lang w:val="es-ES"/>
        </w:rPr>
        <w:t>se enumeran</w:t>
      </w:r>
      <w:r w:rsidRPr="000D2717">
        <w:rPr>
          <w:lang w:val="es-ES"/>
        </w:rPr>
        <w:t xml:space="preserve"> en el Anexo 4.</w:t>
      </w:r>
    </w:p>
    <w:p w14:paraId="0715BB3B" w14:textId="77777777" w:rsidR="00B20F1E" w:rsidRPr="000D2717" w:rsidRDefault="00B20F1E" w:rsidP="00B20F1E">
      <w:pPr>
        <w:pStyle w:val="AnnexNo"/>
        <w:rPr>
          <w:lang w:val="es-ES"/>
        </w:rPr>
      </w:pPr>
      <w:r w:rsidRPr="000D2717">
        <w:rPr>
          <w:lang w:val="es-ES"/>
        </w:rPr>
        <w:t>Anexo 1</w:t>
      </w:r>
    </w:p>
    <w:p w14:paraId="67BC6F0B" w14:textId="77777777" w:rsidR="00B20F1E" w:rsidRPr="000D2717" w:rsidRDefault="00B20F1E" w:rsidP="00B20F1E">
      <w:pPr>
        <w:pStyle w:val="Annextitle"/>
        <w:rPr>
          <w:lang w:val="es-ES"/>
        </w:rPr>
      </w:pPr>
      <w:r w:rsidRPr="000D2717">
        <w:rPr>
          <w:lang w:val="es-ES"/>
        </w:rPr>
        <w:t xml:space="preserve">Resumen de </w:t>
      </w:r>
      <w:r>
        <w:rPr>
          <w:lang w:val="es-ES"/>
        </w:rPr>
        <w:t>las AFCP</w:t>
      </w:r>
      <w:r w:rsidRPr="000D2717">
        <w:rPr>
          <w:lang w:val="es-ES"/>
        </w:rPr>
        <w:t xml:space="preserve"> y s</w:t>
      </w:r>
      <w:r>
        <w:rPr>
          <w:lang w:val="es-ES"/>
        </w:rPr>
        <w:t>u correspondiente número de Addéndum</w:t>
      </w:r>
    </w:p>
    <w:p w14:paraId="42FCE412" w14:textId="77777777" w:rsidR="00B20F1E" w:rsidRPr="000D2717" w:rsidRDefault="00B20F1E" w:rsidP="00B20F1E">
      <w:pPr>
        <w:pStyle w:val="Tabletitle"/>
        <w:rPr>
          <w:lang w:val="es-ES"/>
        </w:rPr>
      </w:pPr>
      <w:r w:rsidRPr="000D2717">
        <w:rPr>
          <w:lang w:val="es-ES"/>
        </w:rPr>
        <w:t xml:space="preserve">Puntos del orden del día del capítulo 1: </w:t>
      </w:r>
      <w:r>
        <w:rPr>
          <w:lang w:val="es-ES"/>
        </w:rPr>
        <w:t>aspectos relativos a los servicios</w:t>
      </w:r>
      <w:r w:rsidRPr="000D2717">
        <w:rPr>
          <w:lang w:val="es-ES"/>
        </w:rPr>
        <w:t xml:space="preserve"> fijo, móvil y de radiodifusión </w:t>
      </w:r>
      <w:r w:rsidRPr="000D2717">
        <w:rPr>
          <w:lang w:val="es-ES"/>
        </w:rPr>
        <w:br/>
        <w:t>(Puntos del orden del día 1.1, 1.2, 1.3, 1.4, 1.5, 9.1</w:t>
      </w:r>
      <w:r>
        <w:rPr>
          <w:lang w:val="es-ES"/>
        </w:rPr>
        <w:t>,</w:t>
      </w:r>
      <w:r w:rsidRPr="000D2717">
        <w:rPr>
          <w:lang w:val="es-ES"/>
        </w:rPr>
        <w:t xml:space="preserve"> Tema C y Artículo 21.5</w:t>
      </w:r>
      <w:r>
        <w:rPr>
          <w:lang w:val="es-ES"/>
        </w:rPr>
        <w:t xml:space="preserve"> del RR</w:t>
      </w:r>
      <w:r w:rsidRPr="000D2717">
        <w:rPr>
          <w:lang w:val="es-ES"/>
        </w:rPr>
        <w: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662"/>
      </w:tblGrid>
      <w:tr w:rsidR="00B20F1E" w:rsidRPr="00B707C8" w14:paraId="6EC6987D" w14:textId="77777777" w:rsidTr="00DB48C6">
        <w:trPr>
          <w:jc w:val="center"/>
        </w:trPr>
        <w:tc>
          <w:tcPr>
            <w:tcW w:w="3114" w:type="dxa"/>
            <w:vAlign w:val="center"/>
          </w:tcPr>
          <w:p w14:paraId="7AC64FAA" w14:textId="77777777" w:rsidR="00B20F1E" w:rsidRPr="000D2717" w:rsidRDefault="00B20F1E" w:rsidP="0056026E">
            <w:pPr>
              <w:pStyle w:val="Tablehead"/>
              <w:rPr>
                <w:rFonts w:eastAsia="Calibri"/>
                <w:lang w:val="es-ES"/>
              </w:rPr>
            </w:pPr>
            <w:r w:rsidRPr="000D2717">
              <w:rPr>
                <w:rFonts w:eastAsia="Calibri"/>
                <w:lang w:val="es-ES"/>
              </w:rPr>
              <w:t>Punto del orden del día (AI)</w:t>
            </w:r>
          </w:p>
        </w:tc>
        <w:tc>
          <w:tcPr>
            <w:tcW w:w="6662" w:type="dxa"/>
            <w:vAlign w:val="center"/>
          </w:tcPr>
          <w:p w14:paraId="24EB37C0" w14:textId="77777777" w:rsidR="00B20F1E" w:rsidRPr="000D2717" w:rsidRDefault="00B20F1E" w:rsidP="0056026E">
            <w:pPr>
              <w:pStyle w:val="Tablehead"/>
              <w:rPr>
                <w:rFonts w:eastAsia="Calibri"/>
                <w:lang w:val="es-ES"/>
              </w:rPr>
            </w:pPr>
            <w:r w:rsidRPr="000D2717">
              <w:rPr>
                <w:rFonts w:eastAsia="Calibri"/>
                <w:lang w:val="es-ES"/>
              </w:rPr>
              <w:t>Posición común/propuesta africana (</w:t>
            </w:r>
            <w:r>
              <w:rPr>
                <w:rFonts w:eastAsia="Calibri"/>
                <w:lang w:val="es-ES"/>
              </w:rPr>
              <w:t>AFCP</w:t>
            </w:r>
            <w:r w:rsidRPr="000D2717">
              <w:rPr>
                <w:rFonts w:eastAsia="Calibri"/>
                <w:lang w:val="es-ES"/>
              </w:rPr>
              <w:t>)</w:t>
            </w:r>
          </w:p>
        </w:tc>
      </w:tr>
      <w:tr w:rsidR="00B20F1E" w:rsidRPr="00B707C8" w14:paraId="729A1731" w14:textId="77777777" w:rsidTr="00DB48C6">
        <w:trPr>
          <w:jc w:val="center"/>
        </w:trPr>
        <w:tc>
          <w:tcPr>
            <w:tcW w:w="3114" w:type="dxa"/>
          </w:tcPr>
          <w:p w14:paraId="53D4E826" w14:textId="77777777" w:rsidR="00B20F1E" w:rsidRPr="0056026E" w:rsidRDefault="00B20F1E" w:rsidP="0056026E">
            <w:pPr>
              <w:pStyle w:val="Tabletext"/>
              <w:rPr>
                <w:rFonts w:eastAsia="Calibri"/>
                <w:b/>
                <w:bCs/>
                <w:i/>
                <w:lang w:val="es-ES"/>
              </w:rPr>
            </w:pPr>
            <w:r w:rsidRPr="0056026E">
              <w:rPr>
                <w:rFonts w:eastAsia="Calibri"/>
                <w:b/>
                <w:bCs/>
                <w:lang w:val="es-ES"/>
              </w:rPr>
              <w:t xml:space="preserve">Punto </w:t>
            </w:r>
            <w:r w:rsidRPr="0056026E">
              <w:rPr>
                <w:rFonts w:eastAsia="Calibri"/>
                <w:b/>
                <w:bCs/>
                <w:i/>
                <w:lang w:val="es-ES"/>
              </w:rPr>
              <w:t>1.1</w:t>
            </w:r>
          </w:p>
          <w:p w14:paraId="4AF6329D" w14:textId="77CFF6B0" w:rsidR="00B20F1E" w:rsidRPr="0056026E" w:rsidRDefault="00B20F1E" w:rsidP="0056026E">
            <w:pPr>
              <w:pStyle w:val="Tabletext"/>
              <w:rPr>
                <w:rFonts w:eastAsia="Calibri"/>
                <w:bCs/>
                <w:lang w:val="es-ES"/>
              </w:rPr>
            </w:pPr>
            <w:r>
              <w:rPr>
                <w:rFonts w:eastAsia="Calibri"/>
                <w:i/>
                <w:color w:val="000000"/>
                <w:lang w:val="es-ES"/>
              </w:rPr>
              <w:t xml:space="preserve">Considerar </w:t>
            </w:r>
            <w:r w:rsidRPr="009E4D48">
              <w:rPr>
                <w:rFonts w:eastAsia="Calibri"/>
                <w:i/>
                <w:color w:val="000000"/>
                <w:lang w:val="es-ES"/>
              </w:rPr>
              <w:t>posibles medidas</w:t>
            </w:r>
            <w:r>
              <w:rPr>
                <w:rFonts w:eastAsia="Calibri"/>
                <w:i/>
                <w:color w:val="000000"/>
                <w:lang w:val="es-ES"/>
              </w:rPr>
              <w:t xml:space="preserve"> de protección, para la banda de frecuencias </w:t>
            </w:r>
            <w:r w:rsidRPr="00E44992">
              <w:rPr>
                <w:rFonts w:eastAsia="Calibri"/>
                <w:i/>
                <w:color w:val="000000"/>
                <w:lang w:val="es-ES"/>
              </w:rPr>
              <w:t>4 800-4 990 MHz,</w:t>
            </w:r>
            <w:r>
              <w:rPr>
                <w:rFonts w:eastAsia="Calibri"/>
                <w:i/>
                <w:color w:val="000000"/>
                <w:lang w:val="es-ES"/>
              </w:rPr>
              <w:t xml:space="preserve"> </w:t>
            </w:r>
            <w:r w:rsidRPr="009E4D48">
              <w:rPr>
                <w:rFonts w:eastAsia="Calibri"/>
                <w:i/>
                <w:color w:val="000000"/>
                <w:lang w:val="es-ES"/>
              </w:rPr>
              <w:t xml:space="preserve">de las estaciones </w:t>
            </w:r>
            <w:r>
              <w:rPr>
                <w:rFonts w:eastAsia="Calibri"/>
                <w:i/>
                <w:color w:val="000000"/>
                <w:lang w:val="es-ES"/>
              </w:rPr>
              <w:t>de los</w:t>
            </w:r>
            <w:r w:rsidRPr="009E4D48">
              <w:rPr>
                <w:rFonts w:eastAsia="Calibri"/>
                <w:i/>
                <w:color w:val="000000"/>
                <w:lang w:val="es-ES"/>
              </w:rPr>
              <w:t xml:space="preserve"> servicio</w:t>
            </w:r>
            <w:r>
              <w:rPr>
                <w:rFonts w:eastAsia="Calibri"/>
                <w:i/>
                <w:color w:val="000000"/>
                <w:lang w:val="es-ES"/>
              </w:rPr>
              <w:t>s</w:t>
            </w:r>
            <w:r w:rsidRPr="009E4D48">
              <w:rPr>
                <w:rFonts w:eastAsia="Calibri"/>
                <w:i/>
                <w:color w:val="000000"/>
                <w:lang w:val="es-ES"/>
              </w:rPr>
              <w:t xml:space="preserve"> móvil</w:t>
            </w:r>
            <w:r>
              <w:rPr>
                <w:rFonts w:eastAsia="Calibri"/>
                <w:i/>
                <w:color w:val="000000"/>
                <w:lang w:val="es-ES"/>
              </w:rPr>
              <w:t>es</w:t>
            </w:r>
            <w:r w:rsidRPr="009E4D48">
              <w:rPr>
                <w:rFonts w:eastAsia="Calibri"/>
                <w:i/>
                <w:color w:val="000000"/>
                <w:lang w:val="es-ES"/>
              </w:rPr>
              <w:t xml:space="preserve"> aeronáutico y marítimo situadas en aguas internacionales y en el espacio aéreo internacional contra otras estaciones situadas en territorios nacionales, y revisar los criterios de densidad de flujo de potencia del número </w:t>
            </w:r>
            <w:r w:rsidRPr="00E44992">
              <w:rPr>
                <w:rFonts w:eastAsia="Calibri"/>
                <w:bCs/>
                <w:i/>
                <w:color w:val="000000"/>
                <w:lang w:val="es-ES"/>
              </w:rPr>
              <w:t>5.441B</w:t>
            </w:r>
            <w:r w:rsidRPr="009E4D48">
              <w:rPr>
                <w:rFonts w:eastAsia="Calibri"/>
                <w:i/>
                <w:color w:val="000000"/>
                <w:lang w:val="es-ES"/>
              </w:rPr>
              <w:t xml:space="preserve">, de conformidad con la Resolución </w:t>
            </w:r>
            <w:r w:rsidRPr="001F09DB">
              <w:rPr>
                <w:rFonts w:eastAsia="Calibri"/>
                <w:bCs/>
                <w:i/>
                <w:color w:val="000000"/>
                <w:lang w:val="es-ES"/>
              </w:rPr>
              <w:t>223 (Rev.CMR-19)</w:t>
            </w:r>
            <w:r>
              <w:rPr>
                <w:rFonts w:eastAsia="Calibri"/>
                <w:bCs/>
                <w:i/>
                <w:color w:val="000000"/>
                <w:lang w:val="es-ES"/>
              </w:rPr>
              <w:t>.</w:t>
            </w:r>
          </w:p>
        </w:tc>
        <w:tc>
          <w:tcPr>
            <w:tcW w:w="6662" w:type="dxa"/>
          </w:tcPr>
          <w:p w14:paraId="62008A6C" w14:textId="77777777" w:rsidR="00B20F1E" w:rsidRPr="000D2717" w:rsidRDefault="00B20F1E" w:rsidP="0056026E">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49CB45D3" w14:textId="77777777" w:rsidR="00B20F1E" w:rsidRPr="000D2717" w:rsidRDefault="00B20F1E" w:rsidP="0056026E">
            <w:pPr>
              <w:pStyle w:val="Tabletext"/>
              <w:rPr>
                <w:rFonts w:eastAsia="Calibri"/>
                <w:i/>
                <w:color w:val="000000"/>
                <w:lang w:val="es-ES"/>
              </w:rPr>
            </w:pPr>
            <w:r w:rsidRPr="0056026E">
              <w:rPr>
                <w:rFonts w:eastAsia="Calibri"/>
                <w:b/>
                <w:bCs/>
                <w:color w:val="000000"/>
                <w:lang w:val="es-ES"/>
              </w:rPr>
              <w:t>Apoyar el Método F</w:t>
            </w:r>
            <w:r w:rsidRPr="000D2717">
              <w:rPr>
                <w:rFonts w:eastAsia="Calibri"/>
                <w:color w:val="000000"/>
                <w:lang w:val="es-ES"/>
              </w:rPr>
              <w:t xml:space="preserve">, que </w:t>
            </w:r>
            <w:r>
              <w:rPr>
                <w:rFonts w:eastAsia="Calibri"/>
                <w:color w:val="000000"/>
                <w:lang w:val="es-ES"/>
              </w:rPr>
              <w:t>conlleva la a</w:t>
            </w:r>
            <w:r w:rsidRPr="00B31DC4">
              <w:rPr>
                <w:rFonts w:eastAsia="Calibri"/>
                <w:color w:val="000000"/>
                <w:lang w:val="es-ES"/>
              </w:rPr>
              <w:t xml:space="preserve">plicación del número </w:t>
            </w:r>
            <w:r w:rsidRPr="0056026E">
              <w:rPr>
                <w:rFonts w:eastAsia="Calibri"/>
                <w:b/>
                <w:bCs/>
                <w:color w:val="000000"/>
                <w:lang w:val="es-ES"/>
              </w:rPr>
              <w:t>9.21</w:t>
            </w:r>
            <w:r w:rsidRPr="00B31DC4">
              <w:rPr>
                <w:rFonts w:eastAsia="Calibri"/>
                <w:color w:val="000000"/>
                <w:lang w:val="es-ES"/>
              </w:rPr>
              <w:t xml:space="preserve"> del RR y de acuerdos de coordinación bilaterales</w:t>
            </w:r>
            <w:r>
              <w:rPr>
                <w:rFonts w:eastAsia="Calibri"/>
                <w:color w:val="000000"/>
                <w:lang w:val="es-ES"/>
              </w:rPr>
              <w:t xml:space="preserve"> o </w:t>
            </w:r>
            <w:r w:rsidRPr="00B31DC4">
              <w:rPr>
                <w:rFonts w:eastAsia="Calibri"/>
                <w:color w:val="000000"/>
                <w:lang w:val="es-ES"/>
              </w:rPr>
              <w:t xml:space="preserve">multilaterales con Estados costeros para la protección de las estaciones del SMA/SMM en el espacio aéreo internacional y </w:t>
            </w:r>
            <w:r>
              <w:rPr>
                <w:rFonts w:eastAsia="Calibri"/>
                <w:color w:val="000000"/>
                <w:lang w:val="es-ES"/>
              </w:rPr>
              <w:t>en</w:t>
            </w:r>
            <w:r w:rsidRPr="00B31DC4">
              <w:rPr>
                <w:rFonts w:eastAsia="Calibri"/>
                <w:color w:val="000000"/>
                <w:lang w:val="es-ES"/>
              </w:rPr>
              <w:t xml:space="preserve"> aguas internacionales</w:t>
            </w:r>
            <w:r w:rsidRPr="000D2717">
              <w:rPr>
                <w:rFonts w:eastAsia="Calibri"/>
                <w:color w:val="000000"/>
                <w:lang w:val="es-ES"/>
              </w:rPr>
              <w:t>.</w:t>
            </w:r>
          </w:p>
          <w:p w14:paraId="16427B68" w14:textId="77777777" w:rsidR="00B20F1E" w:rsidRPr="000D2717" w:rsidRDefault="00B20F1E" w:rsidP="0056026E">
            <w:pPr>
              <w:pStyle w:val="Tabletext"/>
              <w:rPr>
                <w:rFonts w:eastAsia="Calibri"/>
                <w:i/>
                <w:color w:val="000000"/>
                <w:u w:val="single"/>
                <w:lang w:val="es-ES"/>
              </w:rPr>
            </w:pPr>
            <w:r w:rsidRPr="000D2717">
              <w:rPr>
                <w:rFonts w:eastAsia="Calibri"/>
                <w:i/>
                <w:color w:val="000000"/>
                <w:u w:val="single"/>
                <w:lang w:val="es-ES"/>
              </w:rPr>
              <w:t xml:space="preserve">Parte 2: </w:t>
            </w:r>
            <w:r>
              <w:rPr>
                <w:rFonts w:eastAsia="Calibri"/>
                <w:i/>
                <w:color w:val="000000"/>
                <w:u w:val="single"/>
                <w:lang w:val="es-ES"/>
              </w:rPr>
              <w:t>Medidas propuestas</w:t>
            </w:r>
            <w:r w:rsidRPr="000D2717">
              <w:rPr>
                <w:rFonts w:eastAsia="Calibri"/>
                <w:i/>
                <w:color w:val="000000"/>
                <w:u w:val="single"/>
                <w:lang w:val="es-ES"/>
              </w:rPr>
              <w:t xml:space="preserve"> </w:t>
            </w:r>
          </w:p>
          <w:p w14:paraId="0F8510C3" w14:textId="77777777" w:rsidR="00B20F1E" w:rsidRPr="0056026E" w:rsidRDefault="00B20F1E" w:rsidP="0056026E">
            <w:pPr>
              <w:pStyle w:val="Tabletext"/>
              <w:rPr>
                <w:rFonts w:eastAsia="Calibri"/>
                <w:b/>
                <w:bCs/>
                <w:color w:val="000000"/>
                <w:lang w:val="es-ES"/>
              </w:rPr>
            </w:pPr>
            <w:r w:rsidRPr="0056026E">
              <w:rPr>
                <w:rFonts w:eastAsia="Calibri"/>
                <w:b/>
                <w:bCs/>
                <w:i/>
                <w:color w:val="000000"/>
                <w:lang w:val="es-ES"/>
              </w:rPr>
              <w:t>Solicitar a las administraciones de la UAT que:</w:t>
            </w:r>
          </w:p>
          <w:p w14:paraId="7EE0C35B" w14:textId="4EBB1D97" w:rsidR="00B20F1E" w:rsidRPr="000D2717" w:rsidRDefault="0056026E" w:rsidP="0056026E">
            <w:pPr>
              <w:pStyle w:val="Tabletext"/>
              <w:rPr>
                <w:rFonts w:eastAsia="Calibri"/>
                <w:lang w:val="es-ES"/>
              </w:rPr>
            </w:pPr>
            <w:r w:rsidRPr="0056026E">
              <w:rPr>
                <w:rFonts w:eastAsia="Calibri"/>
                <w:lang w:val="es-ES"/>
              </w:rPr>
              <w:t>1</w:t>
            </w:r>
            <w:r>
              <w:rPr>
                <w:rFonts w:eastAsia="Calibri"/>
                <w:b/>
                <w:bCs/>
                <w:lang w:val="es-ES"/>
              </w:rPr>
              <w:tab/>
            </w:r>
            <w:r w:rsidR="00B20F1E" w:rsidRPr="0056026E">
              <w:rPr>
                <w:rFonts w:eastAsia="Calibri"/>
                <w:b/>
                <w:bCs/>
                <w:lang w:val="es-ES"/>
              </w:rPr>
              <w:t>Apoyen</w:t>
            </w:r>
            <w:r w:rsidR="00B20F1E" w:rsidRPr="000D2717">
              <w:rPr>
                <w:rFonts w:eastAsia="Calibri"/>
                <w:lang w:val="es-ES"/>
              </w:rPr>
              <w:t xml:space="preserve"> la</w:t>
            </w:r>
            <w:r w:rsidR="00B20F1E">
              <w:rPr>
                <w:rFonts w:eastAsia="Calibri"/>
                <w:lang w:val="es-ES"/>
              </w:rPr>
              <w:t xml:space="preserve"> </w:t>
            </w:r>
            <w:r w:rsidR="00B20F1E" w:rsidRPr="00DB5622">
              <w:rPr>
                <w:rFonts w:eastAsia="Calibri"/>
                <w:lang w:val="es-ES"/>
              </w:rPr>
              <w:t xml:space="preserve">AFCP </w:t>
            </w:r>
            <w:r w:rsidR="00B20F1E">
              <w:rPr>
                <w:rFonts w:eastAsia="Calibri"/>
                <w:lang w:val="es-ES"/>
              </w:rPr>
              <w:t>en relación con este</w:t>
            </w:r>
            <w:r w:rsidR="00B20F1E" w:rsidRPr="000D2717">
              <w:rPr>
                <w:rFonts w:eastAsia="Calibri"/>
                <w:lang w:val="es-ES"/>
              </w:rPr>
              <w:t xml:space="preserve"> punto del orden del día.</w:t>
            </w:r>
          </w:p>
          <w:p w14:paraId="0FB374F2" w14:textId="24027E4B" w:rsidR="00B20F1E" w:rsidRPr="000D2717" w:rsidRDefault="0056026E" w:rsidP="0056026E">
            <w:pPr>
              <w:pStyle w:val="Tabletext"/>
              <w:ind w:left="284" w:hanging="284"/>
              <w:rPr>
                <w:rFonts w:eastAsia="Calibri"/>
                <w:color w:val="000000"/>
                <w:lang w:val="es-ES"/>
              </w:rPr>
            </w:pPr>
            <w:r w:rsidRPr="0056026E">
              <w:rPr>
                <w:rFonts w:eastAsia="Calibri"/>
                <w:lang w:val="es-ES"/>
              </w:rPr>
              <w:t>2</w:t>
            </w:r>
            <w:r w:rsidRPr="0056026E">
              <w:rPr>
                <w:rFonts w:eastAsia="Calibri"/>
                <w:lang w:val="es-ES"/>
              </w:rPr>
              <w:tab/>
            </w:r>
            <w:r w:rsidR="00B20F1E" w:rsidRPr="0056026E">
              <w:rPr>
                <w:rFonts w:eastAsia="Calibri"/>
                <w:b/>
                <w:bCs/>
                <w:lang w:val="es-ES"/>
              </w:rPr>
              <w:t>Estudien</w:t>
            </w:r>
            <w:r w:rsidR="00B20F1E">
              <w:rPr>
                <w:rFonts w:eastAsia="Calibri"/>
                <w:lang w:val="es-ES"/>
              </w:rPr>
              <w:t xml:space="preserve"> </w:t>
            </w:r>
            <w:r w:rsidR="00B20F1E" w:rsidRPr="000D2717">
              <w:rPr>
                <w:rFonts w:eastAsia="Calibri"/>
                <w:lang w:val="es-ES"/>
              </w:rPr>
              <w:t xml:space="preserve">la posibilidad </w:t>
            </w:r>
            <w:r w:rsidR="00B20F1E" w:rsidRPr="001E6A1C">
              <w:rPr>
                <w:rFonts w:eastAsia="Calibri"/>
                <w:bCs/>
                <w:lang w:val="es-ES"/>
              </w:rPr>
              <w:t>de</w:t>
            </w:r>
            <w:r w:rsidR="00B20F1E" w:rsidRPr="000D2717">
              <w:rPr>
                <w:rFonts w:eastAsia="Calibri"/>
                <w:lang w:val="es-ES"/>
              </w:rPr>
              <w:t xml:space="preserve"> </w:t>
            </w:r>
            <w:r w:rsidR="00B20F1E">
              <w:rPr>
                <w:rFonts w:eastAsia="Calibri"/>
                <w:lang w:val="es-ES"/>
              </w:rPr>
              <w:t>incorporar al número</w:t>
            </w:r>
            <w:r w:rsidR="00B20F1E" w:rsidRPr="000D2717">
              <w:rPr>
                <w:rFonts w:eastAsia="Calibri"/>
                <w:lang w:val="es-ES"/>
              </w:rPr>
              <w:t xml:space="preserve"> 5.441B</w:t>
            </w:r>
            <w:r w:rsidR="00B20F1E">
              <w:rPr>
                <w:rFonts w:eastAsia="Calibri"/>
                <w:lang w:val="es-ES"/>
              </w:rPr>
              <w:t xml:space="preserve"> el</w:t>
            </w:r>
            <w:r w:rsidR="00B20F1E" w:rsidRPr="000D2717">
              <w:rPr>
                <w:rFonts w:eastAsia="Calibri"/>
                <w:lang w:val="es-ES"/>
              </w:rPr>
              <w:t xml:space="preserve"> nombre </w:t>
            </w:r>
            <w:r w:rsidR="00B20F1E">
              <w:rPr>
                <w:rFonts w:eastAsia="Calibri"/>
                <w:lang w:val="es-ES"/>
              </w:rPr>
              <w:t>de</w:t>
            </w:r>
            <w:r w:rsidR="00B20F1E" w:rsidRPr="000D2717">
              <w:rPr>
                <w:rFonts w:eastAsia="Calibri"/>
                <w:lang w:val="es-ES"/>
              </w:rPr>
              <w:t xml:space="preserve"> </w:t>
            </w:r>
            <w:r w:rsidR="00B20F1E">
              <w:rPr>
                <w:rFonts w:eastAsia="Calibri"/>
                <w:lang w:val="es-ES"/>
              </w:rPr>
              <w:t>las</w:t>
            </w:r>
            <w:r w:rsidR="00B20F1E" w:rsidRPr="000D2717">
              <w:rPr>
                <w:rFonts w:eastAsia="Calibri"/>
                <w:lang w:val="es-ES"/>
              </w:rPr>
              <w:t xml:space="preserve"> Administraciones que no figur</w:t>
            </w:r>
            <w:r w:rsidR="00B20F1E">
              <w:rPr>
                <w:rFonts w:eastAsia="Calibri"/>
                <w:lang w:val="es-ES"/>
              </w:rPr>
              <w:t>e</w:t>
            </w:r>
            <w:r w:rsidR="00B20F1E" w:rsidRPr="000D2717">
              <w:rPr>
                <w:rFonts w:eastAsia="Calibri"/>
                <w:lang w:val="es-ES"/>
              </w:rPr>
              <w:t xml:space="preserve">n en </w:t>
            </w:r>
            <w:r w:rsidR="00B20F1E">
              <w:rPr>
                <w:rFonts w:eastAsia="Calibri"/>
                <w:lang w:val="es-ES"/>
              </w:rPr>
              <w:t>el mismo</w:t>
            </w:r>
            <w:r w:rsidR="00B20F1E" w:rsidRPr="000D2717">
              <w:rPr>
                <w:rFonts w:eastAsia="Calibri"/>
                <w:lang w:val="es-ES"/>
              </w:rPr>
              <w:t>, de conformidad con el procedimiento establecido en la Resolución 26 (</w:t>
            </w:r>
            <w:r w:rsidR="00B20F1E" w:rsidRPr="0056026E">
              <w:rPr>
                <w:rFonts w:eastAsia="Calibri"/>
                <w:b/>
                <w:bCs/>
                <w:lang w:val="es-ES"/>
              </w:rPr>
              <w:t>Rev.CMR-19</w:t>
            </w:r>
            <w:r w:rsidR="00B20F1E" w:rsidRPr="000D2717">
              <w:rPr>
                <w:rFonts w:eastAsia="Calibri"/>
                <w:lang w:val="es-ES"/>
              </w:rPr>
              <w:t xml:space="preserve">), a fin de </w:t>
            </w:r>
            <w:r w:rsidR="00B20F1E">
              <w:rPr>
                <w:rFonts w:eastAsia="Calibri"/>
                <w:lang w:val="es-ES"/>
              </w:rPr>
              <w:t>facilitar</w:t>
            </w:r>
            <w:r w:rsidR="00B20F1E" w:rsidRPr="000D2717">
              <w:rPr>
                <w:rFonts w:eastAsia="Calibri"/>
                <w:lang w:val="es-ES"/>
              </w:rPr>
              <w:t xml:space="preserve"> la armonización </w:t>
            </w:r>
            <w:r w:rsidR="00B20F1E">
              <w:rPr>
                <w:rFonts w:eastAsia="Calibri"/>
                <w:lang w:val="es-ES"/>
              </w:rPr>
              <w:t xml:space="preserve">a escalas </w:t>
            </w:r>
            <w:r w:rsidR="00B20F1E" w:rsidRPr="000D2717">
              <w:rPr>
                <w:rFonts w:eastAsia="Calibri"/>
                <w:lang w:val="es-ES"/>
              </w:rPr>
              <w:t>mundial</w:t>
            </w:r>
            <w:r w:rsidR="00B20F1E">
              <w:rPr>
                <w:rFonts w:eastAsia="Calibri"/>
                <w:lang w:val="es-ES"/>
              </w:rPr>
              <w:t xml:space="preserve"> y </w:t>
            </w:r>
            <w:r w:rsidR="00B20F1E" w:rsidRPr="000D2717">
              <w:rPr>
                <w:rFonts w:eastAsia="Calibri"/>
                <w:lang w:val="es-ES"/>
              </w:rPr>
              <w:t xml:space="preserve">regional de la banda de frecuencias 4800-4990 MHz para la </w:t>
            </w:r>
            <w:r w:rsidR="00B20F1E">
              <w:rPr>
                <w:rFonts w:eastAsia="Calibri"/>
                <w:lang w:val="es-ES"/>
              </w:rPr>
              <w:t>implantación</w:t>
            </w:r>
            <w:r w:rsidR="00B20F1E" w:rsidRPr="000D2717">
              <w:rPr>
                <w:rFonts w:eastAsia="Calibri"/>
                <w:lang w:val="es-ES"/>
              </w:rPr>
              <w:t xml:space="preserve"> de las IMT.</w:t>
            </w:r>
          </w:p>
        </w:tc>
      </w:tr>
      <w:tr w:rsidR="00B20F1E" w:rsidRPr="00B707C8" w14:paraId="3A4B13B3" w14:textId="77777777" w:rsidTr="00DB48C6">
        <w:trPr>
          <w:jc w:val="center"/>
        </w:trPr>
        <w:tc>
          <w:tcPr>
            <w:tcW w:w="3114" w:type="dxa"/>
          </w:tcPr>
          <w:p w14:paraId="1C78A43F" w14:textId="77777777" w:rsidR="00B20F1E" w:rsidRPr="0056026E" w:rsidRDefault="00B20F1E" w:rsidP="0056026E">
            <w:pPr>
              <w:pStyle w:val="Tabletext"/>
              <w:rPr>
                <w:rFonts w:eastAsia="Calibri"/>
                <w:b/>
                <w:bCs/>
                <w:i/>
                <w:lang w:val="es-ES"/>
              </w:rPr>
            </w:pPr>
            <w:r w:rsidRPr="0056026E">
              <w:rPr>
                <w:rFonts w:eastAsia="Calibri"/>
                <w:b/>
                <w:bCs/>
                <w:lang w:val="es-ES"/>
              </w:rPr>
              <w:t xml:space="preserve">Punto </w:t>
            </w:r>
            <w:r w:rsidRPr="0056026E">
              <w:rPr>
                <w:rFonts w:eastAsia="Calibri"/>
                <w:b/>
                <w:bCs/>
                <w:i/>
                <w:lang w:val="es-ES"/>
              </w:rPr>
              <w:t>1.2</w:t>
            </w:r>
          </w:p>
          <w:p w14:paraId="5B41B8A9" w14:textId="1B2E3713" w:rsidR="00B20F1E" w:rsidRPr="000D2717" w:rsidRDefault="00B20F1E" w:rsidP="0056026E">
            <w:pPr>
              <w:pStyle w:val="Tabletext"/>
              <w:rPr>
                <w:rFonts w:eastAsia="Calibri"/>
                <w:i/>
                <w:lang w:val="es-ES"/>
              </w:rPr>
            </w:pPr>
            <w:r>
              <w:rPr>
                <w:rFonts w:eastAsia="Calibri"/>
                <w:i/>
                <w:lang w:val="es-ES"/>
              </w:rPr>
              <w:t xml:space="preserve">Considerar la </w:t>
            </w:r>
            <w:r w:rsidRPr="000D2717">
              <w:rPr>
                <w:rFonts w:eastAsia="Calibri"/>
                <w:i/>
                <w:lang w:val="es-ES"/>
              </w:rPr>
              <w:t>identificación de las bandas de frecuencias 3 300-3</w:t>
            </w:r>
            <w:r w:rsidR="00CB3DB9">
              <w:rPr>
                <w:rFonts w:eastAsia="Calibri"/>
                <w:i/>
                <w:lang w:val="es-ES"/>
              </w:rPr>
              <w:t> </w:t>
            </w:r>
            <w:r w:rsidRPr="000D2717">
              <w:rPr>
                <w:rFonts w:eastAsia="Calibri"/>
                <w:i/>
                <w:lang w:val="es-ES"/>
              </w:rPr>
              <w:t>400</w:t>
            </w:r>
            <w:r w:rsidR="00CB3DB9">
              <w:rPr>
                <w:rFonts w:eastAsia="Calibri"/>
                <w:i/>
                <w:lang w:val="es-ES"/>
              </w:rPr>
              <w:t> </w:t>
            </w:r>
            <w:r w:rsidRPr="000D2717">
              <w:rPr>
                <w:rFonts w:eastAsia="Calibri"/>
                <w:i/>
                <w:lang w:val="es-ES"/>
              </w:rPr>
              <w:t>MHz, 3 600</w:t>
            </w:r>
            <w:r w:rsidR="007D7EC9">
              <w:rPr>
                <w:rFonts w:eastAsia="Calibri"/>
                <w:i/>
                <w:lang w:val="es-ES"/>
              </w:rPr>
              <w:t>-</w:t>
            </w:r>
            <w:r w:rsidRPr="000D2717">
              <w:rPr>
                <w:rFonts w:eastAsia="Calibri"/>
                <w:i/>
                <w:lang w:val="es-ES"/>
              </w:rPr>
              <w:t>3 800 MHz, 6</w:t>
            </w:r>
            <w:r w:rsidR="00CB3DB9">
              <w:rPr>
                <w:rFonts w:eastAsia="Calibri"/>
                <w:i/>
                <w:lang w:val="es-ES"/>
              </w:rPr>
              <w:t> </w:t>
            </w:r>
            <w:r w:rsidRPr="000D2717">
              <w:rPr>
                <w:rFonts w:eastAsia="Calibri"/>
                <w:i/>
                <w:lang w:val="es-ES"/>
              </w:rPr>
              <w:t>425-7 025 MHz, 7 025-7</w:t>
            </w:r>
            <w:r w:rsidR="00CB3DB9">
              <w:rPr>
                <w:rFonts w:eastAsia="Calibri"/>
                <w:i/>
                <w:lang w:val="es-ES"/>
              </w:rPr>
              <w:t> </w:t>
            </w:r>
            <w:r w:rsidRPr="000D2717">
              <w:rPr>
                <w:rFonts w:eastAsia="Calibri"/>
                <w:i/>
                <w:lang w:val="es-ES"/>
              </w:rPr>
              <w:t>125</w:t>
            </w:r>
            <w:r w:rsidR="00CB3DB9">
              <w:rPr>
                <w:rFonts w:eastAsia="Calibri"/>
                <w:i/>
                <w:lang w:val="es-ES"/>
              </w:rPr>
              <w:t> </w:t>
            </w:r>
            <w:r w:rsidRPr="000D2717">
              <w:rPr>
                <w:rFonts w:eastAsia="Calibri"/>
                <w:i/>
                <w:lang w:val="es-ES"/>
              </w:rPr>
              <w:t>MHz y 10,0-10,5 GHz para</w:t>
            </w:r>
            <w:r>
              <w:rPr>
                <w:rFonts w:eastAsia="Calibri"/>
                <w:i/>
                <w:lang w:val="es-ES"/>
              </w:rPr>
              <w:t xml:space="preserve"> las</w:t>
            </w:r>
            <w:r w:rsidRPr="000D2717">
              <w:rPr>
                <w:rFonts w:eastAsia="Calibri"/>
                <w:i/>
                <w:lang w:val="es-ES"/>
              </w:rPr>
              <w:t xml:space="preserve"> </w:t>
            </w:r>
            <w:r>
              <w:rPr>
                <w:rFonts w:eastAsia="Calibri"/>
                <w:i/>
                <w:lang w:val="es-ES"/>
              </w:rPr>
              <w:t>T</w:t>
            </w:r>
            <w:r w:rsidRPr="000D2717">
              <w:rPr>
                <w:rFonts w:eastAsia="Calibri"/>
                <w:i/>
                <w:lang w:val="es-ES"/>
              </w:rPr>
              <w:t xml:space="preserve">elecomunicaciones </w:t>
            </w:r>
            <w:r>
              <w:rPr>
                <w:rFonts w:eastAsia="Calibri"/>
                <w:i/>
                <w:lang w:val="es-ES"/>
              </w:rPr>
              <w:t>M</w:t>
            </w:r>
            <w:r w:rsidRPr="000D2717">
              <w:rPr>
                <w:rFonts w:eastAsia="Calibri"/>
                <w:i/>
                <w:lang w:val="es-ES"/>
              </w:rPr>
              <w:t xml:space="preserve">óviles </w:t>
            </w:r>
            <w:r>
              <w:rPr>
                <w:rFonts w:eastAsia="Calibri"/>
                <w:i/>
                <w:lang w:val="es-ES"/>
              </w:rPr>
              <w:t>I</w:t>
            </w:r>
            <w:r w:rsidRPr="000D2717">
              <w:rPr>
                <w:rFonts w:eastAsia="Calibri"/>
                <w:i/>
                <w:lang w:val="es-ES"/>
              </w:rPr>
              <w:t>nternacionales</w:t>
            </w:r>
            <w:r>
              <w:rPr>
                <w:rFonts w:eastAsia="Calibri"/>
                <w:i/>
                <w:lang w:val="es-ES"/>
              </w:rPr>
              <w:t xml:space="preserve"> </w:t>
            </w:r>
            <w:r w:rsidRPr="000D2717">
              <w:rPr>
                <w:rFonts w:eastAsia="Calibri"/>
                <w:i/>
                <w:lang w:val="es-ES"/>
              </w:rPr>
              <w:t xml:space="preserve">(IMT), incluidas posibles atribuciones adicionales al servicio móvil a título primario, de conformidad con la Resolución </w:t>
            </w:r>
            <w:r w:rsidRPr="00CB3DB9">
              <w:rPr>
                <w:rFonts w:eastAsia="Calibri"/>
                <w:b/>
                <w:bCs/>
                <w:i/>
                <w:lang w:val="es-ES"/>
              </w:rPr>
              <w:t>245 (CMR19)</w:t>
            </w:r>
            <w:r w:rsidRPr="000D2717">
              <w:rPr>
                <w:rFonts w:eastAsia="Calibri"/>
                <w:i/>
                <w:lang w:val="es-ES"/>
              </w:rPr>
              <w:t>;</w:t>
            </w:r>
          </w:p>
        </w:tc>
        <w:tc>
          <w:tcPr>
            <w:tcW w:w="6662" w:type="dxa"/>
          </w:tcPr>
          <w:p w14:paraId="035618F2" w14:textId="77777777" w:rsidR="00B20F1E" w:rsidRPr="000D2717" w:rsidRDefault="00B20F1E" w:rsidP="0056026E">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19079E75" w14:textId="3DFD1F72" w:rsidR="00B20F1E" w:rsidRPr="0056026E" w:rsidRDefault="00CB3DB9" w:rsidP="0056026E">
            <w:pPr>
              <w:pStyle w:val="Tabletext"/>
              <w:rPr>
                <w:rFonts w:eastAsia="Calibri"/>
                <w:b/>
                <w:bCs/>
                <w:color w:val="000000"/>
                <w:lang w:val="es-ES"/>
              </w:rPr>
            </w:pPr>
            <w:r>
              <w:rPr>
                <w:rFonts w:eastAsia="Calibri"/>
                <w:b/>
                <w:bCs/>
                <w:color w:val="000000"/>
                <w:lang w:val="es-ES"/>
              </w:rPr>
              <w:t>1</w:t>
            </w:r>
            <w:r>
              <w:rPr>
                <w:rFonts w:eastAsia="Calibri"/>
                <w:b/>
                <w:bCs/>
                <w:color w:val="000000"/>
                <w:lang w:val="es-ES"/>
              </w:rPr>
              <w:tab/>
            </w:r>
            <w:r w:rsidR="00B20F1E" w:rsidRPr="0056026E">
              <w:rPr>
                <w:rFonts w:eastAsia="Calibri"/>
                <w:b/>
                <w:bCs/>
                <w:color w:val="000000"/>
                <w:lang w:val="es-ES"/>
              </w:rPr>
              <w:t>Banda de frecuencias 1 (3 300</w:t>
            </w:r>
            <w:r w:rsidR="007D7EC9">
              <w:rPr>
                <w:rFonts w:eastAsia="Calibri"/>
                <w:b/>
                <w:bCs/>
                <w:color w:val="000000"/>
                <w:lang w:val="es-ES"/>
              </w:rPr>
              <w:t>-</w:t>
            </w:r>
            <w:r w:rsidR="00B20F1E" w:rsidRPr="0056026E">
              <w:rPr>
                <w:rFonts w:eastAsia="Calibri"/>
                <w:b/>
                <w:bCs/>
                <w:color w:val="000000"/>
                <w:lang w:val="es-ES"/>
              </w:rPr>
              <w:t>3 400 MHz):</w:t>
            </w:r>
          </w:p>
          <w:p w14:paraId="5456BE3A" w14:textId="07B1AFE1" w:rsidR="00B20F1E" w:rsidRPr="0056026E" w:rsidRDefault="00CB3DB9" w:rsidP="00CB3DB9">
            <w:pPr>
              <w:pStyle w:val="Tabletext"/>
              <w:ind w:left="567" w:hanging="567"/>
              <w:rPr>
                <w:rFonts w:eastAsia="Calibri"/>
                <w:b/>
                <w:bCs/>
                <w:color w:val="000000"/>
                <w:lang w:val="es-ES"/>
              </w:rPr>
            </w:pPr>
            <w:r>
              <w:rPr>
                <w:rFonts w:eastAsia="Calibri"/>
                <w:color w:val="000000"/>
                <w:lang w:val="es-ES"/>
              </w:rPr>
              <w:tab/>
              <w:t>a)</w:t>
            </w:r>
            <w:r w:rsidR="0056026E" w:rsidRPr="0056026E">
              <w:rPr>
                <w:rFonts w:eastAsia="Calibri"/>
                <w:color w:val="000000"/>
                <w:lang w:val="es-ES"/>
              </w:rPr>
              <w:tab/>
            </w:r>
            <w:r w:rsidR="00B20F1E" w:rsidRPr="0056026E">
              <w:rPr>
                <w:rFonts w:eastAsia="Calibri"/>
                <w:b/>
                <w:bCs/>
                <w:color w:val="000000"/>
                <w:lang w:val="es-ES"/>
              </w:rPr>
              <w:t>Apoyar el método 1F</w:t>
            </w:r>
          </w:p>
          <w:p w14:paraId="1ECC9B1A" w14:textId="62F4B7BE" w:rsidR="00B20F1E" w:rsidRPr="000D2717" w:rsidRDefault="00CB3DB9" w:rsidP="00CB3DB9">
            <w:pPr>
              <w:pStyle w:val="Tabletext"/>
              <w:ind w:left="567" w:hanging="567"/>
              <w:rPr>
                <w:rFonts w:eastAsia="Calibri"/>
                <w:color w:val="000000"/>
                <w:lang w:val="es-ES"/>
              </w:rPr>
            </w:pPr>
            <w:r>
              <w:rPr>
                <w:rFonts w:eastAsia="Calibri"/>
                <w:color w:val="000000"/>
                <w:lang w:val="es-ES"/>
              </w:rPr>
              <w:tab/>
              <w:t>b)</w:t>
            </w:r>
            <w:r>
              <w:rPr>
                <w:rFonts w:eastAsia="Calibri"/>
                <w:color w:val="000000"/>
                <w:lang w:val="es-ES"/>
              </w:rPr>
              <w:tab/>
            </w:r>
            <w:r w:rsidR="00B20F1E" w:rsidRPr="0056026E">
              <w:rPr>
                <w:rFonts w:eastAsia="Calibri"/>
                <w:b/>
                <w:bCs/>
                <w:color w:val="000000"/>
                <w:lang w:val="es-ES"/>
              </w:rPr>
              <w:t>No apoyar los métodos 1A y 1B</w:t>
            </w:r>
            <w:r w:rsidR="00B20F1E" w:rsidRPr="000D2717">
              <w:rPr>
                <w:rFonts w:eastAsia="Calibri"/>
                <w:color w:val="000000"/>
                <w:lang w:val="es-ES"/>
              </w:rPr>
              <w:t xml:space="preserve">, que </w:t>
            </w:r>
            <w:r w:rsidR="00B20F1E">
              <w:rPr>
                <w:rFonts w:eastAsia="Calibri"/>
                <w:color w:val="000000"/>
                <w:lang w:val="es-ES"/>
              </w:rPr>
              <w:t xml:space="preserve">darán lugar al </w:t>
            </w:r>
            <w:r w:rsidR="00B20F1E" w:rsidRPr="000D2717">
              <w:rPr>
                <w:rFonts w:eastAsia="Calibri"/>
                <w:color w:val="000000"/>
                <w:lang w:val="es-ES"/>
              </w:rPr>
              <w:t>mantenimiento de la situación reglamentaria actual.</w:t>
            </w:r>
          </w:p>
          <w:p w14:paraId="4BAD99F2" w14:textId="41AF41C4" w:rsidR="00B20F1E" w:rsidRPr="00CB3DB9" w:rsidRDefault="00CB3DB9" w:rsidP="0056026E">
            <w:pPr>
              <w:pStyle w:val="Tabletext"/>
              <w:rPr>
                <w:rFonts w:eastAsia="Calibri"/>
                <w:b/>
                <w:bCs/>
                <w:color w:val="000000"/>
                <w:lang w:val="es-ES"/>
              </w:rPr>
            </w:pPr>
            <w:r w:rsidRPr="00CB3DB9">
              <w:rPr>
                <w:rFonts w:eastAsia="Calibri"/>
                <w:b/>
                <w:bCs/>
                <w:color w:val="000000"/>
                <w:lang w:val="es-ES"/>
              </w:rPr>
              <w:t>2</w:t>
            </w:r>
            <w:r w:rsidRPr="00CB3DB9">
              <w:rPr>
                <w:rFonts w:eastAsia="Calibri"/>
                <w:b/>
                <w:bCs/>
                <w:color w:val="000000"/>
                <w:lang w:val="es-ES"/>
              </w:rPr>
              <w:tab/>
            </w:r>
            <w:r w:rsidR="00B20F1E" w:rsidRPr="00CB3DB9">
              <w:rPr>
                <w:rFonts w:eastAsia="Calibri"/>
                <w:b/>
                <w:bCs/>
                <w:color w:val="000000"/>
                <w:lang w:val="es-ES"/>
              </w:rPr>
              <w:t>Bandas de frecuencias 4 (6 425</w:t>
            </w:r>
            <w:r w:rsidR="0043059C">
              <w:rPr>
                <w:rFonts w:eastAsia="Calibri"/>
                <w:b/>
                <w:bCs/>
                <w:color w:val="000000"/>
                <w:lang w:val="es-ES"/>
              </w:rPr>
              <w:t>-</w:t>
            </w:r>
            <w:r w:rsidR="00B20F1E" w:rsidRPr="00CB3DB9">
              <w:rPr>
                <w:rFonts w:eastAsia="Calibri"/>
                <w:b/>
                <w:bCs/>
                <w:color w:val="000000"/>
                <w:lang w:val="es-ES"/>
              </w:rPr>
              <w:t>7 025 MHz) y 5 (7 025</w:t>
            </w:r>
            <w:r w:rsidR="0043059C">
              <w:rPr>
                <w:rFonts w:eastAsia="Calibri"/>
                <w:b/>
                <w:bCs/>
                <w:color w:val="000000"/>
                <w:lang w:val="es-ES"/>
              </w:rPr>
              <w:t>-</w:t>
            </w:r>
            <w:r w:rsidR="00B20F1E" w:rsidRPr="00CB3DB9">
              <w:rPr>
                <w:rFonts w:eastAsia="Calibri"/>
                <w:b/>
                <w:bCs/>
                <w:color w:val="000000"/>
                <w:lang w:val="es-ES"/>
              </w:rPr>
              <w:t xml:space="preserve">7 125 MHz): </w:t>
            </w:r>
          </w:p>
          <w:p w14:paraId="5DF7B3BA" w14:textId="3E61BB96" w:rsidR="00B20F1E" w:rsidRPr="000D2717" w:rsidRDefault="00CB3DB9" w:rsidP="00CB3DB9">
            <w:pPr>
              <w:pStyle w:val="Tabletext"/>
              <w:ind w:left="284" w:hanging="284"/>
              <w:rPr>
                <w:rFonts w:eastAsia="Calibri"/>
                <w:color w:val="000000"/>
                <w:lang w:val="es-ES"/>
              </w:rPr>
            </w:pPr>
            <w:r>
              <w:rPr>
                <w:rFonts w:eastAsia="Calibri"/>
                <w:color w:val="000000"/>
                <w:lang w:val="es-ES"/>
              </w:rPr>
              <w:tab/>
            </w:r>
            <w:r w:rsidR="00B20F1E" w:rsidRPr="0043059C">
              <w:rPr>
                <w:rFonts w:eastAsia="Calibri"/>
                <w:b/>
                <w:bCs/>
                <w:color w:val="000000"/>
                <w:lang w:val="es-ES"/>
              </w:rPr>
              <w:t>Apoyar los métodos 4C y 5C (alternativa 2)</w:t>
            </w:r>
            <w:r w:rsidR="00B20F1E" w:rsidRPr="000D2717">
              <w:rPr>
                <w:rFonts w:eastAsia="Calibri"/>
                <w:color w:val="000000"/>
                <w:lang w:val="es-ES"/>
              </w:rPr>
              <w:t xml:space="preserve">, </w:t>
            </w:r>
            <w:r w:rsidR="00B20F1E">
              <w:rPr>
                <w:rFonts w:eastAsia="Calibri"/>
                <w:color w:val="000000"/>
                <w:lang w:val="es-ES"/>
              </w:rPr>
              <w:t>a fin de</w:t>
            </w:r>
            <w:r w:rsidR="00B20F1E" w:rsidRPr="000D2717">
              <w:rPr>
                <w:rFonts w:eastAsia="Calibri"/>
                <w:color w:val="000000"/>
                <w:lang w:val="es-ES"/>
              </w:rPr>
              <w:t xml:space="preserve"> identificar la banda de frecuencias 6 425</w:t>
            </w:r>
            <w:r w:rsidR="0043059C">
              <w:rPr>
                <w:rFonts w:eastAsia="Calibri"/>
                <w:color w:val="000000"/>
                <w:lang w:val="es-ES"/>
              </w:rPr>
              <w:t>-</w:t>
            </w:r>
            <w:r w:rsidR="00B20F1E" w:rsidRPr="000D2717">
              <w:rPr>
                <w:rFonts w:eastAsia="Calibri"/>
                <w:color w:val="000000"/>
                <w:lang w:val="es-ES"/>
              </w:rPr>
              <w:t xml:space="preserve">7 125 MHz </w:t>
            </w:r>
            <w:r w:rsidR="00B20F1E">
              <w:rPr>
                <w:rFonts w:eastAsia="Calibri"/>
                <w:color w:val="000000"/>
                <w:lang w:val="es-ES"/>
              </w:rPr>
              <w:t>par</w:t>
            </w:r>
            <w:r w:rsidR="00B20F1E" w:rsidRPr="000D2717">
              <w:rPr>
                <w:rFonts w:eastAsia="Calibri"/>
                <w:color w:val="000000"/>
                <w:lang w:val="es-ES"/>
              </w:rPr>
              <w:t xml:space="preserve">a las IMT con </w:t>
            </w:r>
            <w:r w:rsidR="00B20F1E">
              <w:rPr>
                <w:rFonts w:eastAsia="Calibri"/>
                <w:color w:val="000000"/>
                <w:lang w:val="es-ES"/>
              </w:rPr>
              <w:t>arreglo a las siguientes</w:t>
            </w:r>
            <w:r w:rsidR="00B20F1E" w:rsidRPr="000D2717">
              <w:rPr>
                <w:rFonts w:eastAsia="Calibri"/>
                <w:color w:val="000000"/>
                <w:lang w:val="es-ES"/>
              </w:rPr>
              <w:t xml:space="preserve"> condiciones para proteger los servicios existentes:</w:t>
            </w:r>
          </w:p>
          <w:p w14:paraId="02B6C61C" w14:textId="185BB6BB" w:rsidR="00B20F1E" w:rsidRPr="000657CF" w:rsidRDefault="00CB3DB9" w:rsidP="00CB3DB9">
            <w:pPr>
              <w:pStyle w:val="Tabletext"/>
              <w:ind w:left="567" w:hanging="567"/>
              <w:rPr>
                <w:rFonts w:eastAsia="Calibri"/>
                <w:color w:val="000000"/>
                <w:lang w:val="es-ES"/>
              </w:rPr>
            </w:pPr>
            <w:r>
              <w:rPr>
                <w:rFonts w:eastAsia="Calibri"/>
                <w:color w:val="000000"/>
                <w:lang w:val="es-ES"/>
              </w:rPr>
              <w:tab/>
              <w:t>a)</w:t>
            </w:r>
            <w:r>
              <w:rPr>
                <w:rFonts w:eastAsia="Calibri"/>
                <w:color w:val="000000"/>
                <w:lang w:val="es-ES"/>
              </w:rPr>
              <w:tab/>
            </w:r>
            <w:r w:rsidR="00B20F1E" w:rsidRPr="000657CF">
              <w:rPr>
                <w:rFonts w:eastAsia="Calibri"/>
                <w:color w:val="000000"/>
                <w:lang w:val="es-ES"/>
              </w:rPr>
              <w:t>Para la protección del SFS (tierra-espacio) en la banda de frecuencias 6</w:t>
            </w:r>
            <w:r>
              <w:rPr>
                <w:rFonts w:eastAsia="Calibri"/>
                <w:color w:val="000000"/>
                <w:lang w:val="es-ES"/>
              </w:rPr>
              <w:t> </w:t>
            </w:r>
            <w:r w:rsidR="00B20F1E" w:rsidRPr="000657CF">
              <w:rPr>
                <w:rFonts w:eastAsia="Calibri"/>
                <w:color w:val="000000"/>
                <w:lang w:val="es-ES"/>
              </w:rPr>
              <w:t>425-7 075 MHz – Máscara</w:t>
            </w:r>
            <w:r w:rsidR="00B20F1E" w:rsidRPr="000657CF">
              <w:rPr>
                <w:lang w:val="es-ES"/>
              </w:rPr>
              <w:t xml:space="preserve"> para el </w:t>
            </w:r>
            <w:r w:rsidR="00B20F1E" w:rsidRPr="000657CF">
              <w:rPr>
                <w:rFonts w:eastAsia="Calibri"/>
                <w:color w:val="000000"/>
                <w:lang w:val="es-ES"/>
              </w:rPr>
              <w:t>nivel esperado de potencia isotrópica radiada equivalente (</w:t>
            </w:r>
            <w:proofErr w:type="spellStart"/>
            <w:r w:rsidR="00B20F1E" w:rsidRPr="000657CF">
              <w:rPr>
                <w:rFonts w:eastAsia="Calibri"/>
                <w:color w:val="000000"/>
                <w:lang w:val="es-ES"/>
              </w:rPr>
              <w:t>p.i.r.e</w:t>
            </w:r>
            <w:proofErr w:type="spellEnd"/>
            <w:r w:rsidR="00B20F1E" w:rsidRPr="000657CF">
              <w:rPr>
                <w:rFonts w:eastAsia="Calibri"/>
                <w:color w:val="000000"/>
                <w:lang w:val="es-ES"/>
              </w:rPr>
              <w:t>.) emitido por una estación base IMT</w:t>
            </w:r>
            <w:r w:rsidR="00B20F1E">
              <w:rPr>
                <w:rFonts w:eastAsia="Calibri"/>
                <w:color w:val="000000"/>
                <w:lang w:val="es-ES"/>
              </w:rPr>
              <w:t>: e</w:t>
            </w:r>
            <w:r w:rsidR="00B20F1E" w:rsidRPr="000657CF">
              <w:rPr>
                <w:rFonts w:eastAsia="Calibri"/>
                <w:color w:val="000000"/>
                <w:lang w:val="es-ES"/>
              </w:rPr>
              <w:t xml:space="preserve">jemplo 3 del proyecto de resolución </w:t>
            </w:r>
            <w:r w:rsidR="00B20F1E">
              <w:rPr>
                <w:rFonts w:eastAsia="Calibri"/>
                <w:color w:val="000000"/>
                <w:lang w:val="es-ES"/>
              </w:rPr>
              <w:t>relativo al</w:t>
            </w:r>
            <w:r w:rsidR="00B20F1E" w:rsidRPr="000657CF">
              <w:rPr>
                <w:rFonts w:eastAsia="Calibri"/>
                <w:color w:val="000000"/>
                <w:lang w:val="es-ES"/>
              </w:rPr>
              <w:t xml:space="preserve"> método 4C/5C; </w:t>
            </w:r>
          </w:p>
          <w:p w14:paraId="38DAC3FD" w14:textId="7E78A9F8" w:rsidR="00B20F1E" w:rsidRPr="000D2717" w:rsidRDefault="00CB3DB9" w:rsidP="00CB3DB9">
            <w:pPr>
              <w:pStyle w:val="Tabletext"/>
              <w:ind w:left="567" w:hanging="567"/>
              <w:rPr>
                <w:rFonts w:eastAsia="Calibri"/>
                <w:i/>
                <w:color w:val="000000"/>
                <w:lang w:val="es-ES"/>
              </w:rPr>
            </w:pPr>
            <w:r>
              <w:rPr>
                <w:rFonts w:eastAsia="Calibri"/>
                <w:color w:val="000000"/>
                <w:lang w:val="es-ES"/>
              </w:rPr>
              <w:tab/>
              <w:t>b)</w:t>
            </w:r>
            <w:r>
              <w:rPr>
                <w:rFonts w:eastAsia="Calibri"/>
                <w:color w:val="000000"/>
                <w:lang w:val="es-ES"/>
              </w:rPr>
              <w:tab/>
            </w:r>
            <w:r w:rsidR="00B20F1E" w:rsidRPr="000D2717">
              <w:rPr>
                <w:rFonts w:eastAsia="Calibri"/>
                <w:color w:val="000000"/>
                <w:lang w:val="es-ES"/>
              </w:rPr>
              <w:t xml:space="preserve">Para la protección </w:t>
            </w:r>
            <w:r w:rsidR="00B20F1E">
              <w:rPr>
                <w:rFonts w:eastAsia="Calibri"/>
                <w:color w:val="000000"/>
                <w:lang w:val="es-ES"/>
              </w:rPr>
              <w:t>del</w:t>
            </w:r>
            <w:r w:rsidR="00B20F1E" w:rsidRPr="000D2717">
              <w:rPr>
                <w:rFonts w:eastAsia="Calibri"/>
                <w:color w:val="000000"/>
                <w:lang w:val="es-ES"/>
              </w:rPr>
              <w:t xml:space="preserve"> SFS (espacio-Tierra) en la banda de frecuencias 6</w:t>
            </w:r>
            <w:r>
              <w:rPr>
                <w:rFonts w:eastAsia="Calibri"/>
                <w:color w:val="000000"/>
                <w:lang w:val="es-ES"/>
              </w:rPr>
              <w:t> </w:t>
            </w:r>
            <w:r w:rsidR="00B20F1E" w:rsidRPr="000D2717">
              <w:rPr>
                <w:rFonts w:eastAsia="Calibri"/>
                <w:color w:val="000000"/>
                <w:lang w:val="es-ES"/>
              </w:rPr>
              <w:t>700-7 075 MHz: adopción de una coordinación específica para cada emplazamiento.</w:t>
            </w:r>
          </w:p>
          <w:p w14:paraId="2743EC11" w14:textId="5445E061" w:rsidR="00B20F1E" w:rsidRPr="00CB3DB9" w:rsidRDefault="00CB3DB9" w:rsidP="00CB3DB9">
            <w:pPr>
              <w:pStyle w:val="Tabletext"/>
              <w:ind w:left="284" w:hanging="284"/>
              <w:rPr>
                <w:rFonts w:eastAsia="Calibri"/>
                <w:b/>
                <w:bCs/>
                <w:color w:val="000000"/>
                <w:lang w:val="es-ES"/>
              </w:rPr>
            </w:pPr>
            <w:r w:rsidRPr="00CB3DB9">
              <w:rPr>
                <w:rFonts w:eastAsia="Calibri"/>
                <w:b/>
                <w:bCs/>
                <w:color w:val="000000"/>
                <w:lang w:val="es-ES"/>
              </w:rPr>
              <w:t>3</w:t>
            </w:r>
            <w:r w:rsidRPr="00CB3DB9">
              <w:rPr>
                <w:rFonts w:eastAsia="Calibri"/>
                <w:b/>
                <w:bCs/>
                <w:color w:val="000000"/>
                <w:lang w:val="es-ES"/>
              </w:rPr>
              <w:tab/>
            </w:r>
            <w:r w:rsidR="00B20F1E" w:rsidRPr="00CB3DB9">
              <w:rPr>
                <w:rFonts w:eastAsia="Calibri"/>
                <w:b/>
                <w:bCs/>
                <w:color w:val="000000"/>
                <w:lang w:val="es-ES"/>
              </w:rPr>
              <w:t xml:space="preserve">Bandas de frecuencias 2 (3 300-3 400 MHz), 3 (3 600-3 800 MHz) y 6 (10-10,5 GHz (Región 2)): </w:t>
            </w:r>
          </w:p>
          <w:p w14:paraId="73C40BC2" w14:textId="665D4111" w:rsidR="00B20F1E" w:rsidRPr="000D2717" w:rsidRDefault="00CB3DB9" w:rsidP="00CB3DB9">
            <w:pPr>
              <w:pStyle w:val="Tabletext"/>
              <w:ind w:left="567" w:hanging="567"/>
              <w:rPr>
                <w:rFonts w:eastAsia="Calibri"/>
                <w:color w:val="000000"/>
                <w:lang w:val="es-ES"/>
              </w:rPr>
            </w:pPr>
            <w:r>
              <w:rPr>
                <w:rFonts w:eastAsia="Calibri"/>
                <w:color w:val="000000"/>
                <w:lang w:val="es-ES"/>
              </w:rPr>
              <w:tab/>
              <w:t>a)</w:t>
            </w:r>
            <w:r>
              <w:rPr>
                <w:rFonts w:eastAsia="Calibri"/>
                <w:color w:val="000000"/>
                <w:lang w:val="es-ES"/>
              </w:rPr>
              <w:tab/>
            </w:r>
            <w:r w:rsidR="00B20F1E" w:rsidRPr="000D2717">
              <w:rPr>
                <w:rFonts w:eastAsia="Calibri"/>
                <w:color w:val="000000"/>
                <w:lang w:val="es-ES"/>
              </w:rPr>
              <w:t>Para la</w:t>
            </w:r>
            <w:r w:rsidR="00B20F1E">
              <w:rPr>
                <w:rFonts w:eastAsia="Calibri"/>
                <w:color w:val="000000"/>
                <w:lang w:val="es-ES"/>
              </w:rPr>
              <w:t>s</w:t>
            </w:r>
            <w:r w:rsidR="00B20F1E" w:rsidRPr="000D2717">
              <w:rPr>
                <w:rFonts w:eastAsia="Calibri"/>
                <w:color w:val="000000"/>
                <w:lang w:val="es-ES"/>
              </w:rPr>
              <w:t xml:space="preserve"> banda</w:t>
            </w:r>
            <w:r w:rsidR="00B20F1E">
              <w:rPr>
                <w:rFonts w:eastAsia="Calibri"/>
                <w:color w:val="000000"/>
                <w:lang w:val="es-ES"/>
              </w:rPr>
              <w:t>s</w:t>
            </w:r>
            <w:r w:rsidR="00B20F1E" w:rsidRPr="000D2717">
              <w:rPr>
                <w:rFonts w:eastAsia="Calibri"/>
                <w:color w:val="000000"/>
                <w:lang w:val="es-ES"/>
              </w:rPr>
              <w:t xml:space="preserve"> de frecuencias 2 y 3, </w:t>
            </w:r>
            <w:r w:rsidR="00B20F1E" w:rsidRPr="0043059C">
              <w:rPr>
                <w:rFonts w:eastAsia="Calibri"/>
                <w:b/>
                <w:bCs/>
                <w:color w:val="000000"/>
                <w:lang w:val="es-ES"/>
              </w:rPr>
              <w:t>apoyar la atribución al servicio móvil y la posible identificación para las IMT</w:t>
            </w:r>
            <w:r w:rsidR="00B20F1E" w:rsidRPr="000D2717">
              <w:rPr>
                <w:rFonts w:eastAsia="Calibri"/>
                <w:color w:val="000000"/>
                <w:lang w:val="es-ES"/>
              </w:rPr>
              <w:t xml:space="preserve"> en esas bandas de frecuencias </w:t>
            </w:r>
            <w:r w:rsidR="00B20F1E">
              <w:rPr>
                <w:rFonts w:eastAsia="Calibri"/>
                <w:color w:val="000000"/>
                <w:lang w:val="es-ES"/>
              </w:rPr>
              <w:t>objeto de</w:t>
            </w:r>
            <w:r w:rsidR="00B20F1E" w:rsidRPr="000D2717">
              <w:rPr>
                <w:rFonts w:eastAsia="Calibri"/>
                <w:color w:val="000000"/>
                <w:lang w:val="es-ES"/>
              </w:rPr>
              <w:t xml:space="preserve"> estudio en la Región 2, </w:t>
            </w:r>
            <w:r w:rsidR="00B20F1E">
              <w:rPr>
                <w:rFonts w:eastAsia="Calibri"/>
                <w:color w:val="000000"/>
                <w:lang w:val="es-ES"/>
              </w:rPr>
              <w:t>habida cuenta de</w:t>
            </w:r>
            <w:r w:rsidR="00B20F1E" w:rsidRPr="000D2717">
              <w:rPr>
                <w:rFonts w:eastAsia="Calibri"/>
                <w:color w:val="000000"/>
                <w:lang w:val="es-ES"/>
              </w:rPr>
              <w:t xml:space="preserve"> que ello </w:t>
            </w:r>
            <w:r w:rsidR="00B20F1E">
              <w:rPr>
                <w:rFonts w:eastAsia="Calibri"/>
                <w:color w:val="000000"/>
                <w:lang w:val="es-ES"/>
              </w:rPr>
              <w:t>facilitaría</w:t>
            </w:r>
            <w:r w:rsidR="00B20F1E" w:rsidRPr="000D2717">
              <w:rPr>
                <w:rFonts w:eastAsia="Calibri"/>
                <w:color w:val="000000"/>
                <w:lang w:val="es-ES"/>
              </w:rPr>
              <w:t xml:space="preserve"> la armonización mundial para la implantación de las IMT;</w:t>
            </w:r>
          </w:p>
          <w:p w14:paraId="43040B89" w14:textId="01B51775" w:rsidR="00B20F1E" w:rsidRPr="000D2717" w:rsidRDefault="00CB3DB9" w:rsidP="00CB3DB9">
            <w:pPr>
              <w:pStyle w:val="Tabletext"/>
              <w:ind w:left="567" w:hanging="567"/>
              <w:rPr>
                <w:rFonts w:eastAsia="Calibri"/>
                <w:color w:val="000000"/>
                <w:lang w:val="es-ES"/>
              </w:rPr>
            </w:pPr>
            <w:r>
              <w:rPr>
                <w:rFonts w:eastAsia="Calibri"/>
                <w:color w:val="000000"/>
                <w:lang w:val="es-ES"/>
              </w:rPr>
              <w:tab/>
              <w:t>b)</w:t>
            </w:r>
            <w:r>
              <w:rPr>
                <w:rFonts w:eastAsia="Calibri"/>
                <w:color w:val="000000"/>
                <w:lang w:val="es-ES"/>
              </w:rPr>
              <w:tab/>
            </w:r>
            <w:r w:rsidR="00B20F1E" w:rsidRPr="000D2717">
              <w:rPr>
                <w:rFonts w:eastAsia="Calibri"/>
                <w:color w:val="000000"/>
                <w:lang w:val="es-ES"/>
              </w:rPr>
              <w:t xml:space="preserve">Para la banda de frecuencias 6, apoyar que la identificación </w:t>
            </w:r>
            <w:r w:rsidR="00B20F1E">
              <w:rPr>
                <w:rFonts w:eastAsia="Calibri"/>
                <w:color w:val="000000"/>
                <w:lang w:val="es-ES"/>
              </w:rPr>
              <w:t xml:space="preserve">para las </w:t>
            </w:r>
            <w:r w:rsidR="00B20F1E" w:rsidRPr="000D2717">
              <w:rPr>
                <w:rFonts w:eastAsia="Calibri"/>
                <w:color w:val="000000"/>
                <w:lang w:val="es-ES"/>
              </w:rPr>
              <w:t>IMT de esa banda de frecuencias</w:t>
            </w:r>
            <w:r w:rsidR="00B20F1E">
              <w:rPr>
                <w:rFonts w:eastAsia="Calibri"/>
                <w:color w:val="000000"/>
                <w:lang w:val="es-ES"/>
              </w:rPr>
              <w:t>,</w:t>
            </w:r>
            <w:r w:rsidR="00B20F1E" w:rsidRPr="000D2717">
              <w:rPr>
                <w:rFonts w:eastAsia="Calibri"/>
                <w:color w:val="000000"/>
                <w:lang w:val="es-ES"/>
              </w:rPr>
              <w:t xml:space="preserve"> o </w:t>
            </w:r>
            <w:r w:rsidR="00B20F1E">
              <w:rPr>
                <w:rFonts w:eastAsia="Calibri"/>
                <w:color w:val="000000"/>
                <w:lang w:val="es-ES"/>
              </w:rPr>
              <w:t xml:space="preserve">de </w:t>
            </w:r>
            <w:r w:rsidR="00B20F1E" w:rsidRPr="000D2717">
              <w:rPr>
                <w:rFonts w:eastAsia="Calibri"/>
                <w:color w:val="000000"/>
                <w:lang w:val="es-ES"/>
              </w:rPr>
              <w:t>parte de la misma</w:t>
            </w:r>
            <w:r w:rsidR="00B20F1E">
              <w:rPr>
                <w:rFonts w:eastAsia="Calibri"/>
                <w:color w:val="000000"/>
                <w:lang w:val="es-ES"/>
              </w:rPr>
              <w:t>, objeto de estudio</w:t>
            </w:r>
            <w:r w:rsidR="00B20F1E" w:rsidRPr="000D2717">
              <w:rPr>
                <w:rFonts w:eastAsia="Calibri"/>
                <w:color w:val="000000"/>
                <w:lang w:val="es-ES"/>
              </w:rPr>
              <w:t xml:space="preserve"> en la Región 2, </w:t>
            </w:r>
            <w:r w:rsidR="00B20F1E" w:rsidRPr="0043059C">
              <w:rPr>
                <w:rFonts w:eastAsia="Calibri"/>
                <w:b/>
                <w:bCs/>
                <w:color w:val="000000"/>
                <w:lang w:val="es-ES"/>
              </w:rPr>
              <w:t>no afecte</w:t>
            </w:r>
            <w:r w:rsidR="00B20F1E" w:rsidRPr="000D2717">
              <w:rPr>
                <w:rFonts w:eastAsia="Calibri"/>
                <w:color w:val="000000"/>
                <w:lang w:val="es-ES"/>
              </w:rPr>
              <w:t xml:space="preserve"> a los servicios a los que está atribuida </w:t>
            </w:r>
            <w:r w:rsidR="00B20F1E">
              <w:rPr>
                <w:rFonts w:eastAsia="Calibri"/>
                <w:color w:val="000000"/>
                <w:lang w:val="es-ES"/>
              </w:rPr>
              <w:t>dicha</w:t>
            </w:r>
            <w:r w:rsidR="00B20F1E" w:rsidRPr="000D2717">
              <w:rPr>
                <w:rFonts w:eastAsia="Calibri"/>
                <w:color w:val="000000"/>
                <w:lang w:val="es-ES"/>
              </w:rPr>
              <w:t xml:space="preserve"> banda de frecuencias en la Región 1.</w:t>
            </w:r>
          </w:p>
          <w:p w14:paraId="0D3B5C91" w14:textId="77777777" w:rsidR="00B20F1E" w:rsidRPr="000D2717" w:rsidRDefault="00B20F1E" w:rsidP="0056026E">
            <w:pPr>
              <w:pStyle w:val="Tabletext"/>
              <w:rPr>
                <w:rFonts w:eastAsia="Calibri"/>
                <w:i/>
                <w:u w:val="single"/>
                <w:lang w:val="es-ES"/>
              </w:rPr>
            </w:pPr>
            <w:r w:rsidRPr="000D2717">
              <w:rPr>
                <w:rFonts w:eastAsia="Calibri"/>
                <w:i/>
                <w:u w:val="single"/>
                <w:lang w:val="es-ES"/>
              </w:rPr>
              <w:t xml:space="preserve">Parte 2: </w:t>
            </w:r>
            <w:r>
              <w:rPr>
                <w:rFonts w:eastAsia="Calibri"/>
                <w:i/>
                <w:color w:val="000000"/>
                <w:u w:val="single"/>
                <w:lang w:val="es-ES"/>
              </w:rPr>
              <w:t>Medidas propuestas</w:t>
            </w:r>
          </w:p>
          <w:p w14:paraId="395AD954" w14:textId="77777777" w:rsidR="00B20F1E" w:rsidRPr="00CB3DB9" w:rsidRDefault="00B20F1E" w:rsidP="0056026E">
            <w:pPr>
              <w:pStyle w:val="Tabletext"/>
              <w:rPr>
                <w:rFonts w:eastAsia="Calibri"/>
                <w:b/>
                <w:bCs/>
                <w:color w:val="000000"/>
                <w:lang w:val="es-ES"/>
              </w:rPr>
            </w:pPr>
            <w:r w:rsidRPr="00CB3DB9">
              <w:rPr>
                <w:rFonts w:eastAsia="Calibri"/>
                <w:b/>
                <w:bCs/>
                <w:i/>
                <w:color w:val="000000"/>
                <w:lang w:val="es-ES"/>
              </w:rPr>
              <w:t>Solicitar a las administraciones de la UAT que:</w:t>
            </w:r>
          </w:p>
          <w:p w14:paraId="6D503D43" w14:textId="77777777" w:rsidR="00B20F1E" w:rsidRPr="000D2717" w:rsidRDefault="00B20F1E" w:rsidP="0056026E">
            <w:pPr>
              <w:pStyle w:val="Tabletext"/>
              <w:rPr>
                <w:color w:val="000000"/>
                <w:lang w:val="es-ES"/>
              </w:rPr>
            </w:pPr>
            <w:r w:rsidRPr="00CB3DB9">
              <w:rPr>
                <w:rFonts w:eastAsia="Calibri"/>
                <w:b/>
                <w:bCs/>
                <w:color w:val="000000"/>
                <w:lang w:val="es-ES"/>
              </w:rPr>
              <w:t>Apoyen</w:t>
            </w:r>
            <w:r w:rsidRPr="000D2717">
              <w:rPr>
                <w:rFonts w:eastAsia="Calibri"/>
                <w:color w:val="000000"/>
                <w:lang w:val="es-ES"/>
              </w:rPr>
              <w:t xml:space="preserve"> la </w:t>
            </w:r>
            <w:r>
              <w:rPr>
                <w:rFonts w:eastAsia="Calibri"/>
                <w:color w:val="000000"/>
                <w:lang w:val="es-ES"/>
              </w:rPr>
              <w:t>AFCP</w:t>
            </w:r>
            <w:r w:rsidRPr="000D2717">
              <w:rPr>
                <w:rFonts w:eastAsia="Calibri"/>
                <w:color w:val="000000"/>
                <w:lang w:val="es-ES"/>
              </w:rPr>
              <w:t xml:space="preserve"> en </w:t>
            </w:r>
            <w:r>
              <w:rPr>
                <w:rFonts w:eastAsia="Calibri"/>
                <w:color w:val="000000"/>
                <w:lang w:val="es-ES"/>
              </w:rPr>
              <w:t>relación con este</w:t>
            </w:r>
            <w:r w:rsidRPr="000D2717">
              <w:rPr>
                <w:rFonts w:eastAsia="Calibri"/>
                <w:color w:val="000000"/>
                <w:lang w:val="es-ES"/>
              </w:rPr>
              <w:t xml:space="preserve"> punto del orden del día.</w:t>
            </w:r>
          </w:p>
        </w:tc>
      </w:tr>
      <w:tr w:rsidR="00B20F1E" w:rsidRPr="00B707C8" w14:paraId="74B42C0C" w14:textId="77777777" w:rsidTr="00DB48C6">
        <w:trPr>
          <w:jc w:val="center"/>
        </w:trPr>
        <w:tc>
          <w:tcPr>
            <w:tcW w:w="3114" w:type="dxa"/>
          </w:tcPr>
          <w:p w14:paraId="6D3F8447" w14:textId="77777777" w:rsidR="00B20F1E" w:rsidRPr="00CB3DB9" w:rsidRDefault="00B20F1E" w:rsidP="0056026E">
            <w:pPr>
              <w:pStyle w:val="Tabletext"/>
              <w:rPr>
                <w:rFonts w:eastAsia="Calibri"/>
                <w:b/>
                <w:bCs/>
                <w:i/>
                <w:lang w:val="es-ES"/>
              </w:rPr>
            </w:pPr>
            <w:r w:rsidRPr="00CB3DB9">
              <w:rPr>
                <w:rFonts w:eastAsia="Calibri"/>
                <w:b/>
                <w:bCs/>
                <w:lang w:val="es-ES"/>
              </w:rPr>
              <w:lastRenderedPageBreak/>
              <w:t xml:space="preserve">Punto </w:t>
            </w:r>
            <w:r w:rsidRPr="00CB3DB9">
              <w:rPr>
                <w:rFonts w:eastAsia="Calibri"/>
                <w:b/>
                <w:bCs/>
                <w:i/>
                <w:lang w:val="es-ES"/>
              </w:rPr>
              <w:t>1.3</w:t>
            </w:r>
          </w:p>
          <w:p w14:paraId="1C568313" w14:textId="10DD52A3" w:rsidR="00B20F1E" w:rsidRPr="0043059C" w:rsidRDefault="00B20F1E" w:rsidP="0056026E">
            <w:pPr>
              <w:pStyle w:val="Tabletext"/>
              <w:rPr>
                <w:rFonts w:eastAsia="Calibri"/>
                <w:i/>
                <w:color w:val="000000"/>
                <w:lang w:val="es-ES"/>
              </w:rPr>
            </w:pPr>
            <w:r>
              <w:rPr>
                <w:rFonts w:eastAsia="Calibri"/>
                <w:i/>
                <w:color w:val="000000"/>
                <w:lang w:val="es-ES"/>
              </w:rPr>
              <w:t>Estudiar</w:t>
            </w:r>
            <w:r w:rsidRPr="009E4B2A">
              <w:rPr>
                <w:rFonts w:eastAsia="Calibri"/>
                <w:i/>
                <w:color w:val="000000"/>
                <w:lang w:val="es-ES"/>
              </w:rPr>
              <w:t xml:space="preserve"> la </w:t>
            </w:r>
            <w:r>
              <w:rPr>
                <w:rFonts w:eastAsia="Calibri"/>
                <w:i/>
                <w:color w:val="000000"/>
                <w:lang w:val="es-ES"/>
              </w:rPr>
              <w:t>posibilidad de atribuir</w:t>
            </w:r>
            <w:r w:rsidRPr="009E4B2A">
              <w:rPr>
                <w:rFonts w:eastAsia="Calibri"/>
                <w:i/>
                <w:color w:val="000000"/>
                <w:lang w:val="es-ES"/>
              </w:rPr>
              <w:t xml:space="preserve"> la banda de frecuencias 3 600</w:t>
            </w:r>
            <w:r w:rsidR="007D7EC9">
              <w:rPr>
                <w:rFonts w:eastAsia="Calibri"/>
                <w:i/>
                <w:color w:val="000000"/>
                <w:lang w:val="es-ES"/>
              </w:rPr>
              <w:t>-</w:t>
            </w:r>
            <w:r w:rsidRPr="009E4B2A">
              <w:rPr>
                <w:rFonts w:eastAsia="Calibri"/>
                <w:i/>
                <w:color w:val="000000"/>
                <w:lang w:val="es-ES"/>
              </w:rPr>
              <w:t xml:space="preserve">3 800 MHz a título primario al servicio móvil en la Región 1 y </w:t>
            </w:r>
            <w:r>
              <w:rPr>
                <w:rFonts w:eastAsia="Calibri"/>
                <w:i/>
                <w:color w:val="000000"/>
                <w:lang w:val="es-ES"/>
              </w:rPr>
              <w:t>adoptar</w:t>
            </w:r>
            <w:r w:rsidRPr="009E4B2A">
              <w:rPr>
                <w:rFonts w:eastAsia="Calibri"/>
                <w:i/>
                <w:color w:val="000000"/>
                <w:lang w:val="es-ES"/>
              </w:rPr>
              <w:t xml:space="preserve"> las medidas reglamentarias convenientes, de conformidad con la </w:t>
            </w:r>
            <w:r w:rsidRPr="004A5990">
              <w:rPr>
                <w:rFonts w:eastAsia="Calibri"/>
                <w:bCs/>
                <w:i/>
                <w:color w:val="000000"/>
                <w:lang w:val="es-ES"/>
              </w:rPr>
              <w:t xml:space="preserve">Resolución </w:t>
            </w:r>
            <w:r w:rsidRPr="00CB3DB9">
              <w:rPr>
                <w:rFonts w:eastAsia="Calibri"/>
                <w:b/>
                <w:i/>
                <w:color w:val="000000"/>
                <w:lang w:val="es-ES"/>
              </w:rPr>
              <w:t>246 (CMR-19)</w:t>
            </w:r>
          </w:p>
          <w:p w14:paraId="3DEF2481" w14:textId="77777777" w:rsidR="00B20F1E" w:rsidRPr="000D2717" w:rsidRDefault="00B20F1E" w:rsidP="0056026E">
            <w:pPr>
              <w:pStyle w:val="Tabletext"/>
              <w:rPr>
                <w:rFonts w:eastAsia="Calibri"/>
                <w:i/>
                <w:lang w:val="es-ES"/>
              </w:rPr>
            </w:pPr>
          </w:p>
        </w:tc>
        <w:tc>
          <w:tcPr>
            <w:tcW w:w="6662" w:type="dxa"/>
          </w:tcPr>
          <w:p w14:paraId="1A582FF9" w14:textId="77777777" w:rsidR="00B20F1E" w:rsidRPr="000D2717" w:rsidRDefault="00B20F1E" w:rsidP="0056026E">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44352565" w14:textId="523B221C" w:rsidR="00B20F1E" w:rsidRPr="000D2717" w:rsidRDefault="00CB3DB9" w:rsidP="00CB3DB9">
            <w:pPr>
              <w:pStyle w:val="Tabletext"/>
              <w:ind w:left="284" w:hanging="284"/>
              <w:rPr>
                <w:rFonts w:eastAsia="Calibri"/>
                <w:color w:val="000000"/>
                <w:lang w:val="es-ES"/>
              </w:rPr>
            </w:pPr>
            <w:r>
              <w:rPr>
                <w:rFonts w:eastAsia="Calibri"/>
                <w:color w:val="000000"/>
                <w:lang w:val="es-ES"/>
              </w:rPr>
              <w:t>1</w:t>
            </w:r>
            <w:r>
              <w:rPr>
                <w:rFonts w:eastAsia="Calibri"/>
                <w:color w:val="000000"/>
                <w:lang w:val="es-ES"/>
              </w:rPr>
              <w:tab/>
            </w:r>
            <w:r w:rsidR="00B20F1E" w:rsidRPr="00CB3DB9">
              <w:rPr>
                <w:rFonts w:eastAsia="Calibri"/>
                <w:b/>
                <w:bCs/>
                <w:color w:val="000000"/>
                <w:lang w:val="es-ES"/>
              </w:rPr>
              <w:t>Adoptar</w:t>
            </w:r>
            <w:r w:rsidR="00B20F1E">
              <w:rPr>
                <w:rFonts w:eastAsia="Calibri"/>
                <w:color w:val="000000"/>
                <w:lang w:val="es-ES"/>
              </w:rPr>
              <w:t xml:space="preserve"> </w:t>
            </w:r>
            <w:r w:rsidR="00B20F1E" w:rsidRPr="00BD4658">
              <w:rPr>
                <w:rFonts w:eastAsia="Calibri"/>
                <w:bCs/>
                <w:color w:val="000000"/>
                <w:lang w:val="es-ES"/>
              </w:rPr>
              <w:t xml:space="preserve">las medidas </w:t>
            </w:r>
            <w:r w:rsidR="00B20F1E">
              <w:rPr>
                <w:rFonts w:eastAsia="Calibri"/>
                <w:bCs/>
                <w:color w:val="000000"/>
                <w:lang w:val="es-ES"/>
              </w:rPr>
              <w:t>enumeradas a continuación en el marco de la AFCP,</w:t>
            </w:r>
            <w:r w:rsidR="00B20F1E" w:rsidRPr="00983F90">
              <w:rPr>
                <w:rFonts w:eastAsia="Calibri"/>
                <w:bCs/>
                <w:color w:val="000000"/>
                <w:lang w:val="es-ES"/>
              </w:rPr>
              <w:t xml:space="preserve"> con objeto de alcanzar un compromiso</w:t>
            </w:r>
            <w:r w:rsidR="00B20F1E" w:rsidRPr="000D2717">
              <w:rPr>
                <w:rFonts w:eastAsia="Calibri"/>
                <w:color w:val="000000"/>
                <w:lang w:val="es-ES"/>
              </w:rPr>
              <w:t>:</w:t>
            </w:r>
          </w:p>
          <w:p w14:paraId="45E86789" w14:textId="1205F153" w:rsidR="00B20F1E" w:rsidRPr="000D2717" w:rsidRDefault="00CB3DB9" w:rsidP="00CB3DB9">
            <w:pPr>
              <w:pStyle w:val="Tabletext"/>
              <w:ind w:left="567" w:hanging="567"/>
              <w:rPr>
                <w:rFonts w:eastAsia="Calibri"/>
                <w:color w:val="000000"/>
                <w:lang w:val="es-ES"/>
              </w:rPr>
            </w:pPr>
            <w:r>
              <w:rPr>
                <w:rFonts w:eastAsia="Calibri"/>
                <w:color w:val="000000"/>
                <w:lang w:val="es-ES"/>
              </w:rPr>
              <w:tab/>
              <w:t>a)</w:t>
            </w:r>
            <w:r>
              <w:rPr>
                <w:rFonts w:eastAsia="Calibri"/>
                <w:color w:val="000000"/>
                <w:lang w:val="es-ES"/>
              </w:rPr>
              <w:tab/>
            </w:r>
            <w:r w:rsidR="00B20F1E" w:rsidRPr="000D2717">
              <w:rPr>
                <w:rFonts w:eastAsia="Calibri"/>
                <w:color w:val="000000"/>
                <w:lang w:val="es-ES"/>
              </w:rPr>
              <w:t>Actualiza</w:t>
            </w:r>
            <w:r w:rsidR="00B20F1E">
              <w:rPr>
                <w:rFonts w:eastAsia="Calibri"/>
                <w:color w:val="000000"/>
                <w:lang w:val="es-ES"/>
              </w:rPr>
              <w:t>ción de</w:t>
            </w:r>
            <w:r w:rsidR="00B20F1E" w:rsidRPr="000D2717">
              <w:rPr>
                <w:rFonts w:eastAsia="Calibri"/>
                <w:color w:val="000000"/>
                <w:lang w:val="es-ES"/>
              </w:rPr>
              <w:t xml:space="preserve"> la atribución de la banda de frecuencias 3 600</w:t>
            </w:r>
            <w:r>
              <w:rPr>
                <w:rFonts w:eastAsia="Calibri"/>
                <w:color w:val="000000"/>
                <w:lang w:val="es-ES"/>
              </w:rPr>
              <w:t>-</w:t>
            </w:r>
            <w:r w:rsidR="00B20F1E" w:rsidRPr="000D2717">
              <w:rPr>
                <w:rFonts w:eastAsia="Calibri"/>
                <w:color w:val="000000"/>
                <w:lang w:val="es-ES"/>
              </w:rPr>
              <w:t>3</w:t>
            </w:r>
            <w:r>
              <w:rPr>
                <w:rFonts w:eastAsia="Calibri"/>
                <w:color w:val="000000"/>
                <w:lang w:val="es-ES"/>
              </w:rPr>
              <w:t> </w:t>
            </w:r>
            <w:r w:rsidR="00B20F1E" w:rsidRPr="00CB3DB9">
              <w:rPr>
                <w:rFonts w:eastAsia="Calibri"/>
              </w:rPr>
              <w:t>800</w:t>
            </w:r>
            <w:r>
              <w:rPr>
                <w:rFonts w:eastAsia="Calibri"/>
              </w:rPr>
              <w:t> </w:t>
            </w:r>
            <w:r w:rsidR="00B20F1E" w:rsidRPr="00CB3DB9">
              <w:rPr>
                <w:rFonts w:eastAsia="Calibri"/>
              </w:rPr>
              <w:t>MHz</w:t>
            </w:r>
            <w:r w:rsidR="00B20F1E" w:rsidRPr="000D2717">
              <w:rPr>
                <w:rFonts w:eastAsia="Calibri"/>
                <w:color w:val="000000"/>
                <w:lang w:val="es-ES"/>
              </w:rPr>
              <w:t xml:space="preserve"> en la Región 1 a título primario a</w:t>
            </w:r>
            <w:r w:rsidR="00B20F1E">
              <w:rPr>
                <w:rFonts w:eastAsia="Calibri"/>
                <w:color w:val="000000"/>
                <w:lang w:val="es-ES"/>
              </w:rPr>
              <w:t>l servicio móvil</w:t>
            </w:r>
            <w:r w:rsidR="00B20F1E" w:rsidRPr="000D2717">
              <w:rPr>
                <w:rFonts w:eastAsia="Calibri"/>
                <w:color w:val="000000"/>
                <w:lang w:val="es-ES"/>
              </w:rPr>
              <w:t xml:space="preserve"> en el Cuadro de atribución de bandas de frecuencias.</w:t>
            </w:r>
          </w:p>
          <w:p w14:paraId="7FD8D66C" w14:textId="1C61FD3A" w:rsidR="00B20F1E" w:rsidRPr="000D2717" w:rsidRDefault="00CB3DB9" w:rsidP="00CB3DB9">
            <w:pPr>
              <w:pStyle w:val="Tabletext"/>
              <w:ind w:left="567" w:hanging="567"/>
              <w:rPr>
                <w:rFonts w:eastAsia="Calibri"/>
                <w:color w:val="000000"/>
                <w:lang w:val="es-ES"/>
              </w:rPr>
            </w:pPr>
            <w:r>
              <w:rPr>
                <w:rFonts w:eastAsia="Calibri"/>
                <w:color w:val="000000"/>
                <w:lang w:val="es-ES"/>
              </w:rPr>
              <w:tab/>
              <w:t>b)</w:t>
            </w:r>
            <w:r>
              <w:rPr>
                <w:rFonts w:eastAsia="Calibri"/>
                <w:color w:val="000000"/>
                <w:lang w:val="es-ES"/>
              </w:rPr>
              <w:tab/>
            </w:r>
            <w:r w:rsidR="00B20F1E" w:rsidRPr="000D2717">
              <w:rPr>
                <w:rFonts w:eastAsia="Calibri"/>
                <w:color w:val="000000"/>
                <w:lang w:val="es-ES"/>
              </w:rPr>
              <w:t>Identificación de</w:t>
            </w:r>
            <w:r w:rsidR="00B20F1E">
              <w:rPr>
                <w:rFonts w:eastAsia="Calibri"/>
                <w:color w:val="000000"/>
                <w:lang w:val="es-ES"/>
              </w:rPr>
              <w:t xml:space="preserve"> las</w:t>
            </w:r>
            <w:r w:rsidR="00B20F1E" w:rsidRPr="000D2717">
              <w:rPr>
                <w:rFonts w:eastAsia="Calibri"/>
                <w:color w:val="000000"/>
                <w:lang w:val="es-ES"/>
              </w:rPr>
              <w:t xml:space="preserve"> IMT </w:t>
            </w:r>
            <w:r w:rsidR="00B20F1E">
              <w:rPr>
                <w:rFonts w:eastAsia="Calibri"/>
                <w:color w:val="000000"/>
                <w:lang w:val="es-ES"/>
              </w:rPr>
              <w:t>mediante dos números para las bandas</w:t>
            </w:r>
            <w:r w:rsidR="00B20F1E" w:rsidRPr="000D2717">
              <w:rPr>
                <w:rFonts w:eastAsia="Calibri"/>
                <w:color w:val="000000"/>
                <w:lang w:val="es-ES"/>
              </w:rPr>
              <w:t xml:space="preserve"> 3</w:t>
            </w:r>
            <w:r w:rsidR="00B20F1E">
              <w:rPr>
                <w:rFonts w:eastAsia="Calibri"/>
                <w:color w:val="000000"/>
                <w:lang w:val="es-ES"/>
              </w:rPr>
              <w:t xml:space="preserve"> </w:t>
            </w:r>
            <w:r w:rsidR="00B20F1E" w:rsidRPr="000D2717">
              <w:rPr>
                <w:rFonts w:eastAsia="Calibri"/>
                <w:color w:val="000000"/>
                <w:lang w:val="es-ES"/>
              </w:rPr>
              <w:t>600</w:t>
            </w:r>
            <w:r>
              <w:rPr>
                <w:rFonts w:eastAsia="Calibri"/>
                <w:color w:val="000000"/>
                <w:lang w:val="es-ES"/>
              </w:rPr>
              <w:t>-</w:t>
            </w:r>
            <w:r w:rsidR="00B20F1E" w:rsidRPr="000D2717">
              <w:rPr>
                <w:rFonts w:eastAsia="Calibri"/>
                <w:color w:val="000000"/>
                <w:lang w:val="es-ES"/>
              </w:rPr>
              <w:t>3</w:t>
            </w:r>
            <w:r>
              <w:rPr>
                <w:rFonts w:eastAsia="Calibri"/>
                <w:color w:val="000000"/>
                <w:lang w:val="es-ES"/>
              </w:rPr>
              <w:t> </w:t>
            </w:r>
            <w:r w:rsidR="00B20F1E" w:rsidRPr="000D2717">
              <w:rPr>
                <w:rFonts w:eastAsia="Calibri"/>
                <w:color w:val="000000"/>
                <w:lang w:val="es-ES"/>
              </w:rPr>
              <w:t>700 MHz y 3</w:t>
            </w:r>
            <w:r w:rsidR="00B20F1E">
              <w:rPr>
                <w:rFonts w:eastAsia="Calibri"/>
                <w:color w:val="000000"/>
                <w:lang w:val="es-ES"/>
              </w:rPr>
              <w:t xml:space="preserve"> </w:t>
            </w:r>
            <w:r w:rsidR="00B20F1E" w:rsidRPr="000D2717">
              <w:rPr>
                <w:rFonts w:eastAsia="Calibri"/>
                <w:color w:val="000000"/>
                <w:lang w:val="es-ES"/>
              </w:rPr>
              <w:t>600</w:t>
            </w:r>
            <w:r w:rsidR="0043059C">
              <w:rPr>
                <w:rFonts w:eastAsia="Calibri"/>
                <w:color w:val="000000"/>
                <w:lang w:val="es-ES"/>
              </w:rPr>
              <w:t>-</w:t>
            </w:r>
            <w:r w:rsidR="00B20F1E" w:rsidRPr="000D2717">
              <w:rPr>
                <w:rFonts w:eastAsia="Calibri"/>
                <w:color w:val="000000"/>
                <w:lang w:val="es-ES"/>
              </w:rPr>
              <w:t>3</w:t>
            </w:r>
            <w:r w:rsidR="00B20F1E">
              <w:rPr>
                <w:rFonts w:eastAsia="Calibri"/>
                <w:color w:val="000000"/>
                <w:lang w:val="es-ES"/>
              </w:rPr>
              <w:t xml:space="preserve"> </w:t>
            </w:r>
            <w:r w:rsidR="00B20F1E" w:rsidRPr="000D2717">
              <w:rPr>
                <w:rFonts w:eastAsia="Calibri"/>
                <w:color w:val="000000"/>
                <w:lang w:val="es-ES"/>
              </w:rPr>
              <w:t>800 MHz</w:t>
            </w:r>
            <w:r w:rsidR="00B20F1E">
              <w:rPr>
                <w:rFonts w:eastAsia="Calibri"/>
                <w:color w:val="000000"/>
                <w:lang w:val="es-ES"/>
              </w:rPr>
              <w:t>;</w:t>
            </w:r>
            <w:r w:rsidR="00B20F1E" w:rsidRPr="000D2717">
              <w:rPr>
                <w:rFonts w:eastAsia="Calibri"/>
                <w:color w:val="000000"/>
                <w:lang w:val="es-ES"/>
              </w:rPr>
              <w:t xml:space="preserve"> </w:t>
            </w:r>
            <w:r w:rsidR="00B20F1E">
              <w:rPr>
                <w:rFonts w:eastAsia="Calibri"/>
                <w:color w:val="000000"/>
                <w:lang w:val="es-ES"/>
              </w:rPr>
              <w:t>cada país puede</w:t>
            </w:r>
            <w:r w:rsidR="00B20F1E" w:rsidRPr="000D2717">
              <w:rPr>
                <w:rFonts w:eastAsia="Calibri"/>
                <w:color w:val="000000"/>
                <w:lang w:val="es-ES"/>
              </w:rPr>
              <w:t xml:space="preserve"> considerar </w:t>
            </w:r>
            <w:r w:rsidR="00B20F1E">
              <w:rPr>
                <w:rFonts w:eastAsia="Calibri"/>
                <w:color w:val="000000"/>
                <w:lang w:val="es-ES"/>
              </w:rPr>
              <w:t>su apoyo a los números respectivos a tenor de</w:t>
            </w:r>
            <w:r w:rsidR="00B20F1E" w:rsidRPr="000D2717">
              <w:rPr>
                <w:rFonts w:eastAsia="Calibri"/>
                <w:color w:val="000000"/>
                <w:lang w:val="es-ES"/>
              </w:rPr>
              <w:t xml:space="preserve"> sus necesidades.</w:t>
            </w:r>
          </w:p>
          <w:p w14:paraId="3CA6DD67" w14:textId="146CA5F7" w:rsidR="00B20F1E" w:rsidRPr="000D2717" w:rsidRDefault="00CB3DB9" w:rsidP="00CB3DB9">
            <w:pPr>
              <w:pStyle w:val="Tabletext"/>
              <w:ind w:left="567" w:hanging="567"/>
              <w:rPr>
                <w:rFonts w:eastAsia="Calibri"/>
                <w:color w:val="000000"/>
                <w:lang w:val="es-ES"/>
              </w:rPr>
            </w:pPr>
            <w:r>
              <w:rPr>
                <w:rFonts w:eastAsia="Calibri"/>
                <w:color w:val="000000"/>
                <w:lang w:val="es-ES"/>
              </w:rPr>
              <w:tab/>
              <w:t>c)</w:t>
            </w:r>
            <w:r>
              <w:rPr>
                <w:rFonts w:eastAsia="Calibri"/>
                <w:color w:val="000000"/>
                <w:lang w:val="es-ES"/>
              </w:rPr>
              <w:tab/>
            </w:r>
            <w:r w:rsidR="00B20F1E">
              <w:rPr>
                <w:rFonts w:eastAsia="Calibri"/>
                <w:color w:val="000000"/>
                <w:lang w:val="es-ES"/>
              </w:rPr>
              <w:t>Establecimiento de condiciones</w:t>
            </w:r>
            <w:r w:rsidR="00B20F1E" w:rsidRPr="000D2717">
              <w:rPr>
                <w:rFonts w:eastAsia="Calibri"/>
                <w:color w:val="000000"/>
                <w:lang w:val="es-ES"/>
              </w:rPr>
              <w:t xml:space="preserve"> técnicas para las IMT </w:t>
            </w:r>
            <w:r w:rsidR="00B20F1E">
              <w:rPr>
                <w:rFonts w:eastAsia="Calibri"/>
                <w:color w:val="000000"/>
                <w:lang w:val="es-ES"/>
              </w:rPr>
              <w:t>en consonancia</w:t>
            </w:r>
            <w:r w:rsidR="00B20F1E" w:rsidRPr="000D2717">
              <w:rPr>
                <w:rFonts w:eastAsia="Calibri"/>
                <w:color w:val="000000"/>
                <w:lang w:val="es-ES"/>
              </w:rPr>
              <w:t xml:space="preserve"> con </w:t>
            </w:r>
            <w:r w:rsidR="00B20F1E">
              <w:rPr>
                <w:rFonts w:eastAsia="Calibri"/>
                <w:color w:val="000000"/>
                <w:lang w:val="es-ES"/>
              </w:rPr>
              <w:t>las aplicables</w:t>
            </w:r>
            <w:r w:rsidR="00B20F1E" w:rsidRPr="000D2717">
              <w:rPr>
                <w:rFonts w:eastAsia="Calibri"/>
                <w:color w:val="000000"/>
                <w:lang w:val="es-ES"/>
              </w:rPr>
              <w:t xml:space="preserve"> actualmente a la banda 3 400</w:t>
            </w:r>
            <w:r>
              <w:rPr>
                <w:rFonts w:eastAsia="Calibri"/>
                <w:color w:val="000000"/>
                <w:lang w:val="es-ES"/>
              </w:rPr>
              <w:t>-</w:t>
            </w:r>
            <w:r w:rsidR="00B20F1E" w:rsidRPr="000D2717">
              <w:rPr>
                <w:rFonts w:eastAsia="Calibri"/>
                <w:color w:val="000000"/>
                <w:lang w:val="es-ES"/>
              </w:rPr>
              <w:t>3 600 MHz (</w:t>
            </w:r>
            <w:r w:rsidR="00B20F1E">
              <w:rPr>
                <w:rFonts w:eastAsia="Calibri"/>
                <w:color w:val="000000"/>
                <w:lang w:val="es-ES"/>
              </w:rPr>
              <w:t>número</w:t>
            </w:r>
            <w:r w:rsidR="00B20F1E" w:rsidRPr="000D2717">
              <w:rPr>
                <w:rFonts w:eastAsia="Calibri"/>
                <w:color w:val="000000"/>
                <w:lang w:val="es-ES"/>
              </w:rPr>
              <w:t xml:space="preserve"> </w:t>
            </w:r>
            <w:r w:rsidR="00B20F1E" w:rsidRPr="00CB3DB9">
              <w:rPr>
                <w:rFonts w:eastAsia="Calibri"/>
                <w:b/>
                <w:bCs/>
                <w:color w:val="000000"/>
                <w:lang w:val="es-ES"/>
              </w:rPr>
              <w:t>5.430A</w:t>
            </w:r>
            <w:r w:rsidR="00B20F1E">
              <w:rPr>
                <w:rFonts w:eastAsia="Calibri"/>
                <w:color w:val="000000"/>
                <w:lang w:val="es-ES"/>
              </w:rPr>
              <w:t xml:space="preserve"> del RR</w:t>
            </w:r>
            <w:r w:rsidR="00B20F1E" w:rsidRPr="000D2717">
              <w:rPr>
                <w:rFonts w:eastAsia="Calibri"/>
                <w:color w:val="000000"/>
                <w:lang w:val="es-ES"/>
              </w:rPr>
              <w:t>).</w:t>
            </w:r>
          </w:p>
          <w:p w14:paraId="68888F1C" w14:textId="69A5B737" w:rsidR="00B20F1E" w:rsidRPr="000D2717" w:rsidRDefault="00CB3DB9" w:rsidP="00CB3DB9">
            <w:pPr>
              <w:pStyle w:val="Tabletext"/>
              <w:ind w:left="567" w:hanging="567"/>
              <w:rPr>
                <w:rFonts w:eastAsia="Calibri"/>
                <w:color w:val="000000"/>
                <w:lang w:val="es-ES"/>
              </w:rPr>
            </w:pPr>
            <w:r>
              <w:rPr>
                <w:rFonts w:eastAsia="Calibri"/>
                <w:color w:val="000000"/>
                <w:lang w:val="es-ES"/>
              </w:rPr>
              <w:tab/>
              <w:t>d)</w:t>
            </w:r>
            <w:r>
              <w:rPr>
                <w:rFonts w:eastAsia="Calibri"/>
                <w:color w:val="000000"/>
                <w:lang w:val="es-ES"/>
              </w:rPr>
              <w:tab/>
            </w:r>
            <w:r w:rsidR="00B20F1E">
              <w:rPr>
                <w:rFonts w:eastAsia="Calibri"/>
                <w:color w:val="000000"/>
                <w:lang w:val="es-ES"/>
              </w:rPr>
              <w:t>Posible a</w:t>
            </w:r>
            <w:r w:rsidR="00B20F1E" w:rsidRPr="000D2717">
              <w:rPr>
                <w:rFonts w:eastAsia="Calibri"/>
                <w:color w:val="000000"/>
                <w:lang w:val="es-ES"/>
              </w:rPr>
              <w:t xml:space="preserve">plicación del Acuerdo de </w:t>
            </w:r>
            <w:r w:rsidR="00B20F1E">
              <w:rPr>
                <w:rFonts w:eastAsia="Calibri"/>
                <w:color w:val="000000"/>
                <w:lang w:val="es-ES"/>
              </w:rPr>
              <w:t>c</w:t>
            </w:r>
            <w:r w:rsidR="00B20F1E" w:rsidRPr="000D2717">
              <w:rPr>
                <w:rFonts w:eastAsia="Calibri"/>
                <w:color w:val="000000"/>
                <w:lang w:val="es-ES"/>
              </w:rPr>
              <w:t xml:space="preserve">oordinación </w:t>
            </w:r>
            <w:r w:rsidR="00B20F1E">
              <w:rPr>
                <w:rFonts w:eastAsia="Calibri"/>
                <w:color w:val="000000"/>
                <w:lang w:val="es-ES"/>
              </w:rPr>
              <w:t>en el marco</w:t>
            </w:r>
            <w:r w:rsidR="00B20F1E" w:rsidRPr="000D2717">
              <w:rPr>
                <w:rFonts w:eastAsia="Calibri"/>
                <w:color w:val="000000"/>
                <w:lang w:val="es-ES"/>
              </w:rPr>
              <w:t xml:space="preserve"> del</w:t>
            </w:r>
            <w:r w:rsidR="00B20F1E">
              <w:rPr>
                <w:rFonts w:eastAsia="Calibri"/>
                <w:color w:val="000000"/>
                <w:lang w:val="es-ES"/>
              </w:rPr>
              <w:t xml:space="preserve"> A</w:t>
            </w:r>
            <w:r w:rsidR="00B20F1E" w:rsidRPr="00CD4BA8">
              <w:rPr>
                <w:rFonts w:eastAsia="Calibri"/>
                <w:color w:val="000000"/>
                <w:lang w:val="es-ES"/>
              </w:rPr>
              <w:t xml:space="preserve">cuerdo </w:t>
            </w:r>
            <w:r w:rsidR="00B20F1E">
              <w:rPr>
                <w:rFonts w:eastAsia="Calibri"/>
                <w:color w:val="000000"/>
                <w:lang w:val="es-ES"/>
              </w:rPr>
              <w:t>sobre el</w:t>
            </w:r>
            <w:r w:rsidR="00B20F1E" w:rsidRPr="00CD4BA8">
              <w:rPr>
                <w:rFonts w:eastAsia="Calibri"/>
                <w:color w:val="000000"/>
                <w:lang w:val="es-ES"/>
              </w:rPr>
              <w:t xml:space="preserve"> método de cálculo armonizado para África</w:t>
            </w:r>
            <w:r w:rsidR="00B20F1E">
              <w:rPr>
                <w:rFonts w:eastAsia="Calibri"/>
                <w:color w:val="000000"/>
                <w:lang w:val="es-ES"/>
              </w:rPr>
              <w:t xml:space="preserve"> </w:t>
            </w:r>
            <w:r w:rsidR="00B20F1E" w:rsidRPr="000D2717">
              <w:rPr>
                <w:rFonts w:eastAsia="Calibri"/>
                <w:color w:val="000000"/>
                <w:lang w:val="es-ES"/>
              </w:rPr>
              <w:t>(HCM4A)</w:t>
            </w:r>
            <w:r w:rsidR="00B20F1E">
              <w:rPr>
                <w:rFonts w:eastAsia="Calibri"/>
                <w:color w:val="000000"/>
                <w:lang w:val="es-ES"/>
              </w:rPr>
              <w:t>,</w:t>
            </w:r>
            <w:r w:rsidR="00B20F1E" w:rsidRPr="000D2717">
              <w:rPr>
                <w:rFonts w:eastAsia="Calibri"/>
                <w:color w:val="000000"/>
                <w:lang w:val="es-ES"/>
              </w:rPr>
              <w:t xml:space="preserve"> </w:t>
            </w:r>
            <w:r w:rsidR="00B20F1E">
              <w:rPr>
                <w:rFonts w:eastAsia="Calibri"/>
                <w:color w:val="000000"/>
                <w:lang w:val="es-ES"/>
              </w:rPr>
              <w:t>suscrito</w:t>
            </w:r>
            <w:r w:rsidR="00B20F1E" w:rsidRPr="000D2717">
              <w:rPr>
                <w:rFonts w:eastAsia="Calibri"/>
                <w:color w:val="000000"/>
                <w:lang w:val="es-ES"/>
              </w:rPr>
              <w:t xml:space="preserve"> por la mayoría de las Administraciones africanas</w:t>
            </w:r>
            <w:r w:rsidR="00B20F1E">
              <w:rPr>
                <w:rFonts w:eastAsia="Calibri"/>
                <w:color w:val="000000"/>
                <w:lang w:val="es-ES"/>
              </w:rPr>
              <w:t>.</w:t>
            </w:r>
            <w:r w:rsidR="00B20F1E" w:rsidRPr="000D2717">
              <w:rPr>
                <w:rFonts w:eastAsia="Calibri"/>
                <w:color w:val="000000"/>
                <w:lang w:val="es-ES"/>
              </w:rPr>
              <w:t xml:space="preserve"> </w:t>
            </w:r>
          </w:p>
          <w:p w14:paraId="59E70514" w14:textId="69827C6C" w:rsidR="00B20F1E" w:rsidRPr="000D2717" w:rsidRDefault="00CB3DB9" w:rsidP="00CB3DB9">
            <w:pPr>
              <w:pStyle w:val="Tabletext"/>
              <w:ind w:left="284" w:hanging="284"/>
              <w:rPr>
                <w:rFonts w:eastAsia="Calibri"/>
                <w:color w:val="000000"/>
                <w:lang w:val="es-ES"/>
              </w:rPr>
            </w:pPr>
            <w:r>
              <w:rPr>
                <w:rFonts w:eastAsia="Calibri"/>
                <w:color w:val="000000"/>
                <w:lang w:val="es-ES"/>
              </w:rPr>
              <w:t>2</w:t>
            </w:r>
            <w:r>
              <w:rPr>
                <w:rFonts w:eastAsia="Calibri"/>
                <w:color w:val="000000"/>
                <w:lang w:val="es-ES"/>
              </w:rPr>
              <w:tab/>
            </w:r>
            <w:r w:rsidR="00B20F1E" w:rsidRPr="00CB3DB9">
              <w:rPr>
                <w:rFonts w:eastAsia="Calibri"/>
                <w:b/>
                <w:bCs/>
                <w:color w:val="000000"/>
                <w:lang w:val="es-ES"/>
              </w:rPr>
              <w:t>Abordar</w:t>
            </w:r>
            <w:r w:rsidR="00B20F1E" w:rsidRPr="000D2717">
              <w:rPr>
                <w:rFonts w:eastAsia="Calibri"/>
                <w:color w:val="000000"/>
                <w:lang w:val="es-ES"/>
              </w:rPr>
              <w:t xml:space="preserve"> la protección de los servicios por satélite que </w:t>
            </w:r>
            <w:r w:rsidR="00B20F1E">
              <w:rPr>
                <w:rFonts w:eastAsia="Calibri"/>
                <w:color w:val="000000"/>
                <w:lang w:val="es-ES"/>
              </w:rPr>
              <w:t>funcionan</w:t>
            </w:r>
            <w:r w:rsidR="00B20F1E" w:rsidRPr="000D2717">
              <w:rPr>
                <w:rFonts w:eastAsia="Calibri"/>
                <w:color w:val="000000"/>
                <w:lang w:val="es-ES"/>
              </w:rPr>
              <w:t xml:space="preserve"> </w:t>
            </w:r>
            <w:r w:rsidR="00B20F1E">
              <w:rPr>
                <w:rFonts w:eastAsia="Calibri"/>
                <w:color w:val="000000"/>
                <w:lang w:val="es-ES"/>
              </w:rPr>
              <w:t xml:space="preserve">actualmente </w:t>
            </w:r>
            <w:r w:rsidR="00B20F1E" w:rsidRPr="000D2717">
              <w:rPr>
                <w:rFonts w:eastAsia="Calibri"/>
                <w:color w:val="000000"/>
                <w:lang w:val="es-ES"/>
              </w:rPr>
              <w:t xml:space="preserve">en la banda C, </w:t>
            </w:r>
            <w:r w:rsidR="00B20F1E">
              <w:rPr>
                <w:rFonts w:eastAsia="Calibri"/>
                <w:color w:val="000000"/>
                <w:lang w:val="es-ES"/>
              </w:rPr>
              <w:t>en particular</w:t>
            </w:r>
            <w:r w:rsidR="00B20F1E" w:rsidRPr="000D2717">
              <w:rPr>
                <w:rFonts w:eastAsia="Calibri"/>
                <w:color w:val="000000"/>
                <w:lang w:val="es-ES"/>
              </w:rPr>
              <w:t xml:space="preserve"> </w:t>
            </w:r>
            <w:r w:rsidR="00B20F1E">
              <w:rPr>
                <w:rFonts w:eastAsia="Calibri"/>
                <w:color w:val="000000"/>
                <w:lang w:val="es-ES"/>
              </w:rPr>
              <w:t>los</w:t>
            </w:r>
            <w:r w:rsidR="00B20F1E" w:rsidRPr="000D2717">
              <w:rPr>
                <w:rFonts w:eastAsia="Calibri"/>
                <w:color w:val="000000"/>
                <w:lang w:val="es-ES"/>
              </w:rPr>
              <w:t xml:space="preserve"> servicio</w:t>
            </w:r>
            <w:r w:rsidR="00B20F1E">
              <w:rPr>
                <w:rFonts w:eastAsia="Calibri"/>
                <w:color w:val="000000"/>
                <w:lang w:val="es-ES"/>
              </w:rPr>
              <w:t>s</w:t>
            </w:r>
            <w:r w:rsidR="00B20F1E" w:rsidRPr="000D2717">
              <w:rPr>
                <w:rFonts w:eastAsia="Calibri"/>
                <w:color w:val="000000"/>
                <w:lang w:val="es-ES"/>
              </w:rPr>
              <w:t xml:space="preserve"> de radio</w:t>
            </w:r>
            <w:r w:rsidR="00B20F1E">
              <w:rPr>
                <w:rFonts w:eastAsia="Calibri"/>
                <w:color w:val="000000"/>
                <w:lang w:val="es-ES"/>
              </w:rPr>
              <w:t>comunicaciones</w:t>
            </w:r>
            <w:r w:rsidR="00B20F1E" w:rsidRPr="000D2717">
              <w:rPr>
                <w:rFonts w:eastAsia="Calibri"/>
                <w:color w:val="000000"/>
                <w:lang w:val="es-ES"/>
              </w:rPr>
              <w:t xml:space="preserve"> aeronáutica</w:t>
            </w:r>
            <w:r w:rsidR="00B20F1E">
              <w:rPr>
                <w:rFonts w:eastAsia="Calibri"/>
                <w:color w:val="000000"/>
                <w:lang w:val="es-ES"/>
              </w:rPr>
              <w:t>s</w:t>
            </w:r>
            <w:r w:rsidR="00B20F1E" w:rsidRPr="000D2717">
              <w:rPr>
                <w:rFonts w:eastAsia="Calibri"/>
                <w:color w:val="000000"/>
                <w:lang w:val="es-ES"/>
              </w:rPr>
              <w:t xml:space="preserve">, mediante el mecanismo siguiente: </w:t>
            </w:r>
          </w:p>
          <w:p w14:paraId="0EBABD4A" w14:textId="36ACE1CE" w:rsidR="00B20F1E" w:rsidRPr="000D2717" w:rsidRDefault="00CB3DB9" w:rsidP="00CB3DB9">
            <w:pPr>
              <w:pStyle w:val="Tabletext"/>
              <w:ind w:left="567" w:hanging="567"/>
              <w:rPr>
                <w:rFonts w:eastAsia="Calibri"/>
                <w:color w:val="000000"/>
                <w:lang w:val="es-ES"/>
              </w:rPr>
            </w:pPr>
            <w:r>
              <w:rPr>
                <w:rFonts w:eastAsia="Calibri"/>
                <w:color w:val="000000"/>
                <w:lang w:val="es-ES"/>
              </w:rPr>
              <w:tab/>
              <w:t>a)</w:t>
            </w:r>
            <w:r>
              <w:rPr>
                <w:rFonts w:eastAsia="Calibri"/>
                <w:color w:val="000000"/>
                <w:lang w:val="es-ES"/>
              </w:rPr>
              <w:tab/>
            </w:r>
            <w:r w:rsidR="00B20F1E" w:rsidRPr="000D2717">
              <w:rPr>
                <w:rFonts w:eastAsia="Calibri"/>
                <w:color w:val="000000"/>
                <w:lang w:val="es-ES"/>
              </w:rPr>
              <w:t>Establec</w:t>
            </w:r>
            <w:r w:rsidR="00B20F1E">
              <w:rPr>
                <w:rFonts w:eastAsia="Calibri"/>
                <w:color w:val="000000"/>
                <w:lang w:val="es-ES"/>
              </w:rPr>
              <w:t>imiento de</w:t>
            </w:r>
            <w:r w:rsidR="00B20F1E" w:rsidRPr="000D2717">
              <w:rPr>
                <w:rFonts w:eastAsia="Calibri"/>
                <w:color w:val="000000"/>
                <w:lang w:val="es-ES"/>
              </w:rPr>
              <w:t xml:space="preserve"> un </w:t>
            </w:r>
            <w:r w:rsidR="00B20F1E">
              <w:rPr>
                <w:rFonts w:eastAsia="Calibri"/>
                <w:color w:val="000000"/>
                <w:lang w:val="es-ES"/>
              </w:rPr>
              <w:t>G</w:t>
            </w:r>
            <w:r w:rsidR="00B20F1E" w:rsidRPr="000D2717">
              <w:rPr>
                <w:rFonts w:eastAsia="Calibri"/>
                <w:color w:val="000000"/>
                <w:lang w:val="es-ES"/>
              </w:rPr>
              <w:t xml:space="preserve">rupo de </w:t>
            </w:r>
            <w:r w:rsidR="00B20F1E">
              <w:rPr>
                <w:rFonts w:eastAsia="Calibri"/>
                <w:color w:val="000000"/>
                <w:lang w:val="es-ES"/>
              </w:rPr>
              <w:t>tareas especiales en la UAT</w:t>
            </w:r>
            <w:r w:rsidR="00B20F1E" w:rsidRPr="000D2717">
              <w:rPr>
                <w:rFonts w:eastAsia="Calibri"/>
                <w:color w:val="000000"/>
                <w:lang w:val="es-ES"/>
              </w:rPr>
              <w:t xml:space="preserve"> para </w:t>
            </w:r>
            <w:r w:rsidR="00B20F1E">
              <w:rPr>
                <w:rFonts w:eastAsia="Calibri"/>
                <w:color w:val="000000"/>
                <w:lang w:val="es-ES"/>
              </w:rPr>
              <w:t>formular</w:t>
            </w:r>
            <w:r w:rsidR="00B20F1E" w:rsidRPr="000D2717">
              <w:rPr>
                <w:rFonts w:eastAsia="Calibri"/>
                <w:color w:val="000000"/>
                <w:lang w:val="es-ES"/>
              </w:rPr>
              <w:t xml:space="preserve"> una estrategia de </w:t>
            </w:r>
            <w:r w:rsidR="00B20F1E">
              <w:rPr>
                <w:rFonts w:eastAsia="Calibri"/>
                <w:color w:val="000000"/>
                <w:lang w:val="es-ES"/>
              </w:rPr>
              <w:t>implantación</w:t>
            </w:r>
            <w:r w:rsidR="00B20F1E" w:rsidRPr="000D2717">
              <w:rPr>
                <w:rFonts w:eastAsia="Calibri"/>
                <w:color w:val="000000"/>
                <w:lang w:val="es-ES"/>
              </w:rPr>
              <w:t xml:space="preserve"> que incluya propuestas sobre posibles mecanismos de migración, </w:t>
            </w:r>
            <w:r w:rsidR="00B20F1E">
              <w:rPr>
                <w:rFonts w:eastAsia="Calibri"/>
                <w:color w:val="000000"/>
                <w:lang w:val="es-ES"/>
              </w:rPr>
              <w:t xml:space="preserve">en particular los </w:t>
            </w:r>
            <w:r w:rsidR="00B20F1E" w:rsidRPr="000D2717">
              <w:rPr>
                <w:rFonts w:eastAsia="Calibri"/>
                <w:color w:val="000000"/>
                <w:lang w:val="es-ES"/>
              </w:rPr>
              <w:t xml:space="preserve">plazos </w:t>
            </w:r>
            <w:r w:rsidR="00B20F1E">
              <w:rPr>
                <w:rFonts w:eastAsia="Calibri"/>
                <w:color w:val="000000"/>
                <w:lang w:val="es-ES"/>
              </w:rPr>
              <w:t>previstos a tal efecto</w:t>
            </w:r>
            <w:r w:rsidR="00B20F1E" w:rsidRPr="000D2717">
              <w:rPr>
                <w:rFonts w:eastAsia="Calibri"/>
                <w:color w:val="000000"/>
                <w:lang w:val="es-ES"/>
              </w:rPr>
              <w:t xml:space="preserve"> y algún tipo de </w:t>
            </w:r>
            <w:r w:rsidR="00B20F1E">
              <w:rPr>
                <w:rFonts w:eastAsia="Calibri"/>
                <w:color w:val="000000"/>
                <w:lang w:val="es-ES"/>
              </w:rPr>
              <w:t xml:space="preserve">mecanismo de compensación, en lugar de </w:t>
            </w:r>
            <w:r w:rsidR="00B20F1E" w:rsidRPr="000D2717">
              <w:rPr>
                <w:rFonts w:eastAsia="Calibri"/>
                <w:color w:val="000000"/>
                <w:lang w:val="es-ES"/>
              </w:rPr>
              <w:t xml:space="preserve">la migración </w:t>
            </w:r>
            <w:r w:rsidR="00B20F1E">
              <w:rPr>
                <w:rFonts w:eastAsia="Calibri"/>
                <w:color w:val="000000"/>
                <w:lang w:val="es-ES"/>
              </w:rPr>
              <w:t xml:space="preserve">a frecuencias </w:t>
            </w:r>
            <w:r w:rsidR="00B20F1E" w:rsidRPr="000D2717">
              <w:rPr>
                <w:rFonts w:eastAsia="Calibri"/>
                <w:color w:val="000000"/>
                <w:lang w:val="es-ES"/>
              </w:rPr>
              <w:t>fuera de banda</w:t>
            </w:r>
            <w:r w:rsidR="00B20F1E">
              <w:rPr>
                <w:rFonts w:eastAsia="Calibri"/>
                <w:color w:val="000000"/>
                <w:lang w:val="es-ES"/>
              </w:rPr>
              <w:t>,</w:t>
            </w:r>
            <w:r w:rsidR="00B20F1E" w:rsidRPr="000D2717">
              <w:rPr>
                <w:rFonts w:eastAsia="Calibri"/>
                <w:color w:val="000000"/>
                <w:lang w:val="es-ES"/>
              </w:rPr>
              <w:t xml:space="preserve"> que puedan considerar las administraciones. </w:t>
            </w:r>
            <w:r w:rsidR="00B20F1E">
              <w:rPr>
                <w:rFonts w:eastAsia="Calibri"/>
                <w:color w:val="000000"/>
                <w:lang w:val="es-ES"/>
              </w:rPr>
              <w:t>Dichos</w:t>
            </w:r>
            <w:r w:rsidR="00B20F1E" w:rsidRPr="000D2717">
              <w:rPr>
                <w:rFonts w:eastAsia="Calibri"/>
                <w:color w:val="000000"/>
                <w:lang w:val="es-ES"/>
              </w:rPr>
              <w:t xml:space="preserve"> mecanismos de compensación </w:t>
            </w:r>
            <w:r w:rsidR="00B20F1E">
              <w:rPr>
                <w:rFonts w:eastAsia="Calibri"/>
                <w:color w:val="000000"/>
                <w:lang w:val="es-ES"/>
              </w:rPr>
              <w:t>podrían</w:t>
            </w:r>
            <w:r w:rsidR="00B20F1E" w:rsidRPr="000D2717">
              <w:rPr>
                <w:rFonts w:eastAsia="Calibri"/>
                <w:color w:val="000000"/>
                <w:lang w:val="es-ES"/>
              </w:rPr>
              <w:t xml:space="preserve"> incluir acuerdos en </w:t>
            </w:r>
            <w:r w:rsidR="00B20F1E">
              <w:rPr>
                <w:rFonts w:eastAsia="Calibri"/>
                <w:color w:val="000000"/>
                <w:lang w:val="es-ES"/>
              </w:rPr>
              <w:t>virtud de los cuales</w:t>
            </w:r>
            <w:r w:rsidR="00B20F1E" w:rsidRPr="000D2717">
              <w:rPr>
                <w:rFonts w:eastAsia="Calibri"/>
                <w:color w:val="000000"/>
                <w:lang w:val="es-ES"/>
              </w:rPr>
              <w:t xml:space="preserve"> se destine una parte </w:t>
            </w:r>
            <w:r w:rsidR="00B20F1E">
              <w:rPr>
                <w:rFonts w:eastAsia="Calibri"/>
                <w:color w:val="000000"/>
                <w:lang w:val="es-ES"/>
              </w:rPr>
              <w:t>de los fondos obtenidos mediante</w:t>
            </w:r>
            <w:r w:rsidR="00B20F1E" w:rsidRPr="000D2717">
              <w:rPr>
                <w:rFonts w:eastAsia="Calibri"/>
                <w:color w:val="000000"/>
                <w:lang w:val="es-ES"/>
              </w:rPr>
              <w:t xml:space="preserve"> la adjudicación del espectro</w:t>
            </w:r>
            <w:r w:rsidR="00B20F1E">
              <w:rPr>
                <w:rFonts w:eastAsia="Calibri"/>
                <w:color w:val="000000"/>
                <w:lang w:val="es-ES"/>
              </w:rPr>
              <w:t xml:space="preserve"> de las</w:t>
            </w:r>
            <w:r w:rsidR="00B20F1E" w:rsidRPr="000D2717">
              <w:rPr>
                <w:rFonts w:eastAsia="Calibri"/>
                <w:color w:val="000000"/>
                <w:lang w:val="es-ES"/>
              </w:rPr>
              <w:t xml:space="preserve"> IMT en la banda de frecuencias 3</w:t>
            </w:r>
            <w:r w:rsidR="00B20F1E">
              <w:rPr>
                <w:rFonts w:eastAsia="Calibri"/>
                <w:color w:val="000000"/>
                <w:lang w:val="es-ES"/>
              </w:rPr>
              <w:t xml:space="preserve"> </w:t>
            </w:r>
            <w:r w:rsidR="00B20F1E" w:rsidRPr="000D2717">
              <w:rPr>
                <w:rFonts w:eastAsia="Calibri"/>
                <w:color w:val="000000"/>
                <w:lang w:val="es-ES"/>
              </w:rPr>
              <w:t xml:space="preserve">600 </w:t>
            </w:r>
            <w:r w:rsidR="00B20F1E">
              <w:rPr>
                <w:rFonts w:eastAsia="Calibri"/>
                <w:color w:val="000000"/>
                <w:lang w:val="es-ES"/>
              </w:rPr>
              <w:t>–</w:t>
            </w:r>
            <w:r w:rsidR="00B20F1E" w:rsidRPr="000D2717">
              <w:rPr>
                <w:rFonts w:eastAsia="Calibri"/>
                <w:color w:val="000000"/>
                <w:lang w:val="es-ES"/>
              </w:rPr>
              <w:t xml:space="preserve"> 3</w:t>
            </w:r>
            <w:r w:rsidR="00B20F1E">
              <w:rPr>
                <w:rFonts w:eastAsia="Calibri"/>
                <w:color w:val="000000"/>
                <w:lang w:val="es-ES"/>
              </w:rPr>
              <w:t xml:space="preserve"> </w:t>
            </w:r>
            <w:r w:rsidR="00B20F1E" w:rsidRPr="000D2717">
              <w:rPr>
                <w:rFonts w:eastAsia="Calibri"/>
                <w:color w:val="000000"/>
                <w:lang w:val="es-ES"/>
              </w:rPr>
              <w:t>800MHz a la sustitución de infraestructura</w:t>
            </w:r>
            <w:r w:rsidR="00B20F1E">
              <w:rPr>
                <w:rFonts w:eastAsia="Calibri"/>
                <w:color w:val="000000"/>
                <w:lang w:val="es-ES"/>
              </w:rPr>
              <w:t>s</w:t>
            </w:r>
            <w:r w:rsidR="00B20F1E" w:rsidRPr="000D2717">
              <w:rPr>
                <w:rFonts w:eastAsia="Calibri"/>
                <w:color w:val="000000"/>
                <w:lang w:val="es-ES"/>
              </w:rPr>
              <w:t xml:space="preserve"> </w:t>
            </w:r>
            <w:r>
              <w:rPr>
                <w:rFonts w:eastAsia="Calibri"/>
                <w:color w:val="000000"/>
                <w:lang w:val="es-ES"/>
              </w:rPr>
              <w:t>«</w:t>
            </w:r>
            <w:r w:rsidR="00B20F1E" w:rsidRPr="000D2717">
              <w:rPr>
                <w:rFonts w:eastAsia="Calibri"/>
                <w:color w:val="000000"/>
                <w:lang w:val="es-ES"/>
              </w:rPr>
              <w:t>obsoleta</w:t>
            </w:r>
            <w:r w:rsidR="00B20F1E">
              <w:rPr>
                <w:rFonts w:eastAsia="Calibri"/>
                <w:color w:val="000000"/>
                <w:lang w:val="es-ES"/>
              </w:rPr>
              <w:t>s</w:t>
            </w:r>
            <w:r>
              <w:rPr>
                <w:rFonts w:eastAsia="Calibri"/>
                <w:color w:val="000000"/>
                <w:lang w:val="es-ES"/>
              </w:rPr>
              <w:t>»</w:t>
            </w:r>
            <w:r w:rsidR="00B20F1E" w:rsidRPr="000D2717">
              <w:rPr>
                <w:rFonts w:eastAsia="Calibri"/>
                <w:color w:val="000000"/>
                <w:lang w:val="es-ES"/>
              </w:rPr>
              <w:t xml:space="preserve"> </w:t>
            </w:r>
            <w:r w:rsidR="00B20F1E">
              <w:rPr>
                <w:rFonts w:eastAsia="Calibri"/>
                <w:color w:val="000000"/>
                <w:lang w:val="es-ES"/>
              </w:rPr>
              <w:t>para</w:t>
            </w:r>
            <w:r w:rsidR="00B20F1E" w:rsidRPr="000D2717">
              <w:rPr>
                <w:rFonts w:eastAsia="Calibri"/>
                <w:color w:val="000000"/>
                <w:lang w:val="es-ES"/>
              </w:rPr>
              <w:t xml:space="preserve"> nuevas bandas de frecuencias por encima de 3</w:t>
            </w:r>
            <w:r>
              <w:rPr>
                <w:rFonts w:eastAsia="Calibri"/>
                <w:color w:val="000000"/>
                <w:lang w:val="es-ES"/>
              </w:rPr>
              <w:t> </w:t>
            </w:r>
            <w:r w:rsidR="00B20F1E" w:rsidRPr="000D2717">
              <w:rPr>
                <w:rFonts w:eastAsia="Calibri"/>
                <w:color w:val="000000"/>
                <w:lang w:val="es-ES"/>
              </w:rPr>
              <w:t>800MHz.</w:t>
            </w:r>
          </w:p>
          <w:p w14:paraId="2CFC7E60" w14:textId="258EF0B8" w:rsidR="00B20F1E" w:rsidRPr="000D2717" w:rsidRDefault="00CB3DB9" w:rsidP="00CB3DB9">
            <w:pPr>
              <w:pStyle w:val="Tabletext"/>
              <w:ind w:left="567" w:hanging="567"/>
              <w:rPr>
                <w:rFonts w:eastAsia="Calibri"/>
                <w:color w:val="000000"/>
                <w:lang w:val="es-ES"/>
              </w:rPr>
            </w:pPr>
            <w:r>
              <w:rPr>
                <w:rFonts w:eastAsia="Calibri"/>
                <w:color w:val="000000"/>
                <w:lang w:val="es-ES"/>
              </w:rPr>
              <w:tab/>
              <w:t>b)</w:t>
            </w:r>
            <w:r>
              <w:rPr>
                <w:rFonts w:eastAsia="Calibri"/>
                <w:color w:val="000000"/>
                <w:lang w:val="es-ES"/>
              </w:rPr>
              <w:tab/>
            </w:r>
            <w:r w:rsidR="00B20F1E">
              <w:rPr>
                <w:rFonts w:eastAsia="Calibri"/>
                <w:color w:val="000000"/>
                <w:lang w:val="es-ES"/>
              </w:rPr>
              <w:t>Por otro lado, el</w:t>
            </w:r>
            <w:r w:rsidR="00B20F1E" w:rsidRPr="000D2717">
              <w:rPr>
                <w:rFonts w:eastAsia="Calibri"/>
                <w:color w:val="000000"/>
                <w:lang w:val="es-ES"/>
              </w:rPr>
              <w:t xml:space="preserve"> Grupo de </w:t>
            </w:r>
            <w:r w:rsidR="00B20F1E">
              <w:rPr>
                <w:rFonts w:eastAsia="Calibri"/>
                <w:color w:val="000000"/>
                <w:lang w:val="es-ES"/>
              </w:rPr>
              <w:t xml:space="preserve">tareas especiales de la UAT </w:t>
            </w:r>
            <w:r w:rsidR="00B20F1E" w:rsidRPr="000D2717">
              <w:rPr>
                <w:rFonts w:eastAsia="Calibri"/>
                <w:color w:val="000000"/>
                <w:lang w:val="es-ES"/>
              </w:rPr>
              <w:t xml:space="preserve">determinaría y propondría un periodo de transición para </w:t>
            </w:r>
            <w:r w:rsidR="00B20F1E">
              <w:rPr>
                <w:rFonts w:eastAsia="Calibri"/>
                <w:color w:val="000000"/>
                <w:lang w:val="es-ES"/>
              </w:rPr>
              <w:t xml:space="preserve">someterlo al examen de </w:t>
            </w:r>
            <w:r w:rsidR="00B20F1E" w:rsidRPr="000D2717">
              <w:rPr>
                <w:rFonts w:eastAsia="Calibri"/>
                <w:color w:val="000000"/>
                <w:lang w:val="es-ES"/>
              </w:rPr>
              <w:t>las Administraciones</w:t>
            </w:r>
            <w:r w:rsidR="00B20F1E">
              <w:rPr>
                <w:rFonts w:eastAsia="Calibri"/>
                <w:color w:val="000000"/>
                <w:lang w:val="es-ES"/>
              </w:rPr>
              <w:t>,</w:t>
            </w:r>
            <w:r w:rsidR="00B20F1E" w:rsidRPr="000D2717">
              <w:rPr>
                <w:rFonts w:eastAsia="Calibri"/>
                <w:color w:val="000000"/>
                <w:lang w:val="es-ES"/>
              </w:rPr>
              <w:t xml:space="preserve"> </w:t>
            </w:r>
            <w:r w:rsidR="00B20F1E">
              <w:rPr>
                <w:rFonts w:eastAsia="Calibri"/>
                <w:color w:val="000000"/>
                <w:lang w:val="es-ES"/>
              </w:rPr>
              <w:t>a lo largo del cual</w:t>
            </w:r>
            <w:r w:rsidR="00B20F1E" w:rsidRPr="000D2717">
              <w:rPr>
                <w:rFonts w:eastAsia="Calibri"/>
                <w:color w:val="000000"/>
                <w:lang w:val="es-ES"/>
              </w:rPr>
              <w:t xml:space="preserve"> los servicios </w:t>
            </w:r>
            <w:r w:rsidR="00B20F1E">
              <w:rPr>
                <w:rFonts w:eastAsia="Calibri"/>
                <w:color w:val="000000"/>
                <w:lang w:val="es-ES"/>
              </w:rPr>
              <w:t xml:space="preserve">de las </w:t>
            </w:r>
            <w:r w:rsidR="00B20F1E" w:rsidRPr="000D2717">
              <w:rPr>
                <w:rFonts w:eastAsia="Calibri"/>
                <w:color w:val="000000"/>
                <w:lang w:val="es-ES"/>
              </w:rPr>
              <w:t xml:space="preserve">IMT no se </w:t>
            </w:r>
            <w:r w:rsidR="00B20F1E">
              <w:rPr>
                <w:rFonts w:eastAsia="Calibri"/>
                <w:color w:val="000000"/>
                <w:lang w:val="es-ES"/>
              </w:rPr>
              <w:t>desplegarían</w:t>
            </w:r>
            <w:r w:rsidR="00B20F1E" w:rsidRPr="000D2717">
              <w:rPr>
                <w:rFonts w:eastAsia="Calibri"/>
                <w:color w:val="000000"/>
                <w:lang w:val="es-ES"/>
              </w:rPr>
              <w:t xml:space="preserve"> </w:t>
            </w:r>
            <w:r w:rsidR="00B20F1E">
              <w:rPr>
                <w:rFonts w:eastAsia="Calibri"/>
                <w:color w:val="000000"/>
                <w:lang w:val="es-ES"/>
              </w:rPr>
              <w:t>a menos de una</w:t>
            </w:r>
            <w:r w:rsidR="00B20F1E" w:rsidRPr="000D2717">
              <w:rPr>
                <w:rFonts w:eastAsia="Calibri"/>
                <w:color w:val="000000"/>
                <w:lang w:val="es-ES"/>
              </w:rPr>
              <w:t xml:space="preserve"> </w:t>
            </w:r>
            <w:r w:rsidR="00B20F1E">
              <w:rPr>
                <w:rFonts w:eastAsia="Calibri"/>
                <w:color w:val="000000"/>
                <w:lang w:val="es-ES"/>
              </w:rPr>
              <w:t xml:space="preserve">distancia </w:t>
            </w:r>
            <w:r w:rsidR="00B20F1E" w:rsidRPr="000D2717">
              <w:rPr>
                <w:rFonts w:eastAsia="Calibri"/>
                <w:color w:val="000000"/>
                <w:lang w:val="es-ES"/>
              </w:rPr>
              <w:t xml:space="preserve">de instalaciones </w:t>
            </w:r>
            <w:r w:rsidR="00B20F1E">
              <w:rPr>
                <w:rFonts w:eastAsia="Calibri"/>
                <w:color w:val="000000"/>
                <w:lang w:val="es-ES"/>
              </w:rPr>
              <w:t>aeronáuticas fijada previamente</w:t>
            </w:r>
            <w:r w:rsidR="00B20F1E" w:rsidRPr="000D2717">
              <w:rPr>
                <w:rFonts w:eastAsia="Calibri"/>
                <w:color w:val="000000"/>
                <w:lang w:val="es-ES"/>
              </w:rPr>
              <w:t xml:space="preserve"> (zonas de exclusión)</w:t>
            </w:r>
            <w:r w:rsidR="00B20F1E">
              <w:rPr>
                <w:rFonts w:eastAsia="Calibri"/>
                <w:color w:val="000000"/>
                <w:lang w:val="es-ES"/>
              </w:rPr>
              <w:t>, con objeto de</w:t>
            </w:r>
            <w:r w:rsidR="00B20F1E" w:rsidRPr="000D2717">
              <w:rPr>
                <w:rFonts w:eastAsia="Calibri"/>
                <w:color w:val="000000"/>
                <w:lang w:val="es-ES"/>
              </w:rPr>
              <w:t xml:space="preserve"> proteger los </w:t>
            </w:r>
            <w:r w:rsidR="00B20F1E">
              <w:rPr>
                <w:rFonts w:eastAsia="Calibri"/>
                <w:color w:val="000000"/>
                <w:lang w:val="es-ES"/>
              </w:rPr>
              <w:t xml:space="preserve">actuales </w:t>
            </w:r>
            <w:r w:rsidR="00B20F1E" w:rsidRPr="000D2717">
              <w:rPr>
                <w:rFonts w:eastAsia="Calibri"/>
                <w:color w:val="000000"/>
                <w:lang w:val="es-ES"/>
              </w:rPr>
              <w:t xml:space="preserve">servicios </w:t>
            </w:r>
            <w:r w:rsidR="00B20F1E">
              <w:rPr>
                <w:rFonts w:eastAsia="Calibri"/>
                <w:color w:val="000000"/>
                <w:lang w:val="es-ES"/>
              </w:rPr>
              <w:t xml:space="preserve">de </w:t>
            </w:r>
            <w:r w:rsidR="00B20F1E" w:rsidRPr="000D2717">
              <w:rPr>
                <w:rFonts w:eastAsia="Calibri"/>
                <w:color w:val="000000"/>
                <w:lang w:val="es-ES"/>
              </w:rPr>
              <w:t xml:space="preserve">comunicaciones </w:t>
            </w:r>
            <w:r w:rsidR="00B20F1E">
              <w:rPr>
                <w:rFonts w:eastAsia="Calibri"/>
                <w:color w:val="000000"/>
                <w:lang w:val="es-ES"/>
              </w:rPr>
              <w:t>para la</w:t>
            </w:r>
            <w:r w:rsidR="00B20F1E" w:rsidRPr="000D2717">
              <w:rPr>
                <w:rFonts w:eastAsia="Calibri"/>
                <w:color w:val="000000"/>
                <w:lang w:val="es-ES"/>
              </w:rPr>
              <w:t xml:space="preserve"> seguridad de la vida</w:t>
            </w:r>
            <w:r w:rsidR="00B20F1E">
              <w:rPr>
                <w:rFonts w:eastAsia="Calibri"/>
                <w:color w:val="000000"/>
                <w:lang w:val="es-ES"/>
              </w:rPr>
              <w:t xml:space="preserve"> humana</w:t>
            </w:r>
            <w:r w:rsidR="00B20F1E" w:rsidRPr="000D2717">
              <w:rPr>
                <w:rFonts w:eastAsia="Calibri"/>
                <w:color w:val="000000"/>
                <w:lang w:val="es-ES"/>
              </w:rPr>
              <w:t>.</w:t>
            </w:r>
          </w:p>
          <w:p w14:paraId="6D88EF15" w14:textId="77777777" w:rsidR="00B20F1E" w:rsidRPr="00F64EDA" w:rsidRDefault="00B20F1E" w:rsidP="0056026E">
            <w:pPr>
              <w:pStyle w:val="Tabletext"/>
              <w:rPr>
                <w:rFonts w:eastAsia="Calibri"/>
                <w:i/>
                <w:u w:val="single"/>
                <w:lang w:val="es-ES"/>
              </w:rPr>
            </w:pPr>
            <w:r w:rsidRPr="00F64EDA">
              <w:rPr>
                <w:rFonts w:eastAsia="Calibri"/>
                <w:i/>
                <w:u w:val="single"/>
                <w:lang w:val="es-ES"/>
              </w:rPr>
              <w:t>Parte 2: Medidas propuestas</w:t>
            </w:r>
          </w:p>
          <w:p w14:paraId="3948DA09" w14:textId="77777777" w:rsidR="00B20F1E" w:rsidRPr="00CB3DB9" w:rsidRDefault="00B20F1E" w:rsidP="0056026E">
            <w:pPr>
              <w:pStyle w:val="Tabletext"/>
              <w:rPr>
                <w:rFonts w:eastAsia="Calibri"/>
                <w:b/>
                <w:bCs/>
                <w:color w:val="000000"/>
                <w:lang w:val="es-ES"/>
              </w:rPr>
            </w:pPr>
            <w:r w:rsidRPr="00CB3DB9">
              <w:rPr>
                <w:rFonts w:eastAsia="Calibri"/>
                <w:b/>
                <w:bCs/>
                <w:i/>
                <w:color w:val="000000"/>
                <w:lang w:val="es-ES"/>
              </w:rPr>
              <w:t>Solicitar a las administraciones de la UAT que:</w:t>
            </w:r>
          </w:p>
          <w:p w14:paraId="3AE16A34" w14:textId="77777777" w:rsidR="00B20F1E" w:rsidRPr="000D2717" w:rsidRDefault="00B20F1E" w:rsidP="0056026E">
            <w:pPr>
              <w:pStyle w:val="Tabletext"/>
              <w:rPr>
                <w:rFonts w:eastAsia="Calibri"/>
                <w:i/>
                <w:color w:val="000000"/>
                <w:lang w:val="es-ES"/>
              </w:rPr>
            </w:pPr>
            <w:r w:rsidRPr="00CB3DB9">
              <w:rPr>
                <w:rFonts w:eastAsia="Calibri"/>
                <w:b/>
                <w:bCs/>
                <w:color w:val="000000"/>
                <w:lang w:val="es-ES"/>
              </w:rPr>
              <w:t>Apoyen</w:t>
            </w:r>
            <w:r w:rsidRPr="000D2717">
              <w:rPr>
                <w:rFonts w:eastAsia="Calibri"/>
                <w:color w:val="000000"/>
                <w:lang w:val="es-ES"/>
              </w:rPr>
              <w:t xml:space="preserve"> la </w:t>
            </w:r>
            <w:r>
              <w:rPr>
                <w:rFonts w:eastAsia="Calibri"/>
                <w:color w:val="000000"/>
                <w:lang w:val="es-ES"/>
              </w:rPr>
              <w:t>AFCP</w:t>
            </w:r>
            <w:r w:rsidRPr="000D2717">
              <w:rPr>
                <w:rFonts w:eastAsia="Calibri"/>
                <w:color w:val="000000"/>
                <w:lang w:val="es-ES"/>
              </w:rPr>
              <w:t xml:space="preserve"> en </w:t>
            </w:r>
            <w:r>
              <w:rPr>
                <w:rFonts w:eastAsia="Calibri"/>
                <w:color w:val="000000"/>
                <w:lang w:val="es-ES"/>
              </w:rPr>
              <w:t>relación con este</w:t>
            </w:r>
            <w:r w:rsidRPr="000D2717">
              <w:rPr>
                <w:rFonts w:eastAsia="Calibri"/>
                <w:color w:val="000000"/>
                <w:lang w:val="es-ES"/>
              </w:rPr>
              <w:t xml:space="preserve"> punto del orden del día.</w:t>
            </w:r>
          </w:p>
        </w:tc>
      </w:tr>
      <w:tr w:rsidR="00B20F1E" w:rsidRPr="00B707C8" w14:paraId="55546EB7" w14:textId="77777777" w:rsidTr="00DB48C6">
        <w:trPr>
          <w:jc w:val="center"/>
        </w:trPr>
        <w:tc>
          <w:tcPr>
            <w:tcW w:w="3114" w:type="dxa"/>
          </w:tcPr>
          <w:p w14:paraId="3F0ABC6C" w14:textId="77777777" w:rsidR="00B20F1E" w:rsidRPr="00CB3DB9" w:rsidRDefault="00B20F1E" w:rsidP="0056026E">
            <w:pPr>
              <w:pStyle w:val="Tabletext"/>
              <w:rPr>
                <w:rFonts w:eastAsia="Calibri"/>
                <w:b/>
                <w:bCs/>
                <w:i/>
                <w:lang w:val="es-ES"/>
              </w:rPr>
            </w:pPr>
            <w:r w:rsidRPr="00CB3DB9">
              <w:rPr>
                <w:rFonts w:eastAsia="Calibri"/>
                <w:b/>
                <w:bCs/>
                <w:lang w:val="es-ES"/>
              </w:rPr>
              <w:t xml:space="preserve">Punto </w:t>
            </w:r>
            <w:r w:rsidRPr="00CB3DB9">
              <w:rPr>
                <w:rFonts w:eastAsia="Calibri"/>
                <w:b/>
                <w:bCs/>
                <w:i/>
                <w:lang w:val="es-ES"/>
              </w:rPr>
              <w:t>1.4</w:t>
            </w:r>
          </w:p>
          <w:p w14:paraId="19EB6303" w14:textId="77777777" w:rsidR="00B20F1E" w:rsidRPr="000D2717" w:rsidRDefault="00B20F1E" w:rsidP="0056026E">
            <w:pPr>
              <w:pStyle w:val="Tabletext"/>
              <w:rPr>
                <w:rFonts w:eastAsia="Calibri"/>
                <w:i/>
                <w:lang w:val="es-ES"/>
              </w:rPr>
            </w:pPr>
            <w:r>
              <w:rPr>
                <w:rFonts w:eastAsia="Calibri"/>
                <w:color w:val="000000"/>
                <w:lang w:val="es-ES"/>
              </w:rPr>
              <w:t>C</w:t>
            </w:r>
            <w:r w:rsidRPr="00F64EDA">
              <w:rPr>
                <w:rFonts w:eastAsia="Calibri"/>
                <w:color w:val="000000"/>
                <w:lang w:val="es-ES"/>
              </w:rPr>
              <w:t xml:space="preserve">onsiderar, de conformidad con la </w:t>
            </w:r>
            <w:r w:rsidRPr="007F5036">
              <w:rPr>
                <w:rFonts w:eastAsia="Calibri"/>
                <w:bCs/>
                <w:color w:val="000000"/>
                <w:lang w:val="es-ES"/>
              </w:rPr>
              <w:t xml:space="preserve">Resolución </w:t>
            </w:r>
            <w:r w:rsidRPr="001113C8">
              <w:rPr>
                <w:rFonts w:eastAsia="Calibri"/>
                <w:b/>
                <w:color w:val="000000"/>
                <w:lang w:val="es-ES"/>
              </w:rPr>
              <w:t>247 (CMR-19)</w:t>
            </w:r>
            <w:r w:rsidRPr="00F64EDA">
              <w:rPr>
                <w:rFonts w:eastAsia="Calibri"/>
                <w:color w:val="000000"/>
                <w:lang w:val="es-ES"/>
              </w:rPr>
              <w:t xml:space="preserve">, la utilización de estaciones en plataformas a gran altitud como estaciones de base </w:t>
            </w:r>
            <w:r w:rsidRPr="001113C8">
              <w:rPr>
                <w:rFonts w:eastAsia="Calibri"/>
                <w:b/>
                <w:bCs/>
                <w:color w:val="000000"/>
                <w:lang w:val="es-ES"/>
              </w:rPr>
              <w:t>IMT</w:t>
            </w:r>
            <w:r w:rsidRPr="00F64EDA">
              <w:rPr>
                <w:rFonts w:eastAsia="Calibri"/>
                <w:color w:val="000000"/>
                <w:lang w:val="es-ES"/>
              </w:rPr>
              <w:t xml:space="preserve"> (</w:t>
            </w:r>
            <w:r w:rsidRPr="001113C8">
              <w:rPr>
                <w:rFonts w:eastAsia="Calibri"/>
                <w:b/>
                <w:bCs/>
                <w:color w:val="000000"/>
                <w:lang w:val="es-ES"/>
              </w:rPr>
              <w:t>HIBS</w:t>
            </w:r>
            <w:r w:rsidRPr="00F64EDA">
              <w:rPr>
                <w:rFonts w:eastAsia="Calibri"/>
                <w:color w:val="000000"/>
                <w:lang w:val="es-ES"/>
              </w:rPr>
              <w:t xml:space="preserve">) del servicio móvil en ciertas bandas de frecuencias por debajo de 2,7 GHz ya identificadas para las IMT, a </w:t>
            </w:r>
            <w:r>
              <w:rPr>
                <w:rFonts w:eastAsia="Calibri"/>
                <w:color w:val="000000"/>
                <w:lang w:val="es-ES"/>
              </w:rPr>
              <w:t>escala</w:t>
            </w:r>
            <w:r w:rsidRPr="00F64EDA">
              <w:rPr>
                <w:rFonts w:eastAsia="Calibri"/>
                <w:color w:val="000000"/>
                <w:lang w:val="es-ES"/>
              </w:rPr>
              <w:t xml:space="preserve"> mundial o regional</w:t>
            </w:r>
            <w:r w:rsidRPr="000D2717">
              <w:rPr>
                <w:rFonts w:eastAsia="Calibri"/>
                <w:color w:val="000000"/>
                <w:lang w:val="es-ES"/>
              </w:rPr>
              <w:t>.</w:t>
            </w:r>
          </w:p>
        </w:tc>
        <w:tc>
          <w:tcPr>
            <w:tcW w:w="6662" w:type="dxa"/>
          </w:tcPr>
          <w:p w14:paraId="76423384" w14:textId="77777777" w:rsidR="00B20F1E" w:rsidRPr="000D2717" w:rsidRDefault="00B20F1E" w:rsidP="0056026E">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64BF4F74" w14:textId="77777777" w:rsidR="00B20F1E" w:rsidRPr="000D2717" w:rsidRDefault="00B20F1E" w:rsidP="0056026E">
            <w:pPr>
              <w:pStyle w:val="Tabletext"/>
              <w:rPr>
                <w:rFonts w:eastAsia="Calibri"/>
                <w:lang w:val="es-ES"/>
              </w:rPr>
            </w:pPr>
            <w:r w:rsidRPr="001113C8">
              <w:rPr>
                <w:rFonts w:eastAsia="Calibri"/>
                <w:b/>
                <w:bCs/>
                <w:lang w:val="es-ES"/>
              </w:rPr>
              <w:t>Apoyar los métodos A3, B3, C3 y D3</w:t>
            </w:r>
            <w:r>
              <w:rPr>
                <w:rFonts w:eastAsia="Calibri"/>
                <w:lang w:val="es-ES"/>
              </w:rPr>
              <w:t xml:space="preserve">, </w:t>
            </w:r>
            <w:r w:rsidRPr="007F5036">
              <w:rPr>
                <w:rFonts w:eastAsia="Calibri"/>
                <w:bCs/>
                <w:lang w:val="es-ES"/>
              </w:rPr>
              <w:t>en virtud de los cuales se</w:t>
            </w:r>
            <w:r>
              <w:rPr>
                <w:rFonts w:eastAsia="Calibri"/>
                <w:lang w:val="es-ES"/>
              </w:rPr>
              <w:t xml:space="preserve"> </w:t>
            </w:r>
            <w:r w:rsidRPr="000D2717">
              <w:rPr>
                <w:rFonts w:eastAsia="Calibri"/>
                <w:lang w:val="es-ES"/>
              </w:rPr>
              <w:t xml:space="preserve">identifican las siguientes bandas de frecuencias para su </w:t>
            </w:r>
            <w:r>
              <w:rPr>
                <w:rFonts w:eastAsia="Calibri"/>
                <w:lang w:val="es-ES"/>
              </w:rPr>
              <w:t>utilización</w:t>
            </w:r>
            <w:r w:rsidRPr="000D2717">
              <w:rPr>
                <w:rFonts w:eastAsia="Calibri"/>
                <w:lang w:val="es-ES"/>
              </w:rPr>
              <w:t xml:space="preserve"> por estaciones </w:t>
            </w:r>
            <w:r>
              <w:rPr>
                <w:rFonts w:eastAsia="Calibri"/>
                <w:lang w:val="es-ES"/>
              </w:rPr>
              <w:t>en</w:t>
            </w:r>
            <w:r w:rsidRPr="000D2717">
              <w:rPr>
                <w:rFonts w:eastAsia="Calibri"/>
                <w:lang w:val="es-ES"/>
              </w:rPr>
              <w:t xml:space="preserve"> plataforma</w:t>
            </w:r>
            <w:r>
              <w:rPr>
                <w:rFonts w:eastAsia="Calibri"/>
                <w:lang w:val="es-ES"/>
              </w:rPr>
              <w:t>s</w:t>
            </w:r>
            <w:r w:rsidRPr="000D2717">
              <w:rPr>
                <w:rFonts w:eastAsia="Calibri"/>
                <w:lang w:val="es-ES"/>
              </w:rPr>
              <w:t xml:space="preserve"> a gran altitud como estaciones base de </w:t>
            </w:r>
            <w:r>
              <w:rPr>
                <w:rFonts w:eastAsia="Calibri"/>
                <w:lang w:val="es-ES"/>
              </w:rPr>
              <w:t xml:space="preserve">las </w:t>
            </w:r>
            <w:r w:rsidRPr="000D2717">
              <w:rPr>
                <w:rFonts w:eastAsia="Calibri"/>
                <w:lang w:val="es-ES"/>
              </w:rPr>
              <w:t>Telecomunicaciones Móviles Internacionales (IMT) (HIBS)</w:t>
            </w:r>
            <w:r>
              <w:rPr>
                <w:rFonts w:eastAsia="Calibri"/>
                <w:lang w:val="es-ES"/>
              </w:rPr>
              <w:t>,</w:t>
            </w:r>
            <w:r w:rsidRPr="000D2717">
              <w:rPr>
                <w:rFonts w:eastAsia="Calibri"/>
                <w:lang w:val="es-ES"/>
              </w:rPr>
              <w:t xml:space="preserve"> con </w:t>
            </w:r>
            <w:r>
              <w:rPr>
                <w:rFonts w:eastAsia="Calibri"/>
                <w:lang w:val="es-ES"/>
              </w:rPr>
              <w:t>arreglo a las</w:t>
            </w:r>
            <w:r w:rsidRPr="000D2717">
              <w:rPr>
                <w:rFonts w:eastAsia="Calibri"/>
                <w:lang w:val="es-ES"/>
              </w:rPr>
              <w:t xml:space="preserve"> correspondientes condiciones: </w:t>
            </w:r>
          </w:p>
          <w:p w14:paraId="1A5802C3" w14:textId="2EBB20D2" w:rsidR="00B20F1E" w:rsidRPr="001113C8" w:rsidRDefault="00B20F1E" w:rsidP="0056026E">
            <w:pPr>
              <w:pStyle w:val="Tabletext"/>
              <w:rPr>
                <w:rFonts w:eastAsia="Calibri"/>
                <w:b/>
                <w:bCs/>
                <w:lang w:val="es-ES"/>
              </w:rPr>
            </w:pPr>
            <w:r w:rsidRPr="001113C8">
              <w:rPr>
                <w:rFonts w:eastAsia="Calibri"/>
                <w:b/>
                <w:bCs/>
                <w:lang w:val="es-ES"/>
              </w:rPr>
              <w:t>Banda de frecuencias 694-960 MHz</w:t>
            </w:r>
          </w:p>
          <w:p w14:paraId="3D6EC2B7" w14:textId="51334EDD" w:rsidR="00B20F1E" w:rsidRPr="000D2717" w:rsidRDefault="009D15ED" w:rsidP="009D15ED">
            <w:pPr>
              <w:pStyle w:val="Tabletext"/>
              <w:ind w:left="284" w:hanging="284"/>
              <w:rPr>
                <w:rFonts w:eastAsia="Calibri"/>
                <w:lang w:val="es-ES"/>
              </w:rPr>
            </w:pPr>
            <w:r>
              <w:rPr>
                <w:rFonts w:eastAsia="Calibri"/>
                <w:lang w:val="es-ES"/>
              </w:rPr>
              <w:t>1</w:t>
            </w:r>
            <w:r>
              <w:rPr>
                <w:rFonts w:eastAsia="Calibri"/>
                <w:lang w:val="es-ES"/>
              </w:rPr>
              <w:tab/>
            </w:r>
            <w:r w:rsidR="00B20F1E" w:rsidRPr="000D2717">
              <w:rPr>
                <w:rFonts w:eastAsia="Calibri"/>
                <w:lang w:val="es-ES"/>
              </w:rPr>
              <w:t>para la protección de</w:t>
            </w:r>
            <w:r w:rsidR="00B20F1E">
              <w:rPr>
                <w:rFonts w:eastAsia="Calibri"/>
                <w:lang w:val="es-ES"/>
              </w:rPr>
              <w:t>l servicio de</w:t>
            </w:r>
            <w:r w:rsidR="00B20F1E" w:rsidRPr="000D2717">
              <w:rPr>
                <w:rFonts w:eastAsia="Calibri"/>
                <w:lang w:val="es-ES"/>
              </w:rPr>
              <w:t xml:space="preserve"> radiodifusión en la zona del </w:t>
            </w:r>
            <w:r w:rsidR="00B20F1E">
              <w:rPr>
                <w:rFonts w:eastAsia="Calibri"/>
                <w:lang w:val="es-ES"/>
              </w:rPr>
              <w:t>A</w:t>
            </w:r>
            <w:r w:rsidR="00B20F1E" w:rsidRPr="000D2717">
              <w:rPr>
                <w:rFonts w:eastAsia="Calibri"/>
                <w:lang w:val="es-ES"/>
              </w:rPr>
              <w:t xml:space="preserve">cuerdo GE06: </w:t>
            </w:r>
            <w:r w:rsidR="00B20F1E" w:rsidRPr="009D15ED">
              <w:rPr>
                <w:rFonts w:eastAsia="Calibri"/>
                <w:b/>
                <w:bCs/>
                <w:lang w:val="es-ES"/>
              </w:rPr>
              <w:t xml:space="preserve">Ejemplo 2 para los </w:t>
            </w:r>
            <w:r w:rsidR="00B20F1E" w:rsidRPr="009D15ED">
              <w:rPr>
                <w:rFonts w:eastAsia="Calibri"/>
                <w:b/>
                <w:bCs/>
                <w:i/>
                <w:iCs/>
                <w:lang w:val="es-ES"/>
              </w:rPr>
              <w:t>resuelve</w:t>
            </w:r>
            <w:r w:rsidR="00B20F1E" w:rsidRPr="009D15ED">
              <w:rPr>
                <w:rFonts w:eastAsia="Calibri"/>
                <w:b/>
                <w:bCs/>
                <w:lang w:val="es-ES"/>
              </w:rPr>
              <w:t xml:space="preserve"> 3 a 5</w:t>
            </w:r>
            <w:r w:rsidR="00B20F1E" w:rsidRPr="000D2717">
              <w:rPr>
                <w:rFonts w:eastAsia="Calibri"/>
                <w:lang w:val="es-ES"/>
              </w:rPr>
              <w:t xml:space="preserve"> del proyecto de resolución </w:t>
            </w:r>
            <w:r w:rsidR="00B20F1E">
              <w:rPr>
                <w:rFonts w:eastAsia="Calibri"/>
                <w:lang w:val="es-ES"/>
              </w:rPr>
              <w:t>relativo al</w:t>
            </w:r>
            <w:r w:rsidR="00B20F1E" w:rsidRPr="000D2717">
              <w:rPr>
                <w:rFonts w:eastAsia="Calibri"/>
                <w:lang w:val="es-ES"/>
              </w:rPr>
              <w:t xml:space="preserve"> método A3;</w:t>
            </w:r>
          </w:p>
          <w:p w14:paraId="5D30B215" w14:textId="4BE33F56" w:rsidR="00B20F1E" w:rsidRPr="000D2717" w:rsidRDefault="009D15ED" w:rsidP="009D15ED">
            <w:pPr>
              <w:pStyle w:val="Tabletext"/>
              <w:ind w:left="284" w:hanging="284"/>
              <w:rPr>
                <w:rFonts w:eastAsia="Calibri"/>
                <w:lang w:val="es-ES"/>
              </w:rPr>
            </w:pPr>
            <w:r>
              <w:rPr>
                <w:rFonts w:eastAsia="Calibri"/>
                <w:lang w:val="es-ES"/>
              </w:rPr>
              <w:t>2</w:t>
            </w:r>
            <w:r>
              <w:rPr>
                <w:rFonts w:eastAsia="Calibri"/>
                <w:lang w:val="es-ES"/>
              </w:rPr>
              <w:tab/>
            </w:r>
            <w:r w:rsidR="00B20F1E" w:rsidRPr="000D2717">
              <w:rPr>
                <w:rFonts w:eastAsia="Calibri"/>
                <w:lang w:val="es-ES"/>
              </w:rPr>
              <w:t xml:space="preserve">para la protección de las estaciones </w:t>
            </w:r>
            <w:r w:rsidR="00B20F1E">
              <w:rPr>
                <w:rFonts w:eastAsia="Calibri"/>
                <w:lang w:val="es-ES"/>
              </w:rPr>
              <w:t xml:space="preserve">base y móviles de las </w:t>
            </w:r>
            <w:r w:rsidR="00B20F1E" w:rsidRPr="000D2717">
              <w:rPr>
                <w:rFonts w:eastAsia="Calibri"/>
                <w:lang w:val="es-ES"/>
              </w:rPr>
              <w:t xml:space="preserve">IMT: </w:t>
            </w:r>
            <w:r w:rsidR="00B20F1E" w:rsidRPr="009D15ED">
              <w:rPr>
                <w:rFonts w:eastAsia="Calibri"/>
                <w:b/>
                <w:bCs/>
                <w:lang w:val="es-ES"/>
              </w:rPr>
              <w:t xml:space="preserve">Ejemplo 2 para los </w:t>
            </w:r>
            <w:r w:rsidR="00B20F1E" w:rsidRPr="009D15ED">
              <w:rPr>
                <w:rFonts w:eastAsia="Calibri"/>
                <w:b/>
                <w:bCs/>
                <w:i/>
                <w:iCs/>
                <w:lang w:val="es-ES"/>
              </w:rPr>
              <w:t>resuelve</w:t>
            </w:r>
            <w:r w:rsidR="00B20F1E" w:rsidRPr="009D15ED">
              <w:rPr>
                <w:rFonts w:eastAsia="Calibri"/>
                <w:b/>
                <w:bCs/>
                <w:lang w:val="es-ES"/>
              </w:rPr>
              <w:t xml:space="preserve"> 6.1 y 6.2</w:t>
            </w:r>
            <w:r w:rsidR="00B20F1E" w:rsidRPr="000D2717">
              <w:rPr>
                <w:rFonts w:eastAsia="Calibri"/>
                <w:lang w:val="es-ES"/>
              </w:rPr>
              <w:t xml:space="preserve"> del proyecto de resolución </w:t>
            </w:r>
            <w:r w:rsidR="00B20F1E">
              <w:rPr>
                <w:rFonts w:eastAsia="Calibri"/>
                <w:lang w:val="es-ES"/>
              </w:rPr>
              <w:t>relativo al</w:t>
            </w:r>
            <w:r w:rsidR="00B20F1E" w:rsidRPr="000D2717">
              <w:rPr>
                <w:rFonts w:eastAsia="Calibri"/>
                <w:lang w:val="es-ES"/>
              </w:rPr>
              <w:t xml:space="preserve"> método</w:t>
            </w:r>
            <w:r>
              <w:rPr>
                <w:rFonts w:eastAsia="Calibri"/>
                <w:lang w:val="es-ES"/>
              </w:rPr>
              <w:t> </w:t>
            </w:r>
            <w:r w:rsidR="00B20F1E" w:rsidRPr="000D2717">
              <w:rPr>
                <w:rFonts w:eastAsia="Calibri"/>
                <w:lang w:val="es-ES"/>
              </w:rPr>
              <w:t>A3;</w:t>
            </w:r>
          </w:p>
          <w:p w14:paraId="302CB409" w14:textId="4BF29721" w:rsidR="00B20F1E" w:rsidRPr="000D2717" w:rsidRDefault="009D15ED" w:rsidP="009D15ED">
            <w:pPr>
              <w:pStyle w:val="Tabletext"/>
              <w:ind w:left="284" w:hanging="284"/>
              <w:rPr>
                <w:rFonts w:eastAsia="Calibri"/>
                <w:color w:val="000000"/>
                <w:lang w:val="es-ES"/>
              </w:rPr>
            </w:pPr>
            <w:r>
              <w:rPr>
                <w:rFonts w:eastAsia="Calibri"/>
                <w:color w:val="000000"/>
                <w:lang w:val="es-ES"/>
              </w:rPr>
              <w:t>3</w:t>
            </w:r>
            <w:r>
              <w:rPr>
                <w:rFonts w:eastAsia="Calibri"/>
                <w:color w:val="000000"/>
                <w:lang w:val="es-ES"/>
              </w:rPr>
              <w:tab/>
            </w:r>
            <w:r w:rsidR="00B20F1E">
              <w:rPr>
                <w:rFonts w:eastAsia="Calibri"/>
                <w:color w:val="000000"/>
                <w:lang w:val="es-ES"/>
              </w:rPr>
              <w:t>p</w:t>
            </w:r>
            <w:r w:rsidR="00B20F1E" w:rsidRPr="000D2717">
              <w:rPr>
                <w:rFonts w:eastAsia="Calibri"/>
                <w:color w:val="000000"/>
                <w:lang w:val="es-ES"/>
              </w:rPr>
              <w:t xml:space="preserve">ara </w:t>
            </w:r>
            <w:r w:rsidR="00B20F1E">
              <w:rPr>
                <w:rFonts w:eastAsia="Calibri"/>
                <w:color w:val="000000"/>
                <w:lang w:val="es-ES"/>
              </w:rPr>
              <w:t>la protección del servicio de</w:t>
            </w:r>
            <w:r w:rsidR="00B20F1E" w:rsidRPr="000D2717">
              <w:rPr>
                <w:rFonts w:eastAsia="Calibri"/>
                <w:color w:val="000000"/>
                <w:lang w:val="es-ES"/>
              </w:rPr>
              <w:t xml:space="preserve"> radioastronomía en la banda de frecuencias 1 610,3</w:t>
            </w:r>
            <w:r>
              <w:rPr>
                <w:rFonts w:eastAsia="Calibri"/>
                <w:color w:val="000000"/>
                <w:lang w:val="es-ES"/>
              </w:rPr>
              <w:t>-</w:t>
            </w:r>
            <w:r w:rsidR="00B20F1E" w:rsidRPr="000D2717">
              <w:rPr>
                <w:rFonts w:eastAsia="Calibri"/>
                <w:color w:val="000000"/>
                <w:lang w:val="es-ES"/>
              </w:rPr>
              <w:t xml:space="preserve">1 613,6 MHz </w:t>
            </w:r>
            <w:r w:rsidR="00B20F1E">
              <w:rPr>
                <w:rFonts w:eastAsia="Calibri"/>
                <w:color w:val="000000"/>
                <w:lang w:val="es-ES"/>
              </w:rPr>
              <w:t>frente a</w:t>
            </w:r>
            <w:r w:rsidR="00B20F1E" w:rsidRPr="000D2717">
              <w:rPr>
                <w:rFonts w:eastAsia="Calibri"/>
                <w:color w:val="000000"/>
                <w:lang w:val="es-ES"/>
              </w:rPr>
              <w:t xml:space="preserve"> los segundos armónicos de </w:t>
            </w:r>
            <w:r w:rsidR="00B20F1E">
              <w:rPr>
                <w:rFonts w:eastAsia="Calibri"/>
                <w:color w:val="000000"/>
                <w:lang w:val="es-ES"/>
              </w:rPr>
              <w:t>las</w:t>
            </w:r>
            <w:r w:rsidR="00B20F1E" w:rsidRPr="000D2717">
              <w:rPr>
                <w:rFonts w:eastAsia="Calibri"/>
                <w:color w:val="000000"/>
                <w:lang w:val="es-ES"/>
              </w:rPr>
              <w:t xml:space="preserve"> HIBS en la banda de frecuencias 694</w:t>
            </w:r>
            <w:r w:rsidR="007D7EC9">
              <w:rPr>
                <w:rFonts w:eastAsia="Calibri"/>
                <w:color w:val="000000"/>
                <w:lang w:val="es-ES"/>
              </w:rPr>
              <w:t>-</w:t>
            </w:r>
            <w:r w:rsidR="00B20F1E" w:rsidRPr="000D2717">
              <w:rPr>
                <w:rFonts w:eastAsia="Calibri"/>
                <w:color w:val="000000"/>
                <w:lang w:val="es-ES"/>
              </w:rPr>
              <w:t xml:space="preserve">960 MHz: </w:t>
            </w:r>
            <w:r w:rsidR="00B20F1E" w:rsidRPr="0043059C">
              <w:rPr>
                <w:rFonts w:eastAsia="Calibri"/>
                <w:b/>
                <w:bCs/>
                <w:color w:val="000000"/>
                <w:lang w:val="es-ES"/>
              </w:rPr>
              <w:t xml:space="preserve">Ejemplo 2 para los </w:t>
            </w:r>
            <w:r w:rsidR="00B20F1E" w:rsidRPr="0043059C">
              <w:rPr>
                <w:rFonts w:eastAsia="Calibri"/>
                <w:b/>
                <w:bCs/>
                <w:i/>
                <w:iCs/>
                <w:color w:val="000000"/>
                <w:lang w:val="es-ES"/>
              </w:rPr>
              <w:t>resuelve</w:t>
            </w:r>
            <w:r w:rsidR="00B20F1E" w:rsidRPr="0043059C">
              <w:rPr>
                <w:rFonts w:eastAsia="Calibri"/>
                <w:b/>
                <w:bCs/>
                <w:color w:val="000000"/>
                <w:lang w:val="es-ES"/>
              </w:rPr>
              <w:t xml:space="preserve"> 6.3 y 6.4 en relación con el Ejemplo 3 del </w:t>
            </w:r>
            <w:r w:rsidR="00B20F1E" w:rsidRPr="0043059C">
              <w:rPr>
                <w:rFonts w:eastAsia="Calibri"/>
                <w:b/>
                <w:bCs/>
                <w:i/>
                <w:iCs/>
                <w:color w:val="000000"/>
                <w:lang w:val="es-ES"/>
              </w:rPr>
              <w:t>reconociendo</w:t>
            </w:r>
            <w:r w:rsidR="00B20F1E" w:rsidRPr="0043059C">
              <w:rPr>
                <w:rFonts w:eastAsia="Calibri"/>
                <w:b/>
                <w:bCs/>
                <w:color w:val="000000"/>
                <w:lang w:val="es-ES"/>
              </w:rPr>
              <w:t xml:space="preserve"> f)</w:t>
            </w:r>
            <w:r w:rsidR="00B20F1E" w:rsidRPr="000D2717">
              <w:rPr>
                <w:rFonts w:eastAsia="Calibri"/>
                <w:color w:val="000000"/>
                <w:lang w:val="es-ES"/>
              </w:rPr>
              <w:t xml:space="preserve"> del proyecto de resolución </w:t>
            </w:r>
            <w:r w:rsidR="00B20F1E">
              <w:rPr>
                <w:rFonts w:eastAsia="Calibri"/>
                <w:color w:val="000000"/>
                <w:lang w:val="es-ES"/>
              </w:rPr>
              <w:t>relativo al</w:t>
            </w:r>
            <w:r w:rsidR="00B20F1E" w:rsidRPr="000D2717">
              <w:rPr>
                <w:rFonts w:eastAsia="Calibri"/>
                <w:color w:val="000000"/>
                <w:lang w:val="es-ES"/>
              </w:rPr>
              <w:t xml:space="preserve"> método A3;</w:t>
            </w:r>
          </w:p>
          <w:p w14:paraId="3E038008" w14:textId="276DBA7A" w:rsidR="00B20F1E" w:rsidRPr="009D15ED" w:rsidRDefault="00B20F1E" w:rsidP="0056026E">
            <w:pPr>
              <w:pStyle w:val="Tabletext"/>
              <w:rPr>
                <w:rFonts w:eastAsia="Calibri"/>
                <w:b/>
                <w:bCs/>
                <w:lang w:val="es-ES"/>
              </w:rPr>
            </w:pPr>
            <w:r w:rsidRPr="009D15ED">
              <w:rPr>
                <w:rFonts w:eastAsia="Calibri"/>
                <w:b/>
                <w:bCs/>
                <w:lang w:val="es-ES"/>
              </w:rPr>
              <w:lastRenderedPageBreak/>
              <w:t xml:space="preserve">Banda de frecuencias 1710-1885 MHz </w:t>
            </w:r>
          </w:p>
          <w:p w14:paraId="275386AE" w14:textId="0F9183A8" w:rsidR="00B20F1E" w:rsidRPr="000D2717" w:rsidRDefault="009D15ED" w:rsidP="009D15ED">
            <w:pPr>
              <w:pStyle w:val="Tabletext"/>
              <w:ind w:left="284" w:hanging="284"/>
              <w:rPr>
                <w:lang w:val="es-ES"/>
              </w:rPr>
            </w:pPr>
            <w:r>
              <w:rPr>
                <w:lang w:val="es-ES"/>
              </w:rPr>
              <w:t>1</w:t>
            </w:r>
            <w:r>
              <w:rPr>
                <w:lang w:val="es-ES"/>
              </w:rPr>
              <w:tab/>
            </w:r>
            <w:r w:rsidR="00B20F1E" w:rsidRPr="000D2717">
              <w:rPr>
                <w:lang w:val="es-ES"/>
              </w:rPr>
              <w:t>para la protección de las estaciones</w:t>
            </w:r>
            <w:r w:rsidR="00B20F1E">
              <w:rPr>
                <w:lang w:val="es-ES"/>
              </w:rPr>
              <w:t xml:space="preserve"> base y móviles</w:t>
            </w:r>
            <w:r w:rsidR="00B20F1E" w:rsidRPr="000D2717">
              <w:rPr>
                <w:lang w:val="es-ES"/>
              </w:rPr>
              <w:t xml:space="preserve"> IMT: </w:t>
            </w:r>
            <w:r w:rsidR="00B20F1E" w:rsidRPr="009D15ED">
              <w:rPr>
                <w:b/>
                <w:bCs/>
                <w:lang w:val="es-ES"/>
              </w:rPr>
              <w:t xml:space="preserve">Ejemplo 1 para los </w:t>
            </w:r>
            <w:r w:rsidR="00B20F1E" w:rsidRPr="009D15ED">
              <w:rPr>
                <w:b/>
                <w:bCs/>
                <w:i/>
                <w:iCs/>
                <w:lang w:val="es-ES"/>
              </w:rPr>
              <w:t>resuelve</w:t>
            </w:r>
            <w:r w:rsidR="00B20F1E" w:rsidRPr="009D15ED">
              <w:rPr>
                <w:b/>
                <w:bCs/>
                <w:lang w:val="es-ES"/>
              </w:rPr>
              <w:t xml:space="preserve"> 1.2 y 1.3</w:t>
            </w:r>
            <w:r w:rsidR="00B20F1E" w:rsidRPr="000D2717">
              <w:rPr>
                <w:lang w:val="es-ES"/>
              </w:rPr>
              <w:t xml:space="preserve"> del proyecto de resolución </w:t>
            </w:r>
            <w:r w:rsidR="00B20F1E">
              <w:rPr>
                <w:lang w:val="es-ES"/>
              </w:rPr>
              <w:t>relativo al</w:t>
            </w:r>
            <w:r w:rsidR="00B20F1E" w:rsidRPr="000D2717">
              <w:rPr>
                <w:lang w:val="es-ES"/>
              </w:rPr>
              <w:t xml:space="preserve"> método B3;</w:t>
            </w:r>
          </w:p>
          <w:p w14:paraId="4A627789" w14:textId="7A5610B0" w:rsidR="00B20F1E" w:rsidRPr="000D2717" w:rsidRDefault="009D15ED" w:rsidP="009D15ED">
            <w:pPr>
              <w:pStyle w:val="Tabletext"/>
              <w:ind w:left="284" w:hanging="284"/>
              <w:rPr>
                <w:lang w:val="es-ES"/>
              </w:rPr>
            </w:pPr>
            <w:r>
              <w:rPr>
                <w:lang w:val="es-ES"/>
              </w:rPr>
              <w:t>2</w:t>
            </w:r>
            <w:r>
              <w:rPr>
                <w:lang w:val="es-ES"/>
              </w:rPr>
              <w:tab/>
            </w:r>
            <w:r w:rsidR="00B20F1E" w:rsidRPr="000D2717">
              <w:rPr>
                <w:lang w:val="es-ES"/>
              </w:rPr>
              <w:t xml:space="preserve">para la protección de las estaciones del servicio fijo: </w:t>
            </w:r>
            <w:r w:rsidR="00B20F1E" w:rsidRPr="009D15ED">
              <w:rPr>
                <w:b/>
                <w:bCs/>
                <w:lang w:val="es-ES"/>
              </w:rPr>
              <w:t xml:space="preserve">Ejemplo 1 para el </w:t>
            </w:r>
            <w:r w:rsidR="00B20F1E" w:rsidRPr="009D15ED">
              <w:rPr>
                <w:b/>
                <w:bCs/>
                <w:i/>
                <w:iCs/>
                <w:lang w:val="es-ES"/>
              </w:rPr>
              <w:t>resuelve</w:t>
            </w:r>
            <w:r w:rsidR="00B20F1E" w:rsidRPr="009D15ED">
              <w:rPr>
                <w:b/>
                <w:bCs/>
                <w:lang w:val="es-ES"/>
              </w:rPr>
              <w:t xml:space="preserve"> 1.6</w:t>
            </w:r>
            <w:r w:rsidR="00B20F1E" w:rsidRPr="000D2717">
              <w:rPr>
                <w:lang w:val="es-ES"/>
              </w:rPr>
              <w:t xml:space="preserve"> del proyecto de resolución </w:t>
            </w:r>
            <w:r w:rsidR="00B20F1E">
              <w:rPr>
                <w:lang w:val="es-ES"/>
              </w:rPr>
              <w:t>relativo al</w:t>
            </w:r>
            <w:r w:rsidR="00B20F1E" w:rsidRPr="000D2717">
              <w:rPr>
                <w:lang w:val="es-ES"/>
              </w:rPr>
              <w:t xml:space="preserve"> método B3;</w:t>
            </w:r>
          </w:p>
          <w:p w14:paraId="3E9090B2" w14:textId="6C6AB49B" w:rsidR="00B20F1E" w:rsidRPr="000D2717" w:rsidRDefault="009D15ED" w:rsidP="009D15ED">
            <w:pPr>
              <w:pStyle w:val="Tabletext"/>
              <w:ind w:left="284" w:hanging="284"/>
              <w:rPr>
                <w:lang w:val="es-ES"/>
              </w:rPr>
            </w:pPr>
            <w:r>
              <w:rPr>
                <w:lang w:val="es-ES"/>
              </w:rPr>
              <w:t>3</w:t>
            </w:r>
            <w:r>
              <w:rPr>
                <w:lang w:val="es-ES"/>
              </w:rPr>
              <w:tab/>
            </w:r>
            <w:r w:rsidR="00B20F1E" w:rsidRPr="000D2717">
              <w:rPr>
                <w:lang w:val="es-ES"/>
              </w:rPr>
              <w:t>para la protección de los sistemas del servicio móvil aeronáutico: [</w:t>
            </w:r>
            <w:r w:rsidR="00B20F1E" w:rsidRPr="009D15ED">
              <w:rPr>
                <w:b/>
                <w:bCs/>
                <w:lang w:val="es-ES"/>
              </w:rPr>
              <w:t>Ejemplo</w:t>
            </w:r>
            <w:r>
              <w:rPr>
                <w:b/>
                <w:bCs/>
                <w:lang w:val="es-ES"/>
              </w:rPr>
              <w:t> </w:t>
            </w:r>
            <w:r w:rsidR="00B20F1E" w:rsidRPr="009D15ED">
              <w:rPr>
                <w:b/>
                <w:bCs/>
                <w:lang w:val="es-ES"/>
              </w:rPr>
              <w:t>1/ Ejemplo 3</w:t>
            </w:r>
            <w:r w:rsidR="00B20F1E" w:rsidRPr="000D2717">
              <w:rPr>
                <w:lang w:val="es-ES"/>
              </w:rPr>
              <w:t xml:space="preserve">] para los </w:t>
            </w:r>
            <w:r w:rsidR="00B20F1E" w:rsidRPr="00622881">
              <w:rPr>
                <w:i/>
                <w:iCs/>
                <w:lang w:val="es-ES"/>
              </w:rPr>
              <w:t>resuelve</w:t>
            </w:r>
            <w:r w:rsidR="00B20F1E" w:rsidRPr="000D2717">
              <w:rPr>
                <w:lang w:val="es-ES"/>
              </w:rPr>
              <w:t xml:space="preserve"> 1.7 y 1.8 del proyecto de resolución </w:t>
            </w:r>
            <w:r w:rsidR="00B20F1E">
              <w:rPr>
                <w:lang w:val="es-ES"/>
              </w:rPr>
              <w:t>relativo al</w:t>
            </w:r>
            <w:r w:rsidR="00B20F1E" w:rsidRPr="000D2717">
              <w:rPr>
                <w:lang w:val="es-ES"/>
              </w:rPr>
              <w:t xml:space="preserve"> método B3;</w:t>
            </w:r>
          </w:p>
          <w:p w14:paraId="4B0BD2E8" w14:textId="18E179FA" w:rsidR="00B20F1E" w:rsidRPr="009D15ED" w:rsidRDefault="00B20F1E" w:rsidP="0056026E">
            <w:pPr>
              <w:pStyle w:val="Tabletext"/>
              <w:rPr>
                <w:rFonts w:eastAsia="Calibri"/>
                <w:b/>
                <w:bCs/>
                <w:lang w:val="es-ES"/>
              </w:rPr>
            </w:pPr>
            <w:r w:rsidRPr="009D15ED">
              <w:rPr>
                <w:rFonts w:eastAsia="Calibri"/>
                <w:b/>
                <w:bCs/>
                <w:lang w:val="es-ES"/>
              </w:rPr>
              <w:t>Bandas de frecuencias 1885-1980 MHz, 2010-2025 MHz y 2110-2170 MHz</w:t>
            </w:r>
          </w:p>
          <w:p w14:paraId="1FA6EABF" w14:textId="35A6BFD0" w:rsidR="00B20F1E" w:rsidRPr="000D2717" w:rsidRDefault="009D15ED" w:rsidP="009D15ED">
            <w:pPr>
              <w:pStyle w:val="Tabletext"/>
              <w:ind w:left="284" w:hanging="284"/>
              <w:rPr>
                <w:lang w:val="es-ES"/>
              </w:rPr>
            </w:pPr>
            <w:r>
              <w:rPr>
                <w:lang w:val="es-ES"/>
              </w:rPr>
              <w:t>1</w:t>
            </w:r>
            <w:r>
              <w:rPr>
                <w:lang w:val="es-ES"/>
              </w:rPr>
              <w:tab/>
            </w:r>
            <w:r w:rsidR="00B20F1E" w:rsidRPr="000D2717">
              <w:rPr>
                <w:lang w:val="es-ES"/>
              </w:rPr>
              <w:t xml:space="preserve">para la protección de las estaciones </w:t>
            </w:r>
            <w:r w:rsidR="00B20F1E">
              <w:rPr>
                <w:lang w:val="es-ES"/>
              </w:rPr>
              <w:t xml:space="preserve">base y móviles </w:t>
            </w:r>
            <w:r w:rsidR="00B20F1E" w:rsidRPr="000D2717">
              <w:rPr>
                <w:lang w:val="es-ES"/>
              </w:rPr>
              <w:t xml:space="preserve">IMT: </w:t>
            </w:r>
            <w:r w:rsidR="00B20F1E" w:rsidRPr="009D15ED">
              <w:rPr>
                <w:b/>
                <w:bCs/>
                <w:lang w:val="es-ES"/>
              </w:rPr>
              <w:t xml:space="preserve">Ejemplo 1 para los </w:t>
            </w:r>
            <w:r w:rsidR="00B20F1E" w:rsidRPr="009D15ED">
              <w:rPr>
                <w:b/>
                <w:bCs/>
                <w:i/>
                <w:iCs/>
                <w:lang w:val="es-ES"/>
              </w:rPr>
              <w:t>resuelve</w:t>
            </w:r>
            <w:r w:rsidR="00B20F1E" w:rsidRPr="009D15ED">
              <w:rPr>
                <w:b/>
                <w:bCs/>
                <w:lang w:val="es-ES"/>
              </w:rPr>
              <w:t xml:space="preserve"> 1.1 y 1.2</w:t>
            </w:r>
            <w:r w:rsidR="00B20F1E" w:rsidRPr="000D2717">
              <w:rPr>
                <w:lang w:val="es-ES"/>
              </w:rPr>
              <w:t xml:space="preserve"> del proyecto de resolución </w:t>
            </w:r>
            <w:r w:rsidR="00B20F1E">
              <w:rPr>
                <w:lang w:val="es-ES"/>
              </w:rPr>
              <w:t>relativo al</w:t>
            </w:r>
            <w:r w:rsidR="00B20F1E" w:rsidRPr="000D2717">
              <w:rPr>
                <w:lang w:val="es-ES"/>
              </w:rPr>
              <w:t xml:space="preserve"> método C3;</w:t>
            </w:r>
          </w:p>
          <w:p w14:paraId="61885A68" w14:textId="3BA0BD67" w:rsidR="00B20F1E" w:rsidRPr="000D2717" w:rsidRDefault="009D15ED" w:rsidP="009D15ED">
            <w:pPr>
              <w:pStyle w:val="Tabletext"/>
              <w:ind w:left="284" w:hanging="284"/>
              <w:rPr>
                <w:lang w:val="es-ES"/>
              </w:rPr>
            </w:pPr>
            <w:r>
              <w:rPr>
                <w:lang w:val="es-ES"/>
              </w:rPr>
              <w:t>2</w:t>
            </w:r>
            <w:r>
              <w:rPr>
                <w:lang w:val="es-ES"/>
              </w:rPr>
              <w:tab/>
            </w:r>
            <w:r w:rsidR="00B20F1E" w:rsidRPr="000D2717">
              <w:rPr>
                <w:lang w:val="es-ES"/>
              </w:rPr>
              <w:t xml:space="preserve">para la protección de las estaciones de servicio </w:t>
            </w:r>
            <w:r w:rsidR="00B20F1E">
              <w:rPr>
                <w:lang w:val="es-ES"/>
              </w:rPr>
              <w:t>fijo</w:t>
            </w:r>
            <w:r w:rsidR="00B20F1E" w:rsidRPr="000D2717">
              <w:rPr>
                <w:lang w:val="es-ES"/>
              </w:rPr>
              <w:t>: [</w:t>
            </w:r>
            <w:r w:rsidR="00B20F1E" w:rsidRPr="009D15ED">
              <w:rPr>
                <w:b/>
                <w:bCs/>
                <w:lang w:val="es-ES"/>
              </w:rPr>
              <w:t xml:space="preserve">Ejemplo 2 para el </w:t>
            </w:r>
            <w:r w:rsidR="00B20F1E" w:rsidRPr="009D15ED">
              <w:rPr>
                <w:b/>
                <w:bCs/>
                <w:i/>
                <w:iCs/>
                <w:lang w:val="es-ES"/>
              </w:rPr>
              <w:t>resuelve</w:t>
            </w:r>
            <w:r w:rsidR="00B20F1E" w:rsidRPr="009D15ED">
              <w:rPr>
                <w:b/>
                <w:bCs/>
                <w:lang w:val="es-ES"/>
              </w:rPr>
              <w:t xml:space="preserve"> 1.5] y Ejemplo 1 para el </w:t>
            </w:r>
            <w:r w:rsidR="00B20F1E" w:rsidRPr="009D15ED">
              <w:rPr>
                <w:b/>
                <w:bCs/>
                <w:i/>
                <w:iCs/>
                <w:lang w:val="es-ES"/>
              </w:rPr>
              <w:t>resuelve</w:t>
            </w:r>
            <w:r w:rsidR="00B20F1E" w:rsidRPr="009D15ED">
              <w:rPr>
                <w:b/>
                <w:bCs/>
                <w:lang w:val="es-ES"/>
              </w:rPr>
              <w:t xml:space="preserve"> 1.6</w:t>
            </w:r>
            <w:r w:rsidR="00B20F1E" w:rsidRPr="000D2717">
              <w:rPr>
                <w:lang w:val="es-ES"/>
              </w:rPr>
              <w:t xml:space="preserve"> del proyecto de resolución </w:t>
            </w:r>
            <w:r w:rsidR="00B20F1E">
              <w:rPr>
                <w:lang w:val="es-ES"/>
              </w:rPr>
              <w:t>relativo al</w:t>
            </w:r>
            <w:r w:rsidR="00B20F1E" w:rsidRPr="000D2717">
              <w:rPr>
                <w:lang w:val="es-ES"/>
              </w:rPr>
              <w:t xml:space="preserve"> método C3;</w:t>
            </w:r>
          </w:p>
          <w:p w14:paraId="47012A63" w14:textId="282711AF" w:rsidR="00B20F1E" w:rsidRPr="009D15ED" w:rsidRDefault="00B20F1E" w:rsidP="0056026E">
            <w:pPr>
              <w:pStyle w:val="Tabletext"/>
              <w:rPr>
                <w:rFonts w:eastAsia="Calibri"/>
                <w:b/>
                <w:bCs/>
                <w:lang w:val="es-ES"/>
              </w:rPr>
            </w:pPr>
            <w:r w:rsidRPr="009D15ED">
              <w:rPr>
                <w:rFonts w:eastAsia="Calibri"/>
                <w:b/>
                <w:bCs/>
                <w:lang w:val="es-ES"/>
              </w:rPr>
              <w:t>Banda de frecuencias 2500-2690 MHz</w:t>
            </w:r>
          </w:p>
          <w:p w14:paraId="12C3F34E" w14:textId="4ED35CCA" w:rsidR="00B20F1E" w:rsidRPr="000D2717" w:rsidRDefault="009D15ED" w:rsidP="009D15ED">
            <w:pPr>
              <w:pStyle w:val="Tabletext"/>
              <w:ind w:left="284" w:hanging="284"/>
              <w:rPr>
                <w:color w:val="000000"/>
                <w:lang w:val="es-ES"/>
              </w:rPr>
            </w:pPr>
            <w:r>
              <w:rPr>
                <w:color w:val="000000"/>
                <w:lang w:val="es-ES"/>
              </w:rPr>
              <w:t>1</w:t>
            </w:r>
            <w:r>
              <w:rPr>
                <w:color w:val="000000"/>
                <w:lang w:val="es-ES"/>
              </w:rPr>
              <w:tab/>
            </w:r>
            <w:r w:rsidR="00B20F1E" w:rsidRPr="000D2717">
              <w:rPr>
                <w:color w:val="000000"/>
                <w:lang w:val="es-ES"/>
              </w:rPr>
              <w:t>para la protección de las estaciones</w:t>
            </w:r>
            <w:r w:rsidR="00B20F1E">
              <w:rPr>
                <w:color w:val="000000"/>
                <w:lang w:val="es-ES"/>
              </w:rPr>
              <w:t xml:space="preserve"> base y móviles</w:t>
            </w:r>
            <w:r w:rsidR="00B20F1E" w:rsidRPr="000D2717">
              <w:rPr>
                <w:color w:val="000000"/>
                <w:lang w:val="es-ES"/>
              </w:rPr>
              <w:t xml:space="preserve"> IMT: </w:t>
            </w:r>
            <w:r w:rsidR="00B20F1E" w:rsidRPr="009D15ED">
              <w:rPr>
                <w:b/>
                <w:bCs/>
                <w:color w:val="000000"/>
                <w:lang w:val="es-ES"/>
              </w:rPr>
              <w:t xml:space="preserve">Ejemplo 1 para los </w:t>
            </w:r>
            <w:r w:rsidR="00B20F1E" w:rsidRPr="009D15ED">
              <w:rPr>
                <w:b/>
                <w:bCs/>
                <w:i/>
                <w:iCs/>
                <w:color w:val="000000"/>
                <w:lang w:val="es-ES"/>
              </w:rPr>
              <w:t>resuelve</w:t>
            </w:r>
            <w:r w:rsidR="00B20F1E" w:rsidRPr="009D15ED">
              <w:rPr>
                <w:b/>
                <w:bCs/>
                <w:color w:val="000000"/>
                <w:lang w:val="es-ES"/>
              </w:rPr>
              <w:t xml:space="preserve"> 1.1 y 1.2</w:t>
            </w:r>
            <w:r w:rsidR="00B20F1E" w:rsidRPr="000D2717">
              <w:rPr>
                <w:color w:val="000000"/>
                <w:lang w:val="es-ES"/>
              </w:rPr>
              <w:t xml:space="preserve"> del proyecto de resolución </w:t>
            </w:r>
            <w:r w:rsidR="00B20F1E">
              <w:rPr>
                <w:lang w:val="es-ES"/>
              </w:rPr>
              <w:t>relativo al</w:t>
            </w:r>
            <w:r w:rsidR="00B20F1E" w:rsidRPr="000D2717">
              <w:rPr>
                <w:lang w:val="es-ES"/>
              </w:rPr>
              <w:t xml:space="preserve"> </w:t>
            </w:r>
            <w:r w:rsidR="00B20F1E" w:rsidRPr="000D2717">
              <w:rPr>
                <w:color w:val="000000"/>
                <w:lang w:val="es-ES"/>
              </w:rPr>
              <w:t>método D3;</w:t>
            </w:r>
          </w:p>
          <w:p w14:paraId="0259BAED" w14:textId="719AEE00" w:rsidR="00B20F1E" w:rsidRPr="000D2717" w:rsidRDefault="009D15ED" w:rsidP="009D15ED">
            <w:pPr>
              <w:pStyle w:val="Tabletext"/>
              <w:ind w:left="284" w:hanging="284"/>
              <w:rPr>
                <w:color w:val="000000"/>
                <w:lang w:val="es-ES"/>
              </w:rPr>
            </w:pPr>
            <w:r>
              <w:rPr>
                <w:color w:val="000000"/>
                <w:lang w:val="es-ES"/>
              </w:rPr>
              <w:t>2</w:t>
            </w:r>
            <w:r>
              <w:rPr>
                <w:color w:val="000000"/>
                <w:lang w:val="es-ES"/>
              </w:rPr>
              <w:tab/>
            </w:r>
            <w:r w:rsidR="00B20F1E" w:rsidRPr="000D2717">
              <w:rPr>
                <w:color w:val="000000"/>
                <w:lang w:val="es-ES"/>
              </w:rPr>
              <w:t xml:space="preserve">para la protección de las estaciones del servicio fijo: </w:t>
            </w:r>
            <w:r w:rsidR="00B20F1E" w:rsidRPr="009D15ED">
              <w:rPr>
                <w:b/>
                <w:bCs/>
                <w:color w:val="000000"/>
                <w:lang w:val="es-ES"/>
              </w:rPr>
              <w:t xml:space="preserve">Ejemplo 1 para el </w:t>
            </w:r>
            <w:r w:rsidR="00B20F1E" w:rsidRPr="009D15ED">
              <w:rPr>
                <w:b/>
                <w:bCs/>
                <w:i/>
                <w:iCs/>
                <w:color w:val="000000"/>
                <w:lang w:val="es-ES"/>
              </w:rPr>
              <w:t>resuelve</w:t>
            </w:r>
            <w:r w:rsidR="00B20F1E" w:rsidRPr="009D15ED">
              <w:rPr>
                <w:b/>
                <w:bCs/>
                <w:color w:val="000000"/>
                <w:lang w:val="es-ES"/>
              </w:rPr>
              <w:t xml:space="preserve"> 1.3</w:t>
            </w:r>
            <w:r w:rsidR="00B20F1E" w:rsidRPr="000D2717">
              <w:rPr>
                <w:color w:val="000000"/>
                <w:lang w:val="es-ES"/>
              </w:rPr>
              <w:t xml:space="preserve"> del proyecto de resolución </w:t>
            </w:r>
            <w:r w:rsidR="00B20F1E">
              <w:rPr>
                <w:lang w:val="es-ES"/>
              </w:rPr>
              <w:t>relativo</w:t>
            </w:r>
            <w:r w:rsidR="00B20F1E" w:rsidRPr="000D2717">
              <w:rPr>
                <w:lang w:val="es-ES"/>
              </w:rPr>
              <w:t xml:space="preserve"> al </w:t>
            </w:r>
            <w:r w:rsidR="00B20F1E" w:rsidRPr="000D2717">
              <w:rPr>
                <w:color w:val="000000"/>
                <w:lang w:val="es-ES"/>
              </w:rPr>
              <w:t>método D3;</w:t>
            </w:r>
          </w:p>
          <w:p w14:paraId="4764C36E" w14:textId="00095E98" w:rsidR="00B20F1E" w:rsidRPr="000D2717" w:rsidRDefault="009D15ED" w:rsidP="009D15ED">
            <w:pPr>
              <w:pStyle w:val="Tabletext"/>
              <w:ind w:left="284" w:hanging="284"/>
              <w:rPr>
                <w:color w:val="000000"/>
                <w:lang w:val="es-ES"/>
              </w:rPr>
            </w:pPr>
            <w:r>
              <w:rPr>
                <w:color w:val="000000"/>
                <w:lang w:val="es-ES"/>
              </w:rPr>
              <w:t>3</w:t>
            </w:r>
            <w:r>
              <w:rPr>
                <w:color w:val="000000"/>
                <w:lang w:val="es-ES"/>
              </w:rPr>
              <w:tab/>
            </w:r>
            <w:r w:rsidR="00B20F1E" w:rsidRPr="000D2717">
              <w:rPr>
                <w:color w:val="000000"/>
                <w:lang w:val="es-ES"/>
              </w:rPr>
              <w:t xml:space="preserve">para la protección del servicio de radiodifusión por satélite: </w:t>
            </w:r>
            <w:r w:rsidR="00B20F1E" w:rsidRPr="009D15ED">
              <w:rPr>
                <w:b/>
                <w:bCs/>
                <w:color w:val="000000"/>
                <w:lang w:val="es-ES"/>
              </w:rPr>
              <w:t xml:space="preserve">Ejemplo 2 para el </w:t>
            </w:r>
            <w:r w:rsidR="00B20F1E" w:rsidRPr="009D15ED">
              <w:rPr>
                <w:b/>
                <w:bCs/>
                <w:i/>
                <w:iCs/>
                <w:color w:val="000000"/>
                <w:lang w:val="es-ES"/>
              </w:rPr>
              <w:t>resuelve</w:t>
            </w:r>
            <w:r w:rsidR="00B20F1E" w:rsidRPr="009D15ED">
              <w:rPr>
                <w:b/>
                <w:bCs/>
                <w:color w:val="000000"/>
                <w:lang w:val="es-ES"/>
              </w:rPr>
              <w:t xml:space="preserve"> 1.4</w:t>
            </w:r>
            <w:r w:rsidR="00B20F1E" w:rsidRPr="000D2717">
              <w:rPr>
                <w:color w:val="000000"/>
                <w:lang w:val="es-ES"/>
              </w:rPr>
              <w:t xml:space="preserve"> del proyecto de resolución </w:t>
            </w:r>
            <w:r w:rsidR="00B20F1E">
              <w:rPr>
                <w:lang w:val="es-ES"/>
              </w:rPr>
              <w:t>relativo</w:t>
            </w:r>
            <w:r w:rsidR="00B20F1E" w:rsidRPr="000D2717">
              <w:rPr>
                <w:lang w:val="es-ES"/>
              </w:rPr>
              <w:t xml:space="preserve"> al </w:t>
            </w:r>
            <w:r w:rsidR="00B20F1E" w:rsidRPr="000D2717">
              <w:rPr>
                <w:color w:val="000000"/>
                <w:lang w:val="es-ES"/>
              </w:rPr>
              <w:t>método D3;</w:t>
            </w:r>
          </w:p>
          <w:p w14:paraId="7FAA28AD" w14:textId="5504A2EF" w:rsidR="00B20F1E" w:rsidRPr="000D2717" w:rsidRDefault="009D15ED" w:rsidP="009D15ED">
            <w:pPr>
              <w:pStyle w:val="Tabletext"/>
              <w:ind w:left="284" w:hanging="284"/>
              <w:rPr>
                <w:color w:val="000000"/>
                <w:lang w:val="es-ES"/>
              </w:rPr>
            </w:pPr>
            <w:r>
              <w:rPr>
                <w:color w:val="000000"/>
                <w:lang w:val="es-ES"/>
              </w:rPr>
              <w:t>4</w:t>
            </w:r>
            <w:r>
              <w:rPr>
                <w:color w:val="000000"/>
                <w:lang w:val="es-ES"/>
              </w:rPr>
              <w:tab/>
            </w:r>
            <w:r w:rsidR="00B20F1E" w:rsidRPr="000D2717">
              <w:rPr>
                <w:color w:val="000000"/>
                <w:lang w:val="es-ES"/>
              </w:rPr>
              <w:t xml:space="preserve">para la protección del servicio de radiolocalización: </w:t>
            </w:r>
            <w:r w:rsidR="00B20F1E" w:rsidRPr="009D15ED">
              <w:rPr>
                <w:b/>
                <w:bCs/>
                <w:color w:val="000000"/>
                <w:lang w:val="es-ES"/>
              </w:rPr>
              <w:t xml:space="preserve">Ejemplo 1 del </w:t>
            </w:r>
            <w:r w:rsidR="00B20F1E" w:rsidRPr="009D15ED">
              <w:rPr>
                <w:b/>
                <w:bCs/>
                <w:i/>
                <w:iCs/>
                <w:color w:val="000000"/>
                <w:lang w:val="es-ES"/>
              </w:rPr>
              <w:t>resuelve</w:t>
            </w:r>
            <w:r w:rsidRPr="009D15ED">
              <w:rPr>
                <w:b/>
                <w:bCs/>
                <w:color w:val="000000"/>
                <w:lang w:val="es-ES"/>
              </w:rPr>
              <w:t> </w:t>
            </w:r>
            <w:r w:rsidR="00B20F1E" w:rsidRPr="009D15ED">
              <w:rPr>
                <w:b/>
                <w:bCs/>
                <w:color w:val="000000"/>
                <w:lang w:val="es-ES"/>
              </w:rPr>
              <w:t>1.6</w:t>
            </w:r>
            <w:r w:rsidR="00B20F1E" w:rsidRPr="000D2717">
              <w:rPr>
                <w:color w:val="000000"/>
                <w:lang w:val="es-ES"/>
              </w:rPr>
              <w:t xml:space="preserve"> del proyecto de resolución </w:t>
            </w:r>
            <w:r w:rsidR="00B20F1E" w:rsidRPr="000D2717">
              <w:rPr>
                <w:lang w:val="es-ES"/>
              </w:rPr>
              <w:t xml:space="preserve">asociado al </w:t>
            </w:r>
            <w:r w:rsidR="00B20F1E" w:rsidRPr="000D2717">
              <w:rPr>
                <w:color w:val="000000"/>
                <w:lang w:val="es-ES"/>
              </w:rPr>
              <w:t>método D3;</w:t>
            </w:r>
          </w:p>
          <w:p w14:paraId="3DE78443" w14:textId="41E8216D" w:rsidR="00B20F1E" w:rsidRPr="000D2717" w:rsidRDefault="009D15ED" w:rsidP="009D15ED">
            <w:pPr>
              <w:pStyle w:val="Tabletext"/>
              <w:ind w:left="284" w:hanging="284"/>
              <w:rPr>
                <w:color w:val="000000"/>
                <w:lang w:val="es-ES"/>
              </w:rPr>
            </w:pPr>
            <w:r>
              <w:rPr>
                <w:color w:val="000000"/>
                <w:lang w:val="es-ES"/>
              </w:rPr>
              <w:t>5</w:t>
            </w:r>
            <w:r>
              <w:rPr>
                <w:color w:val="000000"/>
                <w:lang w:val="es-ES"/>
              </w:rPr>
              <w:tab/>
            </w:r>
            <w:r w:rsidR="00B20F1E" w:rsidRPr="000D2717">
              <w:rPr>
                <w:color w:val="000000"/>
                <w:lang w:val="es-ES"/>
              </w:rPr>
              <w:t xml:space="preserve">para la protección del servicio móvil por satélite: </w:t>
            </w:r>
            <w:r w:rsidR="00B20F1E" w:rsidRPr="009D15ED">
              <w:rPr>
                <w:b/>
                <w:bCs/>
                <w:color w:val="000000"/>
                <w:lang w:val="es-ES"/>
              </w:rPr>
              <w:t xml:space="preserve">Ejemplo 2 del </w:t>
            </w:r>
            <w:r w:rsidR="00B20F1E" w:rsidRPr="009D15ED">
              <w:rPr>
                <w:b/>
                <w:bCs/>
                <w:i/>
                <w:iCs/>
                <w:color w:val="000000"/>
                <w:lang w:val="es-ES"/>
              </w:rPr>
              <w:t>resuelve</w:t>
            </w:r>
            <w:r w:rsidR="00B20F1E" w:rsidRPr="009D15ED">
              <w:rPr>
                <w:b/>
                <w:bCs/>
                <w:color w:val="000000"/>
                <w:lang w:val="es-ES"/>
              </w:rPr>
              <w:t xml:space="preserve"> 1.9</w:t>
            </w:r>
            <w:r w:rsidR="00B20F1E" w:rsidRPr="000D2717">
              <w:rPr>
                <w:color w:val="000000"/>
                <w:lang w:val="es-ES"/>
              </w:rPr>
              <w:t xml:space="preserve"> del proyecto de resolución </w:t>
            </w:r>
            <w:r w:rsidR="00B20F1E" w:rsidRPr="000D2717">
              <w:rPr>
                <w:lang w:val="es-ES"/>
              </w:rPr>
              <w:t xml:space="preserve">asociado al </w:t>
            </w:r>
            <w:r w:rsidR="00B20F1E" w:rsidRPr="000D2717">
              <w:rPr>
                <w:color w:val="000000"/>
                <w:lang w:val="es-ES"/>
              </w:rPr>
              <w:t>método D3.</w:t>
            </w:r>
          </w:p>
          <w:p w14:paraId="75C9CB4A" w14:textId="08B251F7" w:rsidR="00B20F1E" w:rsidRPr="000D2717" w:rsidRDefault="009D15ED" w:rsidP="009D15ED">
            <w:pPr>
              <w:pStyle w:val="Tabletext"/>
              <w:ind w:left="284" w:hanging="284"/>
              <w:rPr>
                <w:color w:val="000000"/>
                <w:lang w:val="es-ES"/>
              </w:rPr>
            </w:pPr>
            <w:r>
              <w:rPr>
                <w:color w:val="000000"/>
                <w:lang w:val="es-ES"/>
              </w:rPr>
              <w:t>6</w:t>
            </w:r>
            <w:r>
              <w:rPr>
                <w:color w:val="000000"/>
                <w:lang w:val="es-ES"/>
              </w:rPr>
              <w:tab/>
            </w:r>
            <w:r w:rsidR="00B20F1E" w:rsidRPr="000D2717">
              <w:rPr>
                <w:color w:val="000000"/>
                <w:lang w:val="es-ES"/>
              </w:rPr>
              <w:t xml:space="preserve">[Para la protección del servicio de radioastronomía: </w:t>
            </w:r>
            <w:r w:rsidR="00B20F1E" w:rsidRPr="0043059C">
              <w:rPr>
                <w:b/>
                <w:bCs/>
                <w:color w:val="000000"/>
                <w:lang w:val="es-ES"/>
              </w:rPr>
              <w:t xml:space="preserve">Ejemplo 1 de los </w:t>
            </w:r>
            <w:r w:rsidR="00B20F1E" w:rsidRPr="0043059C">
              <w:rPr>
                <w:b/>
                <w:bCs/>
                <w:i/>
                <w:iCs/>
                <w:color w:val="000000"/>
                <w:lang w:val="es-ES"/>
              </w:rPr>
              <w:t>resuelve</w:t>
            </w:r>
            <w:r w:rsidR="00B20F1E" w:rsidRPr="0043059C">
              <w:rPr>
                <w:b/>
                <w:bCs/>
                <w:color w:val="000000"/>
                <w:lang w:val="es-ES"/>
              </w:rPr>
              <w:t xml:space="preserve"> 1.7 y 1.8]</w:t>
            </w:r>
            <w:r w:rsidR="00B20F1E" w:rsidRPr="000D2717">
              <w:rPr>
                <w:color w:val="000000"/>
                <w:lang w:val="es-ES"/>
              </w:rPr>
              <w:t>.</w:t>
            </w:r>
          </w:p>
          <w:p w14:paraId="5988C4A0" w14:textId="77777777" w:rsidR="00B20F1E" w:rsidRPr="000D2717" w:rsidRDefault="00B20F1E" w:rsidP="0056026E">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6EEC19F2" w14:textId="77777777" w:rsidR="00B20F1E" w:rsidRPr="009D15ED" w:rsidRDefault="00B20F1E" w:rsidP="0056026E">
            <w:pPr>
              <w:pStyle w:val="Tabletext"/>
              <w:rPr>
                <w:rFonts w:eastAsia="Calibri"/>
                <w:b/>
                <w:bCs/>
                <w:color w:val="000000"/>
                <w:lang w:val="es-ES"/>
              </w:rPr>
            </w:pPr>
            <w:r w:rsidRPr="009D15ED">
              <w:rPr>
                <w:rFonts w:eastAsia="Calibri"/>
                <w:b/>
                <w:bCs/>
                <w:i/>
                <w:color w:val="000000"/>
                <w:lang w:val="es-ES"/>
              </w:rPr>
              <w:t>Solicitar a las administraciones de la UAT que:</w:t>
            </w:r>
          </w:p>
          <w:p w14:paraId="72AC415D" w14:textId="77777777" w:rsidR="00B20F1E" w:rsidRPr="000D2717" w:rsidRDefault="00B20F1E" w:rsidP="0056026E">
            <w:pPr>
              <w:pStyle w:val="Tabletext"/>
              <w:rPr>
                <w:rFonts w:eastAsia="Calibri"/>
                <w:i/>
                <w:color w:val="000000"/>
                <w:lang w:val="es-ES"/>
              </w:rPr>
            </w:pPr>
            <w:r w:rsidRPr="009D15ED">
              <w:rPr>
                <w:rFonts w:eastAsia="Calibri"/>
                <w:b/>
                <w:bCs/>
                <w:color w:val="000000"/>
                <w:lang w:val="es-ES"/>
              </w:rPr>
              <w:t>Apoyen</w:t>
            </w:r>
            <w:r>
              <w:rPr>
                <w:rFonts w:eastAsia="Calibri"/>
                <w:color w:val="000000"/>
                <w:lang w:val="es-ES"/>
              </w:rPr>
              <w:t xml:space="preserve"> </w:t>
            </w:r>
            <w:r w:rsidRPr="000D2717">
              <w:rPr>
                <w:rFonts w:eastAsia="Calibri"/>
                <w:lang w:val="es-ES"/>
              </w:rPr>
              <w:t>la</w:t>
            </w:r>
            <w:r>
              <w:rPr>
                <w:rFonts w:eastAsia="Calibri"/>
                <w:lang w:val="es-ES"/>
              </w:rPr>
              <w:t xml:space="preserve"> </w:t>
            </w:r>
            <w:r w:rsidRPr="00DB5622">
              <w:rPr>
                <w:rFonts w:eastAsia="Calibri"/>
                <w:lang w:val="es-ES"/>
              </w:rPr>
              <w:t xml:space="preserve">AFCP </w:t>
            </w:r>
            <w:r>
              <w:rPr>
                <w:rFonts w:eastAsia="Calibri"/>
                <w:lang w:val="es-ES"/>
              </w:rPr>
              <w:t>en relación con este</w:t>
            </w:r>
            <w:r w:rsidRPr="000D2717">
              <w:rPr>
                <w:rFonts w:eastAsia="Calibri"/>
                <w:lang w:val="es-ES"/>
              </w:rPr>
              <w:t xml:space="preserve"> punto del orden del día</w:t>
            </w:r>
            <w:r w:rsidRPr="000D2717">
              <w:rPr>
                <w:rFonts w:eastAsia="Calibri"/>
                <w:color w:val="000000"/>
                <w:lang w:val="es-ES"/>
              </w:rPr>
              <w:t>.</w:t>
            </w:r>
          </w:p>
        </w:tc>
      </w:tr>
      <w:tr w:rsidR="00B20F1E" w:rsidRPr="00B707C8" w14:paraId="2F3A99F2" w14:textId="77777777" w:rsidTr="00DB48C6">
        <w:trPr>
          <w:jc w:val="center"/>
        </w:trPr>
        <w:tc>
          <w:tcPr>
            <w:tcW w:w="3114" w:type="dxa"/>
          </w:tcPr>
          <w:p w14:paraId="23284BE8" w14:textId="77777777" w:rsidR="00B20F1E" w:rsidRPr="009D15ED" w:rsidRDefault="00B20F1E" w:rsidP="0056026E">
            <w:pPr>
              <w:pStyle w:val="Tabletext"/>
              <w:rPr>
                <w:rFonts w:eastAsia="Calibri"/>
                <w:b/>
                <w:bCs/>
                <w:i/>
                <w:lang w:val="es-ES"/>
              </w:rPr>
            </w:pPr>
            <w:r w:rsidRPr="009D15ED">
              <w:rPr>
                <w:rFonts w:eastAsia="Calibri"/>
                <w:b/>
                <w:bCs/>
                <w:lang w:val="es-ES"/>
              </w:rPr>
              <w:lastRenderedPageBreak/>
              <w:t xml:space="preserve">Punto </w:t>
            </w:r>
            <w:r w:rsidRPr="009D15ED">
              <w:rPr>
                <w:rFonts w:eastAsia="Calibri"/>
                <w:b/>
                <w:bCs/>
                <w:i/>
                <w:lang w:val="es-ES"/>
              </w:rPr>
              <w:t>1.5</w:t>
            </w:r>
          </w:p>
          <w:p w14:paraId="5BF4CC8F" w14:textId="009E49CC" w:rsidR="00B20F1E" w:rsidRPr="000D2717" w:rsidRDefault="00B20F1E" w:rsidP="0056026E">
            <w:pPr>
              <w:pStyle w:val="Tabletext"/>
              <w:rPr>
                <w:rFonts w:eastAsia="Calibri"/>
                <w:i/>
                <w:lang w:val="es-ES"/>
              </w:rPr>
            </w:pPr>
            <w:r>
              <w:rPr>
                <w:rFonts w:eastAsia="Calibri"/>
                <w:color w:val="000000"/>
                <w:lang w:val="es-ES"/>
              </w:rPr>
              <w:t>R</w:t>
            </w:r>
            <w:r w:rsidRPr="000D2717">
              <w:rPr>
                <w:rFonts w:eastAsia="Calibri"/>
                <w:color w:val="000000"/>
                <w:lang w:val="es-ES"/>
              </w:rPr>
              <w:t xml:space="preserve">ecomendar al Consejo que incluya en el orden del día de la CMR23 (punto 1.5 del </w:t>
            </w:r>
            <w:r>
              <w:rPr>
                <w:rFonts w:eastAsia="Calibri"/>
                <w:color w:val="000000"/>
                <w:lang w:val="es-ES"/>
              </w:rPr>
              <w:t>mismo</w:t>
            </w:r>
            <w:r w:rsidRPr="000D2717">
              <w:rPr>
                <w:rFonts w:eastAsia="Calibri"/>
                <w:color w:val="000000"/>
                <w:lang w:val="es-ES"/>
              </w:rPr>
              <w:t xml:space="preserve">) </w:t>
            </w:r>
            <w:r w:rsidR="009D15ED">
              <w:rPr>
                <w:rFonts w:eastAsia="Calibri"/>
                <w:color w:val="000000"/>
                <w:lang w:val="es-ES"/>
              </w:rPr>
              <w:t>«</w:t>
            </w:r>
            <w:r w:rsidRPr="00726501">
              <w:rPr>
                <w:rFonts w:eastAsia="Calibri"/>
                <w:i/>
                <w:color w:val="000000"/>
                <w:lang w:val="es-ES"/>
              </w:rPr>
              <w:t xml:space="preserve">examinar la utilización del espectro y las necesidades de espectro de los servicios existentes en la banda de frecuencias 470-960 MHz en la Región 1 y considerar posibles medidas reglamentarias para la banda de frecuencias 470 694 MHz en la Región 1 a partir del examen previsto en la Resolución </w:t>
            </w:r>
            <w:r w:rsidRPr="009D15ED">
              <w:rPr>
                <w:rFonts w:eastAsia="Calibri"/>
                <w:b/>
                <w:bCs/>
                <w:i/>
                <w:color w:val="000000"/>
                <w:lang w:val="es-ES"/>
              </w:rPr>
              <w:t>235 (CMR 15)</w:t>
            </w:r>
            <w:r w:rsidR="009D15ED">
              <w:rPr>
                <w:rFonts w:eastAsia="Calibri"/>
                <w:color w:val="000000"/>
                <w:lang w:val="es-ES"/>
              </w:rPr>
              <w:t>»</w:t>
            </w:r>
            <w:r w:rsidRPr="000D2717">
              <w:rPr>
                <w:rFonts w:eastAsia="Calibri"/>
                <w:color w:val="000000"/>
                <w:lang w:val="es-ES"/>
              </w:rPr>
              <w:t>.</w:t>
            </w:r>
          </w:p>
        </w:tc>
        <w:tc>
          <w:tcPr>
            <w:tcW w:w="6662" w:type="dxa"/>
          </w:tcPr>
          <w:p w14:paraId="59587C83" w14:textId="77777777" w:rsidR="00B20F1E" w:rsidRPr="000D2717" w:rsidRDefault="00B20F1E" w:rsidP="0056026E">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32ADA361" w14:textId="34B034E4" w:rsidR="00B20F1E" w:rsidRPr="000D2717" w:rsidRDefault="009D15ED" w:rsidP="0056026E">
            <w:pPr>
              <w:pStyle w:val="Tabletext"/>
              <w:rPr>
                <w:rFonts w:eastAsia="Calibri"/>
                <w:color w:val="000000"/>
                <w:lang w:val="es-ES"/>
              </w:rPr>
            </w:pPr>
            <w:r>
              <w:rPr>
                <w:rFonts w:eastAsia="Calibri"/>
                <w:color w:val="000000"/>
                <w:lang w:val="es-ES"/>
              </w:rPr>
              <w:t>1</w:t>
            </w:r>
            <w:r>
              <w:rPr>
                <w:rFonts w:eastAsia="Calibri"/>
                <w:color w:val="000000"/>
                <w:lang w:val="es-ES"/>
              </w:rPr>
              <w:tab/>
            </w:r>
            <w:r w:rsidR="00B20F1E" w:rsidRPr="009D15ED">
              <w:rPr>
                <w:rFonts w:eastAsia="Calibri"/>
                <w:b/>
                <w:bCs/>
                <w:color w:val="000000"/>
                <w:lang w:val="es-ES"/>
              </w:rPr>
              <w:t>Apoyar</w:t>
            </w:r>
            <w:r w:rsidR="00B20F1E" w:rsidRPr="000D2717">
              <w:rPr>
                <w:rFonts w:eastAsia="Calibri"/>
                <w:color w:val="000000"/>
                <w:lang w:val="es-ES"/>
              </w:rPr>
              <w:t xml:space="preserve"> </w:t>
            </w:r>
            <w:r w:rsidR="00B20F1E" w:rsidRPr="00E16896">
              <w:rPr>
                <w:rFonts w:eastAsia="Calibri"/>
                <w:bCs/>
                <w:color w:val="000000"/>
                <w:lang w:val="es-ES"/>
              </w:rPr>
              <w:t>el</w:t>
            </w:r>
            <w:r w:rsidR="00B20F1E" w:rsidRPr="000D2717">
              <w:rPr>
                <w:rFonts w:eastAsia="Calibri"/>
                <w:color w:val="000000"/>
                <w:lang w:val="es-ES"/>
              </w:rPr>
              <w:t xml:space="preserve"> método A1 </w:t>
            </w:r>
            <w:r w:rsidR="00B20F1E">
              <w:rPr>
                <w:rFonts w:eastAsia="Calibri"/>
                <w:color w:val="000000"/>
                <w:lang w:val="es-ES"/>
              </w:rPr>
              <w:t>como AFCP</w:t>
            </w:r>
            <w:r w:rsidR="00B20F1E" w:rsidRPr="000D2717">
              <w:rPr>
                <w:rFonts w:eastAsia="Calibri"/>
                <w:color w:val="000000"/>
                <w:lang w:val="es-ES"/>
              </w:rPr>
              <w:t>.</w:t>
            </w:r>
          </w:p>
          <w:p w14:paraId="4A618865" w14:textId="35D4E233" w:rsidR="00B20F1E" w:rsidRPr="000D2717" w:rsidRDefault="009D15ED" w:rsidP="009D15ED">
            <w:pPr>
              <w:pStyle w:val="Tabletext"/>
              <w:ind w:left="284" w:hanging="284"/>
              <w:rPr>
                <w:rFonts w:eastAsia="Calibri"/>
                <w:color w:val="000000"/>
                <w:lang w:val="es-ES"/>
              </w:rPr>
            </w:pPr>
            <w:r>
              <w:rPr>
                <w:rFonts w:eastAsia="Calibri"/>
                <w:color w:val="000000"/>
                <w:lang w:val="es-ES"/>
              </w:rPr>
              <w:t>2</w:t>
            </w:r>
            <w:r>
              <w:rPr>
                <w:rFonts w:eastAsia="Calibri"/>
                <w:color w:val="000000"/>
                <w:lang w:val="es-ES"/>
              </w:rPr>
              <w:tab/>
            </w:r>
            <w:r w:rsidR="00B20F1E" w:rsidRPr="009D15ED">
              <w:rPr>
                <w:rFonts w:eastAsia="Calibri"/>
                <w:b/>
                <w:bCs/>
                <w:color w:val="000000"/>
                <w:lang w:val="es-ES"/>
              </w:rPr>
              <w:t>Señalar</w:t>
            </w:r>
            <w:r w:rsidR="00B20F1E" w:rsidRPr="000D2717">
              <w:rPr>
                <w:rFonts w:eastAsia="Calibri"/>
                <w:color w:val="000000"/>
                <w:lang w:val="es-ES"/>
              </w:rPr>
              <w:t xml:space="preserve"> </w:t>
            </w:r>
            <w:r w:rsidR="00B20F1E" w:rsidRPr="00E16896">
              <w:rPr>
                <w:rFonts w:eastAsia="Calibri"/>
                <w:bCs/>
                <w:color w:val="000000"/>
                <w:lang w:val="es-ES"/>
              </w:rPr>
              <w:t>las</w:t>
            </w:r>
            <w:r w:rsidR="00B20F1E" w:rsidRPr="000D2717">
              <w:rPr>
                <w:rFonts w:eastAsia="Calibri"/>
                <w:color w:val="000000"/>
                <w:lang w:val="es-ES"/>
              </w:rPr>
              <w:t xml:space="preserve"> posiciones de Egipto (método C1), Namibia (método C1), Nigeria (método C1) y Tanzania (método F2).</w:t>
            </w:r>
          </w:p>
          <w:p w14:paraId="1ABA6176" w14:textId="77777777" w:rsidR="00B20F1E" w:rsidRPr="000D2717" w:rsidRDefault="00B20F1E" w:rsidP="0056026E">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7B39AC61" w14:textId="77777777" w:rsidR="00B20F1E" w:rsidRPr="009D15ED" w:rsidRDefault="00B20F1E" w:rsidP="0056026E">
            <w:pPr>
              <w:pStyle w:val="Tabletext"/>
              <w:rPr>
                <w:rFonts w:eastAsia="Calibri"/>
                <w:b/>
                <w:bCs/>
                <w:color w:val="000000"/>
                <w:lang w:val="es-ES"/>
              </w:rPr>
            </w:pPr>
            <w:r w:rsidRPr="009D15ED">
              <w:rPr>
                <w:rFonts w:eastAsia="Calibri"/>
                <w:b/>
                <w:bCs/>
                <w:i/>
                <w:color w:val="000000"/>
                <w:lang w:val="es-ES"/>
              </w:rPr>
              <w:t>Solicitar a las administraciones de la UAT que:</w:t>
            </w:r>
          </w:p>
          <w:p w14:paraId="6E96EE23" w14:textId="77777777" w:rsidR="00B20F1E" w:rsidRPr="000D2717" w:rsidRDefault="00B20F1E" w:rsidP="0056026E">
            <w:pPr>
              <w:pStyle w:val="Tabletext"/>
              <w:rPr>
                <w:rFonts w:eastAsia="Calibri"/>
                <w:i/>
                <w:color w:val="000000"/>
                <w:lang w:val="es-ES"/>
              </w:rPr>
            </w:pPr>
            <w:r w:rsidRPr="009D15ED">
              <w:rPr>
                <w:rFonts w:eastAsia="Calibri"/>
                <w:b/>
                <w:bCs/>
                <w:lang w:val="es-ES"/>
              </w:rPr>
              <w:t>Apoyen</w:t>
            </w:r>
            <w:r w:rsidRPr="000D2717">
              <w:rPr>
                <w:rFonts w:eastAsia="Calibri"/>
                <w:lang w:val="es-ES"/>
              </w:rPr>
              <w:t xml:space="preserve"> la</w:t>
            </w:r>
            <w:r>
              <w:rPr>
                <w:rFonts w:eastAsia="Calibri"/>
                <w:lang w:val="es-ES"/>
              </w:rPr>
              <w:t xml:space="preserve"> </w:t>
            </w:r>
            <w:r w:rsidRPr="00DB5622">
              <w:rPr>
                <w:rFonts w:eastAsia="Calibri"/>
                <w:lang w:val="es-ES"/>
              </w:rPr>
              <w:t xml:space="preserve">AFCP </w:t>
            </w:r>
            <w:r>
              <w:rPr>
                <w:rFonts w:eastAsia="Calibri"/>
                <w:lang w:val="es-ES"/>
              </w:rPr>
              <w:t>en relación con este</w:t>
            </w:r>
            <w:r w:rsidRPr="000D2717">
              <w:rPr>
                <w:rFonts w:eastAsia="Calibri"/>
                <w:lang w:val="es-ES"/>
              </w:rPr>
              <w:t xml:space="preserve"> punto del orden del día</w:t>
            </w:r>
            <w:r w:rsidRPr="000D2717">
              <w:rPr>
                <w:rFonts w:eastAsia="Calibri"/>
                <w:color w:val="000000"/>
                <w:lang w:val="es-ES"/>
              </w:rPr>
              <w:t>.</w:t>
            </w:r>
          </w:p>
        </w:tc>
      </w:tr>
      <w:tr w:rsidR="00B20F1E" w:rsidRPr="00B707C8" w14:paraId="6606F639" w14:textId="77777777" w:rsidTr="00DB48C6">
        <w:trPr>
          <w:jc w:val="center"/>
        </w:trPr>
        <w:tc>
          <w:tcPr>
            <w:tcW w:w="3114" w:type="dxa"/>
          </w:tcPr>
          <w:p w14:paraId="76309BAC" w14:textId="77777777" w:rsidR="00B20F1E" w:rsidRPr="009D15ED" w:rsidRDefault="00B20F1E" w:rsidP="0056026E">
            <w:pPr>
              <w:pStyle w:val="Tabletext"/>
              <w:rPr>
                <w:rFonts w:eastAsia="Calibri"/>
                <w:b/>
                <w:bCs/>
                <w:color w:val="000000"/>
                <w:lang w:val="es-ES"/>
              </w:rPr>
            </w:pPr>
            <w:r w:rsidRPr="009D15ED">
              <w:rPr>
                <w:rFonts w:eastAsia="Calibri"/>
                <w:b/>
                <w:bCs/>
                <w:lang w:val="es-ES"/>
              </w:rPr>
              <w:t xml:space="preserve">Punto </w:t>
            </w:r>
            <w:r w:rsidRPr="009D15ED">
              <w:rPr>
                <w:rFonts w:eastAsia="Calibri"/>
                <w:b/>
                <w:bCs/>
                <w:color w:val="000000"/>
                <w:lang w:val="es-ES"/>
              </w:rPr>
              <w:t>9.1, Tema C</w:t>
            </w:r>
          </w:p>
          <w:p w14:paraId="41D10F9E" w14:textId="77777777" w:rsidR="00B20F1E" w:rsidRPr="00BD045B" w:rsidRDefault="00B20F1E" w:rsidP="0056026E">
            <w:pPr>
              <w:pStyle w:val="Tabletext"/>
              <w:rPr>
                <w:rFonts w:eastAsia="Calibri"/>
                <w:i/>
                <w:color w:val="000000"/>
                <w:lang w:val="es-ES"/>
              </w:rPr>
            </w:pPr>
            <w:r w:rsidRPr="000D2717">
              <w:rPr>
                <w:rFonts w:eastAsia="Calibri"/>
                <w:i/>
                <w:color w:val="000000"/>
                <w:lang w:val="es-ES"/>
              </w:rPr>
              <w:t>E</w:t>
            </w:r>
            <w:r w:rsidRPr="00BD045B">
              <w:rPr>
                <w:rFonts w:eastAsia="Calibri"/>
                <w:i/>
                <w:color w:val="000000"/>
                <w:lang w:val="es-ES"/>
              </w:rPr>
              <w:t>studiar la utilización de los sistemas de telecomunicaciones móviles internacionales para la banda ancha inalámbrica fija en las bandas de frecuencias atribuidas al servicio fijo a título primario, de conformidad con la</w:t>
            </w:r>
            <w:r w:rsidRPr="000D2717">
              <w:rPr>
                <w:rFonts w:eastAsia="Calibri"/>
                <w:i/>
                <w:color w:val="000000"/>
                <w:lang w:val="es-ES"/>
              </w:rPr>
              <w:t xml:space="preserve"> Resolución </w:t>
            </w:r>
            <w:r w:rsidRPr="009D15ED">
              <w:rPr>
                <w:rFonts w:eastAsia="Calibri"/>
                <w:b/>
                <w:bCs/>
                <w:i/>
                <w:color w:val="000000"/>
                <w:lang w:val="es-ES"/>
              </w:rPr>
              <w:t>175 (CMR19)</w:t>
            </w:r>
            <w:r w:rsidRPr="000D2717">
              <w:rPr>
                <w:rFonts w:eastAsia="Calibri"/>
                <w:i/>
                <w:color w:val="000000"/>
                <w:lang w:val="es-ES"/>
              </w:rPr>
              <w:t>.</w:t>
            </w:r>
          </w:p>
        </w:tc>
        <w:tc>
          <w:tcPr>
            <w:tcW w:w="6662" w:type="dxa"/>
          </w:tcPr>
          <w:p w14:paraId="0C50FD3D" w14:textId="77777777" w:rsidR="00B20F1E" w:rsidRPr="000D2717" w:rsidRDefault="00B20F1E" w:rsidP="0056026E">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1A0FC2A9" w14:textId="091501C4" w:rsidR="00B20F1E" w:rsidRPr="000D2717" w:rsidRDefault="009D15ED" w:rsidP="0056026E">
            <w:pPr>
              <w:pStyle w:val="Tabletext"/>
              <w:rPr>
                <w:rFonts w:eastAsia="Calibri"/>
                <w:lang w:val="es-ES"/>
              </w:rPr>
            </w:pPr>
            <w:r>
              <w:rPr>
                <w:rFonts w:eastAsia="Calibri"/>
                <w:lang w:val="es-ES"/>
              </w:rPr>
              <w:t>1</w:t>
            </w:r>
            <w:r>
              <w:rPr>
                <w:rFonts w:eastAsia="Calibri"/>
                <w:lang w:val="es-ES"/>
              </w:rPr>
              <w:tab/>
            </w:r>
            <w:r w:rsidR="00B20F1E" w:rsidRPr="009D15ED">
              <w:rPr>
                <w:rFonts w:eastAsia="Calibri"/>
                <w:b/>
                <w:bCs/>
                <w:lang w:val="es-ES"/>
              </w:rPr>
              <w:t>Apoyar</w:t>
            </w:r>
            <w:r w:rsidR="00B20F1E" w:rsidRPr="000D2717">
              <w:rPr>
                <w:rFonts w:eastAsia="Calibri"/>
                <w:lang w:val="es-ES"/>
              </w:rPr>
              <w:t xml:space="preserve"> </w:t>
            </w:r>
            <w:r w:rsidR="00B20F1E">
              <w:rPr>
                <w:rFonts w:eastAsia="Calibri"/>
                <w:lang w:val="es-ES"/>
              </w:rPr>
              <w:t>la alternativa 2 del enfoque 2</w:t>
            </w:r>
            <w:r w:rsidR="00B20F1E" w:rsidRPr="000D2717">
              <w:rPr>
                <w:rFonts w:eastAsia="Calibri"/>
                <w:lang w:val="es-ES"/>
              </w:rPr>
              <w:t>.</w:t>
            </w:r>
          </w:p>
          <w:p w14:paraId="69AB9B65" w14:textId="1808F266" w:rsidR="00B20F1E" w:rsidRPr="000D2717" w:rsidRDefault="009D15ED" w:rsidP="009D15ED">
            <w:pPr>
              <w:pStyle w:val="Tabletext"/>
              <w:ind w:left="284" w:hanging="284"/>
              <w:rPr>
                <w:rFonts w:eastAsia="Calibri"/>
                <w:lang w:val="es-ES"/>
              </w:rPr>
            </w:pPr>
            <w:r>
              <w:rPr>
                <w:rFonts w:eastAsia="Calibri"/>
                <w:lang w:val="es-ES"/>
              </w:rPr>
              <w:t>2</w:t>
            </w:r>
            <w:r>
              <w:rPr>
                <w:rFonts w:eastAsia="Calibri"/>
                <w:lang w:val="es-ES"/>
              </w:rPr>
              <w:tab/>
            </w:r>
            <w:r w:rsidR="00B20F1E" w:rsidRPr="009D15ED">
              <w:rPr>
                <w:rFonts w:eastAsia="Calibri"/>
                <w:b/>
                <w:bCs/>
                <w:lang w:val="es-ES"/>
              </w:rPr>
              <w:t>Decidir</w:t>
            </w:r>
            <w:r w:rsidR="00B20F1E" w:rsidRPr="000D2717">
              <w:rPr>
                <w:rFonts w:eastAsia="Calibri"/>
                <w:lang w:val="es-ES"/>
              </w:rPr>
              <w:t xml:space="preserve"> que </w:t>
            </w:r>
            <w:r w:rsidR="00B20F1E">
              <w:rPr>
                <w:rFonts w:eastAsia="Calibri"/>
                <w:lang w:val="es-ES"/>
              </w:rPr>
              <w:t>no se elaboren</w:t>
            </w:r>
            <w:r w:rsidR="00B20F1E" w:rsidRPr="000D2717">
              <w:rPr>
                <w:rFonts w:eastAsia="Calibri"/>
                <w:lang w:val="es-ES"/>
              </w:rPr>
              <w:t xml:space="preserve"> nuevas Recomendaciones, Informes y Manuales </w:t>
            </w:r>
            <w:r w:rsidR="00B20F1E">
              <w:rPr>
                <w:rFonts w:eastAsia="Calibri"/>
                <w:lang w:val="es-ES"/>
              </w:rPr>
              <w:t xml:space="preserve">del </w:t>
            </w:r>
            <w:r w:rsidR="00B20F1E" w:rsidRPr="000D2717">
              <w:rPr>
                <w:rFonts w:eastAsia="Calibri"/>
                <w:lang w:val="es-ES"/>
              </w:rPr>
              <w:t>UIT-R, a menos que la modificación de las Recomendaciones,</w:t>
            </w:r>
            <w:r w:rsidR="00B20F1E">
              <w:rPr>
                <w:rFonts w:eastAsia="Calibri"/>
                <w:lang w:val="es-ES"/>
              </w:rPr>
              <w:t xml:space="preserve"> los</w:t>
            </w:r>
            <w:r w:rsidR="00B20F1E" w:rsidRPr="000D2717">
              <w:rPr>
                <w:rFonts w:eastAsia="Calibri"/>
                <w:lang w:val="es-ES"/>
              </w:rPr>
              <w:t xml:space="preserve"> Informes y/o </w:t>
            </w:r>
            <w:r w:rsidR="00B20F1E">
              <w:rPr>
                <w:rFonts w:eastAsia="Calibri"/>
                <w:lang w:val="es-ES"/>
              </w:rPr>
              <w:t xml:space="preserve">los </w:t>
            </w:r>
            <w:r w:rsidR="00B20F1E" w:rsidRPr="000D2717">
              <w:rPr>
                <w:rFonts w:eastAsia="Calibri"/>
                <w:lang w:val="es-ES"/>
              </w:rPr>
              <w:t xml:space="preserve">Manuales </w:t>
            </w:r>
            <w:r w:rsidR="00B20F1E">
              <w:rPr>
                <w:rFonts w:eastAsia="Calibri"/>
                <w:lang w:val="es-ES"/>
              </w:rPr>
              <w:t xml:space="preserve">del </w:t>
            </w:r>
            <w:r w:rsidR="00B20F1E" w:rsidRPr="000D2717">
              <w:rPr>
                <w:rFonts w:eastAsia="Calibri"/>
                <w:lang w:val="es-ES"/>
              </w:rPr>
              <w:t>UIT-R existentes no aborde la cuestión</w:t>
            </w:r>
            <w:r w:rsidR="00B20F1E">
              <w:rPr>
                <w:rFonts w:eastAsia="Calibri"/>
                <w:lang w:val="es-ES"/>
              </w:rPr>
              <w:t xml:space="preserve"> </w:t>
            </w:r>
            <w:r w:rsidR="00B20F1E" w:rsidRPr="000D2717">
              <w:rPr>
                <w:rFonts w:eastAsia="Calibri"/>
                <w:lang w:val="es-ES"/>
              </w:rPr>
              <w:t>(Enfoque 2).</w:t>
            </w:r>
          </w:p>
          <w:p w14:paraId="77754EE6" w14:textId="2372206F" w:rsidR="00B20F1E" w:rsidRPr="000D2717" w:rsidRDefault="009D15ED" w:rsidP="0056026E">
            <w:pPr>
              <w:pStyle w:val="Tabletext"/>
              <w:rPr>
                <w:rFonts w:eastAsia="Calibri"/>
                <w:lang w:val="es-ES"/>
              </w:rPr>
            </w:pPr>
            <w:r>
              <w:rPr>
                <w:rFonts w:eastAsia="Calibri"/>
                <w:bCs/>
                <w:lang w:val="es-ES"/>
              </w:rPr>
              <w:t>3</w:t>
            </w:r>
            <w:r>
              <w:rPr>
                <w:rFonts w:eastAsia="Calibri"/>
                <w:bCs/>
                <w:lang w:val="es-ES"/>
              </w:rPr>
              <w:tab/>
            </w:r>
            <w:r w:rsidR="00B20F1E" w:rsidRPr="009D15ED">
              <w:rPr>
                <w:rFonts w:eastAsia="Calibri"/>
                <w:b/>
                <w:lang w:val="es-ES"/>
              </w:rPr>
              <w:t>Señalar</w:t>
            </w:r>
            <w:r w:rsidR="00B20F1E">
              <w:rPr>
                <w:rFonts w:eastAsia="Calibri"/>
                <w:lang w:val="es-ES"/>
              </w:rPr>
              <w:t xml:space="preserve"> que Egipto</w:t>
            </w:r>
            <w:r w:rsidR="00B20F1E" w:rsidRPr="000D2717">
              <w:rPr>
                <w:rFonts w:eastAsia="Calibri"/>
                <w:lang w:val="es-ES"/>
              </w:rPr>
              <w:t xml:space="preserve"> apoya </w:t>
            </w:r>
            <w:r w:rsidR="00B20F1E">
              <w:rPr>
                <w:rFonts w:eastAsia="Calibri"/>
                <w:lang w:val="es-ES"/>
              </w:rPr>
              <w:t>la</w:t>
            </w:r>
            <w:r w:rsidR="00B20F1E" w:rsidRPr="000D2717">
              <w:rPr>
                <w:rFonts w:eastAsia="Calibri"/>
                <w:lang w:val="es-ES"/>
              </w:rPr>
              <w:t xml:space="preserve"> alternativa 1 del </w:t>
            </w:r>
            <w:r w:rsidR="00B20F1E">
              <w:rPr>
                <w:rFonts w:eastAsia="Calibri"/>
                <w:lang w:val="es-ES"/>
              </w:rPr>
              <w:t>enfoque</w:t>
            </w:r>
            <w:r w:rsidR="00B20F1E" w:rsidRPr="000D2717">
              <w:rPr>
                <w:rFonts w:eastAsia="Calibri"/>
                <w:lang w:val="es-ES"/>
              </w:rPr>
              <w:t xml:space="preserve"> 1.</w:t>
            </w:r>
          </w:p>
          <w:p w14:paraId="6A60CC42" w14:textId="77777777" w:rsidR="00B20F1E" w:rsidRPr="000D2717" w:rsidRDefault="00B20F1E" w:rsidP="0056026E">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1E88DFD0" w14:textId="77777777" w:rsidR="00B20F1E" w:rsidRPr="009D15ED" w:rsidRDefault="00B20F1E" w:rsidP="0056026E">
            <w:pPr>
              <w:pStyle w:val="Tabletext"/>
              <w:rPr>
                <w:rFonts w:eastAsia="Calibri"/>
                <w:b/>
                <w:bCs/>
                <w:color w:val="000000"/>
                <w:lang w:val="es-ES"/>
              </w:rPr>
            </w:pPr>
            <w:r w:rsidRPr="009D15ED">
              <w:rPr>
                <w:rFonts w:eastAsia="Calibri"/>
                <w:b/>
                <w:bCs/>
                <w:i/>
                <w:color w:val="000000"/>
                <w:lang w:val="es-ES"/>
              </w:rPr>
              <w:t>Solicitar a las administraciones de la UAT que:</w:t>
            </w:r>
          </w:p>
          <w:p w14:paraId="03FEEE41" w14:textId="77777777" w:rsidR="00B20F1E" w:rsidRPr="000D2717" w:rsidRDefault="00B20F1E" w:rsidP="0056026E">
            <w:pPr>
              <w:pStyle w:val="Tabletext"/>
              <w:rPr>
                <w:rFonts w:eastAsia="Calibri"/>
                <w:i/>
                <w:color w:val="000000"/>
                <w:lang w:val="es-ES"/>
              </w:rPr>
            </w:pPr>
            <w:r w:rsidRPr="009D15ED">
              <w:rPr>
                <w:rFonts w:eastAsia="Calibri"/>
                <w:b/>
                <w:bCs/>
                <w:lang w:val="es-ES"/>
              </w:rPr>
              <w:t>Apoyen</w:t>
            </w:r>
            <w:r w:rsidRPr="000D2717">
              <w:rPr>
                <w:rFonts w:eastAsia="Calibri"/>
                <w:lang w:val="es-ES"/>
              </w:rPr>
              <w:t xml:space="preserve"> la</w:t>
            </w:r>
            <w:r>
              <w:rPr>
                <w:rFonts w:eastAsia="Calibri"/>
                <w:lang w:val="es-ES"/>
              </w:rPr>
              <w:t xml:space="preserve"> </w:t>
            </w:r>
            <w:r w:rsidRPr="00DB5622">
              <w:rPr>
                <w:rFonts w:eastAsia="Calibri"/>
                <w:lang w:val="es-ES"/>
              </w:rPr>
              <w:t xml:space="preserve">AFCP </w:t>
            </w:r>
            <w:r>
              <w:rPr>
                <w:rFonts w:eastAsia="Calibri"/>
                <w:lang w:val="es-ES"/>
              </w:rPr>
              <w:t>en relación con este</w:t>
            </w:r>
            <w:r w:rsidRPr="000D2717">
              <w:rPr>
                <w:rFonts w:eastAsia="Calibri"/>
                <w:lang w:val="es-ES"/>
              </w:rPr>
              <w:t xml:space="preserve"> punto del orden del día</w:t>
            </w:r>
            <w:r w:rsidRPr="000D2717">
              <w:rPr>
                <w:rFonts w:eastAsia="Calibri"/>
                <w:color w:val="000000"/>
                <w:lang w:val="es-ES"/>
              </w:rPr>
              <w:t>.</w:t>
            </w:r>
          </w:p>
        </w:tc>
      </w:tr>
      <w:tr w:rsidR="00B20F1E" w:rsidRPr="00B707C8" w14:paraId="2874BFA7" w14:textId="77777777" w:rsidTr="00DB48C6">
        <w:trPr>
          <w:trHeight w:val="2117"/>
          <w:jc w:val="center"/>
        </w:trPr>
        <w:tc>
          <w:tcPr>
            <w:tcW w:w="3114" w:type="dxa"/>
          </w:tcPr>
          <w:p w14:paraId="3420D4E8" w14:textId="77777777" w:rsidR="00B20F1E" w:rsidRPr="009D15ED" w:rsidRDefault="00B20F1E" w:rsidP="0056026E">
            <w:pPr>
              <w:pStyle w:val="Tabletext"/>
              <w:rPr>
                <w:rFonts w:eastAsia="Calibri"/>
                <w:b/>
                <w:bCs/>
                <w:lang w:val="es-ES"/>
              </w:rPr>
            </w:pPr>
            <w:r w:rsidRPr="009D15ED">
              <w:rPr>
                <w:rFonts w:eastAsia="Calibri"/>
                <w:b/>
                <w:bCs/>
                <w:lang w:val="es-ES"/>
              </w:rPr>
              <w:lastRenderedPageBreak/>
              <w:t>Punto 9 (número 21.5 del RR)</w:t>
            </w:r>
          </w:p>
          <w:p w14:paraId="6A9486D8" w14:textId="77777777" w:rsidR="00B20F1E" w:rsidRPr="000D2717" w:rsidRDefault="00B20F1E" w:rsidP="0056026E">
            <w:pPr>
              <w:pStyle w:val="Tabletext"/>
              <w:rPr>
                <w:rFonts w:eastAsia="Calibri"/>
                <w:color w:val="000000"/>
                <w:lang w:val="es-ES"/>
              </w:rPr>
            </w:pPr>
            <w:r>
              <w:rPr>
                <w:rFonts w:eastAsia="Calibri"/>
                <w:lang w:val="es-ES"/>
              </w:rPr>
              <w:t>Forma de aplicar</w:t>
            </w:r>
            <w:r w:rsidRPr="000D2717">
              <w:rPr>
                <w:rFonts w:eastAsia="Calibri"/>
                <w:lang w:val="es-ES"/>
              </w:rPr>
              <w:t xml:space="preserve"> el </w:t>
            </w:r>
            <w:r>
              <w:rPr>
                <w:rFonts w:eastAsia="Calibri"/>
                <w:lang w:val="es-ES"/>
              </w:rPr>
              <w:t>número</w:t>
            </w:r>
            <w:r w:rsidRPr="000D2717">
              <w:rPr>
                <w:rFonts w:eastAsia="Calibri"/>
                <w:lang w:val="es-ES"/>
              </w:rPr>
              <w:t xml:space="preserve"> </w:t>
            </w:r>
            <w:r w:rsidRPr="009D15ED">
              <w:rPr>
                <w:rFonts w:eastAsia="Calibri"/>
                <w:b/>
                <w:bCs/>
                <w:lang w:val="es-ES"/>
              </w:rPr>
              <w:t>21.5</w:t>
            </w:r>
            <w:r w:rsidRPr="000D2717">
              <w:rPr>
                <w:rFonts w:eastAsia="Calibri"/>
                <w:lang w:val="es-ES"/>
              </w:rPr>
              <w:t xml:space="preserve"> </w:t>
            </w:r>
            <w:r>
              <w:rPr>
                <w:rFonts w:eastAsia="Calibri"/>
                <w:lang w:val="es-ES"/>
              </w:rPr>
              <w:t xml:space="preserve">del RR </w:t>
            </w:r>
            <w:r w:rsidRPr="000D2717">
              <w:rPr>
                <w:rFonts w:eastAsia="Calibri"/>
                <w:lang w:val="es-ES"/>
              </w:rPr>
              <w:t xml:space="preserve">a las estaciones IMT que utilizan sistemas de antenas avanzados (AAS). </w:t>
            </w:r>
          </w:p>
        </w:tc>
        <w:tc>
          <w:tcPr>
            <w:tcW w:w="6662" w:type="dxa"/>
          </w:tcPr>
          <w:p w14:paraId="5F060002" w14:textId="77777777" w:rsidR="00B20F1E" w:rsidRPr="000D2717" w:rsidRDefault="00B20F1E" w:rsidP="0056026E">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043B2A04" w14:textId="77777777" w:rsidR="00B20F1E" w:rsidRPr="000D2717" w:rsidRDefault="00B20F1E" w:rsidP="0056026E">
            <w:pPr>
              <w:pStyle w:val="Tabletext"/>
              <w:rPr>
                <w:rFonts w:eastAsia="Calibri"/>
                <w:lang w:val="es-ES"/>
              </w:rPr>
            </w:pPr>
            <w:r w:rsidRPr="009D15ED">
              <w:rPr>
                <w:rFonts w:eastAsia="Calibri"/>
                <w:b/>
                <w:bCs/>
                <w:lang w:val="es-ES"/>
              </w:rPr>
              <w:t>Apoyar</w:t>
            </w:r>
            <w:r w:rsidRPr="000D2717">
              <w:rPr>
                <w:rFonts w:eastAsia="Calibri"/>
                <w:lang w:val="es-ES"/>
              </w:rPr>
              <w:t xml:space="preserve"> </w:t>
            </w:r>
            <w:r w:rsidRPr="0071557F">
              <w:rPr>
                <w:rFonts w:eastAsia="Calibri"/>
                <w:bCs/>
                <w:lang w:val="es-ES"/>
              </w:rPr>
              <w:t>el</w:t>
            </w:r>
            <w:r w:rsidRPr="000D2717">
              <w:rPr>
                <w:rFonts w:eastAsia="Calibri"/>
                <w:lang w:val="es-ES"/>
              </w:rPr>
              <w:t xml:space="preserve"> examen de este </w:t>
            </w:r>
            <w:r>
              <w:rPr>
                <w:rFonts w:eastAsia="Calibri"/>
                <w:lang w:val="es-ES"/>
              </w:rPr>
              <w:t>tema</w:t>
            </w:r>
            <w:r w:rsidRPr="000D2717">
              <w:rPr>
                <w:rFonts w:eastAsia="Calibri"/>
                <w:lang w:val="es-ES"/>
              </w:rPr>
              <w:t xml:space="preserve"> en la CMR-23 sobre la base de los elementos proporcionados en el Informe del Director de la Oficina de Radiocomunicaciones</w:t>
            </w:r>
            <w:r>
              <w:rPr>
                <w:rFonts w:eastAsia="Calibri"/>
                <w:lang w:val="es-ES"/>
              </w:rPr>
              <w:t>,</w:t>
            </w:r>
            <w:r w:rsidRPr="000D2717">
              <w:rPr>
                <w:rFonts w:eastAsia="Calibri"/>
                <w:lang w:val="es-ES"/>
              </w:rPr>
              <w:t xml:space="preserve"> </w:t>
            </w:r>
            <w:r>
              <w:rPr>
                <w:rFonts w:eastAsia="Calibri"/>
                <w:lang w:val="es-ES"/>
              </w:rPr>
              <w:t xml:space="preserve">en relación con el grado de </w:t>
            </w:r>
            <w:r w:rsidRPr="000D2717">
              <w:rPr>
                <w:rFonts w:eastAsia="Calibri"/>
                <w:lang w:val="es-ES"/>
              </w:rPr>
              <w:t xml:space="preserve">aplicabilidad de los límites especificados en el número 21.5 del RR a las estaciones IMT que utilizan sistemas </w:t>
            </w:r>
            <w:r>
              <w:rPr>
                <w:rFonts w:eastAsia="Calibri"/>
                <w:lang w:val="es-ES"/>
              </w:rPr>
              <w:t xml:space="preserve">activos </w:t>
            </w:r>
            <w:r w:rsidRPr="000D2717">
              <w:rPr>
                <w:rFonts w:eastAsia="Calibri"/>
                <w:lang w:val="es-ES"/>
              </w:rPr>
              <w:t>de antena</w:t>
            </w:r>
            <w:r>
              <w:rPr>
                <w:rFonts w:eastAsia="Calibri"/>
                <w:lang w:val="es-ES"/>
              </w:rPr>
              <w:t>s</w:t>
            </w:r>
            <w:r w:rsidRPr="000D2717">
              <w:rPr>
                <w:rFonts w:eastAsia="Calibri"/>
                <w:lang w:val="es-ES"/>
              </w:rPr>
              <w:t xml:space="preserve"> (AAS) y la verificación del número 21.5 del RR relativo a la notificación de las estaciones IMT que utilizan AAS en la banda de 26 GHz, de conformidad con el Documento 550 de la CMR-19 y </w:t>
            </w:r>
            <w:r>
              <w:rPr>
                <w:rFonts w:eastAsia="Calibri"/>
                <w:lang w:val="es-ES"/>
              </w:rPr>
              <w:t xml:space="preserve">la </w:t>
            </w:r>
            <w:r w:rsidRPr="000D2717">
              <w:rPr>
                <w:rFonts w:eastAsia="Calibri"/>
                <w:lang w:val="es-ES"/>
              </w:rPr>
              <w:t xml:space="preserve">CA/251, </w:t>
            </w:r>
            <w:r>
              <w:rPr>
                <w:rFonts w:eastAsia="Calibri"/>
                <w:lang w:val="es-ES"/>
              </w:rPr>
              <w:t>a saber</w:t>
            </w:r>
            <w:r w:rsidRPr="000D2717">
              <w:rPr>
                <w:rFonts w:eastAsia="Calibri"/>
                <w:lang w:val="es-ES"/>
              </w:rPr>
              <w:t xml:space="preserve">, "Verificación del número </w:t>
            </w:r>
            <w:r w:rsidRPr="005262F2">
              <w:rPr>
                <w:rFonts w:eastAsia="Calibri"/>
                <w:bCs/>
                <w:lang w:val="es-ES"/>
              </w:rPr>
              <w:t>21</w:t>
            </w:r>
            <w:r w:rsidRPr="000D2717">
              <w:rPr>
                <w:rFonts w:eastAsia="Calibri"/>
                <w:lang w:val="es-ES"/>
              </w:rPr>
              <w:t xml:space="preserve">.5 para la notificación de las estaciones IMT que funcionan en la banda de frecuencias 24,45-27,5 GHz y utilizan una antena </w:t>
            </w:r>
            <w:r>
              <w:rPr>
                <w:rFonts w:eastAsia="Calibri"/>
                <w:lang w:val="es-ES"/>
              </w:rPr>
              <w:t>formada por</w:t>
            </w:r>
            <w:r w:rsidRPr="000D2717">
              <w:rPr>
                <w:rFonts w:eastAsia="Calibri"/>
                <w:lang w:val="es-ES"/>
              </w:rPr>
              <w:t xml:space="preserve"> un conjunto de elementos activos".</w:t>
            </w:r>
          </w:p>
          <w:p w14:paraId="6CC79465" w14:textId="77777777" w:rsidR="00B20F1E" w:rsidRPr="000D2717" w:rsidRDefault="00B20F1E" w:rsidP="0056026E">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3F94E8B1" w14:textId="77777777" w:rsidR="00B20F1E" w:rsidRPr="009D15ED" w:rsidRDefault="00B20F1E" w:rsidP="0056026E">
            <w:pPr>
              <w:pStyle w:val="Tabletext"/>
              <w:rPr>
                <w:rFonts w:eastAsia="Calibri"/>
                <w:b/>
                <w:bCs/>
                <w:i/>
                <w:lang w:val="es-ES"/>
              </w:rPr>
            </w:pPr>
            <w:r w:rsidRPr="009D15ED">
              <w:rPr>
                <w:rFonts w:eastAsia="Calibri"/>
                <w:b/>
                <w:bCs/>
                <w:i/>
                <w:lang w:val="es-ES"/>
              </w:rPr>
              <w:t>La RPU23-4 convino en pedir al Secretario General de la UAT que:</w:t>
            </w:r>
          </w:p>
          <w:p w14:paraId="4EAFADD5" w14:textId="77777777" w:rsidR="00B20F1E" w:rsidRPr="000D2717" w:rsidRDefault="00B20F1E" w:rsidP="0056026E">
            <w:pPr>
              <w:pStyle w:val="Tabletext"/>
              <w:rPr>
                <w:rFonts w:eastAsia="Calibri"/>
                <w:lang w:val="es-ES"/>
              </w:rPr>
            </w:pPr>
            <w:r w:rsidRPr="009D15ED">
              <w:rPr>
                <w:rFonts w:eastAsia="Calibri"/>
                <w:b/>
                <w:bCs/>
                <w:lang w:val="es-ES"/>
              </w:rPr>
              <w:t>Organice</w:t>
            </w:r>
            <w:r w:rsidRPr="000D2717">
              <w:rPr>
                <w:rFonts w:eastAsia="Calibri"/>
                <w:lang w:val="es-ES"/>
              </w:rPr>
              <w:t xml:space="preserve"> un </w:t>
            </w:r>
            <w:r>
              <w:rPr>
                <w:rFonts w:eastAsia="Calibri"/>
                <w:lang w:val="es-ES"/>
              </w:rPr>
              <w:t>t</w:t>
            </w:r>
            <w:r w:rsidRPr="000D2717">
              <w:rPr>
                <w:rFonts w:eastAsia="Calibri"/>
                <w:lang w:val="es-ES"/>
              </w:rPr>
              <w:t xml:space="preserve">aller para </w:t>
            </w:r>
            <w:r>
              <w:rPr>
                <w:rFonts w:eastAsia="Calibri"/>
                <w:lang w:val="es-ES"/>
              </w:rPr>
              <w:t>informar</w:t>
            </w:r>
            <w:r w:rsidRPr="000D2717">
              <w:rPr>
                <w:rFonts w:eastAsia="Calibri"/>
                <w:lang w:val="es-ES"/>
              </w:rPr>
              <w:t xml:space="preserve"> a las Administraciones </w:t>
            </w:r>
            <w:r>
              <w:rPr>
                <w:rFonts w:eastAsia="Calibri"/>
                <w:lang w:val="es-ES"/>
              </w:rPr>
              <w:t>de</w:t>
            </w:r>
            <w:r w:rsidRPr="000D2717">
              <w:rPr>
                <w:rFonts w:eastAsia="Calibri"/>
                <w:lang w:val="es-ES"/>
              </w:rPr>
              <w:t xml:space="preserve"> los detalles técnicos de las disposiciones del</w:t>
            </w:r>
            <w:r>
              <w:rPr>
                <w:rFonts w:eastAsia="Calibri"/>
                <w:lang w:val="es-ES"/>
              </w:rPr>
              <w:t xml:space="preserve"> número </w:t>
            </w:r>
            <w:r w:rsidRPr="0043059C">
              <w:rPr>
                <w:rFonts w:eastAsia="Calibri"/>
                <w:b/>
                <w:bCs/>
                <w:lang w:val="es-ES"/>
              </w:rPr>
              <w:t>21.5</w:t>
            </w:r>
            <w:r w:rsidRPr="000D2717">
              <w:rPr>
                <w:rFonts w:eastAsia="Calibri"/>
                <w:lang w:val="es-ES"/>
              </w:rPr>
              <w:t xml:space="preserve"> </w:t>
            </w:r>
            <w:r>
              <w:rPr>
                <w:rFonts w:eastAsia="Calibri"/>
                <w:lang w:val="es-ES"/>
              </w:rPr>
              <w:t xml:space="preserve">del RR </w:t>
            </w:r>
            <w:r w:rsidRPr="000D2717">
              <w:rPr>
                <w:rFonts w:eastAsia="Calibri"/>
                <w:lang w:val="es-ES"/>
              </w:rPr>
              <w:t xml:space="preserve">y los requisitos de los estudios solicitados en el Documento 550 de la CMR-19, con </w:t>
            </w:r>
            <w:r>
              <w:rPr>
                <w:rFonts w:eastAsia="Calibri"/>
                <w:lang w:val="es-ES"/>
              </w:rPr>
              <w:t>miras</w:t>
            </w:r>
            <w:r w:rsidRPr="000D2717">
              <w:rPr>
                <w:rFonts w:eastAsia="Calibri"/>
                <w:lang w:val="es-ES"/>
              </w:rPr>
              <w:t xml:space="preserve"> a </w:t>
            </w:r>
            <w:r>
              <w:rPr>
                <w:rFonts w:eastAsia="Calibri"/>
                <w:lang w:val="es-ES"/>
              </w:rPr>
              <w:t>tener una comprensión más cabal</w:t>
            </w:r>
            <w:r w:rsidRPr="000D2717">
              <w:rPr>
                <w:rFonts w:eastAsia="Calibri"/>
                <w:lang w:val="es-ES"/>
              </w:rPr>
              <w:t xml:space="preserve"> </w:t>
            </w:r>
            <w:r>
              <w:rPr>
                <w:rFonts w:eastAsia="Calibri"/>
                <w:lang w:val="es-ES"/>
              </w:rPr>
              <w:t>de esas</w:t>
            </w:r>
            <w:r w:rsidRPr="000D2717">
              <w:rPr>
                <w:rFonts w:eastAsia="Calibri"/>
                <w:lang w:val="es-ES"/>
              </w:rPr>
              <w:t xml:space="preserve"> disposiciones, </w:t>
            </w:r>
            <w:r>
              <w:rPr>
                <w:rFonts w:eastAsia="Calibri"/>
                <w:lang w:val="es-ES"/>
              </w:rPr>
              <w:t>a fin de</w:t>
            </w:r>
            <w:r w:rsidRPr="000D2717">
              <w:rPr>
                <w:rFonts w:eastAsia="Calibri"/>
                <w:lang w:val="es-ES"/>
              </w:rPr>
              <w:t xml:space="preserve"> garantizar una interpretación adecuada </w:t>
            </w:r>
            <w:r>
              <w:rPr>
                <w:rFonts w:eastAsia="Calibri"/>
                <w:lang w:val="es-ES"/>
              </w:rPr>
              <w:t>al examinar</w:t>
            </w:r>
            <w:r w:rsidRPr="000D2717">
              <w:rPr>
                <w:rFonts w:eastAsia="Calibri"/>
                <w:lang w:val="es-ES"/>
              </w:rPr>
              <w:t xml:space="preserve"> el Informe en la CMR-23, en colaboración con el equipo de </w:t>
            </w:r>
            <w:r>
              <w:rPr>
                <w:rFonts w:eastAsia="Calibri"/>
                <w:lang w:val="es-ES"/>
              </w:rPr>
              <w:t>dirección</w:t>
            </w:r>
            <w:r w:rsidRPr="000D2717">
              <w:rPr>
                <w:rFonts w:eastAsia="Calibri"/>
                <w:lang w:val="es-ES"/>
              </w:rPr>
              <w:t xml:space="preserve"> del Grupo de Trabajo 1A, con la debida antelación a la CMR-23.</w:t>
            </w:r>
          </w:p>
          <w:p w14:paraId="44ACB4EC" w14:textId="77777777" w:rsidR="00B20F1E" w:rsidRPr="009D15ED" w:rsidRDefault="00B20F1E" w:rsidP="0056026E">
            <w:pPr>
              <w:pStyle w:val="Tabletext"/>
              <w:rPr>
                <w:rFonts w:eastAsia="Calibri"/>
                <w:b/>
                <w:bCs/>
                <w:i/>
                <w:lang w:val="es-ES"/>
              </w:rPr>
            </w:pPr>
            <w:r w:rsidRPr="009D15ED">
              <w:rPr>
                <w:rFonts w:eastAsia="Calibri"/>
                <w:b/>
                <w:bCs/>
                <w:i/>
                <w:lang w:val="es-ES"/>
              </w:rPr>
              <w:t>La RPU23-4 convino en pedir a las Administraciones de la UAT que:</w:t>
            </w:r>
          </w:p>
          <w:p w14:paraId="30A594D5" w14:textId="0B99EDFD" w:rsidR="00B20F1E" w:rsidRPr="000D2717" w:rsidRDefault="009D15ED" w:rsidP="009D15ED">
            <w:pPr>
              <w:pStyle w:val="Tabletext"/>
              <w:ind w:left="284" w:hanging="284"/>
              <w:rPr>
                <w:rFonts w:eastAsia="Calibri"/>
                <w:color w:val="000000"/>
                <w:lang w:val="es-ES"/>
              </w:rPr>
            </w:pPr>
            <w:r>
              <w:rPr>
                <w:rFonts w:eastAsia="Calibri"/>
                <w:color w:val="000000"/>
                <w:lang w:val="es-ES"/>
              </w:rPr>
              <w:t>1</w:t>
            </w:r>
            <w:r>
              <w:rPr>
                <w:rFonts w:eastAsia="Calibri"/>
                <w:color w:val="000000"/>
                <w:lang w:val="es-ES"/>
              </w:rPr>
              <w:tab/>
            </w:r>
            <w:r w:rsidR="00B20F1E" w:rsidRPr="009D15ED">
              <w:rPr>
                <w:rFonts w:eastAsia="Calibri"/>
                <w:b/>
                <w:bCs/>
                <w:color w:val="000000"/>
                <w:lang w:val="es-ES"/>
              </w:rPr>
              <w:t>Examinen y revisen</w:t>
            </w:r>
            <w:r w:rsidR="00B20F1E" w:rsidRPr="000D2717">
              <w:rPr>
                <w:rFonts w:eastAsia="Calibri"/>
                <w:color w:val="000000"/>
                <w:lang w:val="es-ES"/>
              </w:rPr>
              <w:t xml:space="preserve"> el material disponible </w:t>
            </w:r>
            <w:r w:rsidR="00B20F1E">
              <w:rPr>
                <w:rFonts w:eastAsia="Calibri"/>
                <w:color w:val="000000"/>
                <w:lang w:val="es-ES"/>
              </w:rPr>
              <w:t>relativo a</w:t>
            </w:r>
            <w:r w:rsidR="00B20F1E" w:rsidRPr="000D2717">
              <w:rPr>
                <w:rFonts w:eastAsia="Calibri"/>
                <w:color w:val="000000"/>
                <w:lang w:val="es-ES"/>
              </w:rPr>
              <w:t xml:space="preserve"> los elementos </w:t>
            </w:r>
            <w:r w:rsidR="00B20F1E">
              <w:rPr>
                <w:rFonts w:eastAsia="Calibri"/>
                <w:color w:val="000000"/>
                <w:lang w:val="es-ES"/>
              </w:rPr>
              <w:t>debatidos</w:t>
            </w:r>
            <w:r w:rsidR="00B20F1E" w:rsidRPr="000D2717">
              <w:rPr>
                <w:rFonts w:eastAsia="Calibri"/>
                <w:color w:val="000000"/>
                <w:lang w:val="es-ES"/>
              </w:rPr>
              <w:t xml:space="preserve"> en los estudios del UIT-R (Anexo 4.5 al Informe del Presidente del GT 5D (Documento 5D/1555)) sobre los estudios solicitados en el Documento 550 de la CMR-19;</w:t>
            </w:r>
          </w:p>
          <w:p w14:paraId="5B4B73B6" w14:textId="71AA6F50" w:rsidR="00B20F1E" w:rsidRPr="000D2717" w:rsidRDefault="009D15ED" w:rsidP="009D15ED">
            <w:pPr>
              <w:pStyle w:val="Tabletext"/>
              <w:ind w:left="284" w:hanging="284"/>
              <w:rPr>
                <w:rFonts w:eastAsia="Calibri"/>
                <w:color w:val="000000"/>
                <w:lang w:val="es-ES"/>
              </w:rPr>
            </w:pPr>
            <w:r>
              <w:rPr>
                <w:rFonts w:eastAsia="Calibri"/>
                <w:color w:val="000000"/>
                <w:lang w:val="es-ES"/>
              </w:rPr>
              <w:t>2</w:t>
            </w:r>
            <w:r>
              <w:rPr>
                <w:rFonts w:eastAsia="Calibri"/>
                <w:color w:val="000000"/>
                <w:lang w:val="es-ES"/>
              </w:rPr>
              <w:tab/>
            </w:r>
            <w:r w:rsidR="00B20F1E" w:rsidRPr="009D15ED">
              <w:rPr>
                <w:rFonts w:eastAsia="Calibri"/>
                <w:b/>
                <w:bCs/>
                <w:color w:val="000000"/>
                <w:lang w:val="es-ES"/>
              </w:rPr>
              <w:t>Participen activamente</w:t>
            </w:r>
            <w:r w:rsidR="00B20F1E" w:rsidRPr="000D2717">
              <w:rPr>
                <w:rFonts w:eastAsia="Calibri"/>
                <w:color w:val="000000"/>
                <w:lang w:val="es-ES"/>
              </w:rPr>
              <w:t xml:space="preserve"> </w:t>
            </w:r>
            <w:r w:rsidR="00B20F1E" w:rsidRPr="000D2717">
              <w:rPr>
                <w:rFonts w:eastAsia="Calibri"/>
                <w:lang w:val="es-ES"/>
              </w:rPr>
              <w:t xml:space="preserve">en </w:t>
            </w:r>
            <w:r w:rsidR="00B20F1E" w:rsidRPr="000D2717">
              <w:rPr>
                <w:rFonts w:eastAsia="Calibri"/>
                <w:color w:val="000000"/>
                <w:lang w:val="es-ES"/>
              </w:rPr>
              <w:t xml:space="preserve">el taller </w:t>
            </w:r>
            <w:r w:rsidR="00B20F1E" w:rsidRPr="00754433">
              <w:rPr>
                <w:rFonts w:eastAsia="Calibri"/>
                <w:bCs/>
                <w:color w:val="000000"/>
                <w:lang w:val="es-ES"/>
              </w:rPr>
              <w:t>que se prevé</w:t>
            </w:r>
            <w:r w:rsidR="00B20F1E" w:rsidRPr="000D2717">
              <w:rPr>
                <w:rFonts w:eastAsia="Calibri"/>
                <w:color w:val="000000"/>
                <w:lang w:val="es-ES"/>
              </w:rPr>
              <w:t xml:space="preserve"> organizar para </w:t>
            </w:r>
            <w:r w:rsidR="00B20F1E">
              <w:rPr>
                <w:rFonts w:eastAsia="Calibri"/>
                <w:color w:val="000000"/>
                <w:lang w:val="es-ES"/>
              </w:rPr>
              <w:t>examinar</w:t>
            </w:r>
            <w:r w:rsidR="00B20F1E" w:rsidRPr="000D2717">
              <w:rPr>
                <w:rFonts w:eastAsia="Calibri"/>
                <w:color w:val="000000"/>
                <w:lang w:val="es-ES"/>
              </w:rPr>
              <w:t xml:space="preserve"> y debatir los posibles resultados sobre </w:t>
            </w:r>
            <w:r w:rsidR="00B20F1E">
              <w:rPr>
                <w:rFonts w:eastAsia="Calibri"/>
                <w:color w:val="000000"/>
                <w:lang w:val="es-ES"/>
              </w:rPr>
              <w:t xml:space="preserve">los </w:t>
            </w:r>
            <w:r w:rsidR="00B20F1E" w:rsidRPr="000D2717">
              <w:rPr>
                <w:rFonts w:eastAsia="Calibri"/>
                <w:color w:val="000000"/>
                <w:lang w:val="es-ES"/>
              </w:rPr>
              <w:t>enfoques y aspectos relativos al Documento 550;</w:t>
            </w:r>
          </w:p>
          <w:p w14:paraId="78A30021" w14:textId="03EA5043" w:rsidR="00B20F1E" w:rsidRPr="000D2717" w:rsidRDefault="009D15ED" w:rsidP="009D15ED">
            <w:pPr>
              <w:pStyle w:val="Tabletext"/>
              <w:ind w:left="284" w:hanging="284"/>
              <w:rPr>
                <w:rFonts w:eastAsia="Calibri"/>
                <w:color w:val="000000"/>
                <w:lang w:val="es-ES"/>
              </w:rPr>
            </w:pPr>
            <w:r>
              <w:rPr>
                <w:rFonts w:eastAsia="Calibri"/>
                <w:color w:val="000000"/>
                <w:lang w:val="es-ES"/>
              </w:rPr>
              <w:t>3</w:t>
            </w:r>
            <w:r>
              <w:rPr>
                <w:rFonts w:eastAsia="Calibri"/>
                <w:color w:val="000000"/>
                <w:lang w:val="es-ES"/>
              </w:rPr>
              <w:tab/>
            </w:r>
            <w:r w:rsidR="00B20F1E" w:rsidRPr="009D15ED">
              <w:rPr>
                <w:rFonts w:eastAsia="Calibri"/>
                <w:b/>
                <w:bCs/>
                <w:color w:val="000000"/>
                <w:lang w:val="es-ES"/>
              </w:rPr>
              <w:t>Contribuyan significativamente</w:t>
            </w:r>
            <w:r w:rsidR="00B20F1E" w:rsidRPr="000D2717">
              <w:rPr>
                <w:rFonts w:eastAsia="Calibri"/>
                <w:color w:val="000000"/>
                <w:lang w:val="es-ES"/>
              </w:rPr>
              <w:t xml:space="preserve"> </w:t>
            </w:r>
            <w:r w:rsidR="00B20F1E">
              <w:rPr>
                <w:rFonts w:eastAsia="Calibri"/>
                <w:color w:val="000000"/>
                <w:lang w:val="es-ES"/>
              </w:rPr>
              <w:t>a los debates</w:t>
            </w:r>
            <w:r w:rsidR="00B20F1E" w:rsidRPr="000D2717">
              <w:rPr>
                <w:rFonts w:eastAsia="Calibri"/>
                <w:color w:val="000000"/>
                <w:lang w:val="es-ES"/>
              </w:rPr>
              <w:t xml:space="preserve"> </w:t>
            </w:r>
            <w:r w:rsidR="00B20F1E">
              <w:rPr>
                <w:rFonts w:eastAsia="Calibri"/>
                <w:color w:val="000000"/>
                <w:lang w:val="es-ES"/>
              </w:rPr>
              <w:t>d</w:t>
            </w:r>
            <w:r w:rsidR="00B20F1E" w:rsidRPr="000D2717">
              <w:rPr>
                <w:rFonts w:eastAsia="Calibri"/>
                <w:color w:val="000000"/>
                <w:lang w:val="es-ES"/>
              </w:rPr>
              <w:t xml:space="preserve">el taller con el fin de </w:t>
            </w:r>
            <w:r w:rsidR="00B20F1E">
              <w:rPr>
                <w:rFonts w:eastAsia="Calibri"/>
                <w:color w:val="000000"/>
                <w:lang w:val="es-ES"/>
              </w:rPr>
              <w:t>formular</w:t>
            </w:r>
            <w:r w:rsidR="00B20F1E" w:rsidRPr="000D2717">
              <w:rPr>
                <w:rFonts w:eastAsia="Calibri"/>
                <w:color w:val="000000"/>
                <w:lang w:val="es-ES"/>
              </w:rPr>
              <w:t xml:space="preserve"> una posición adecuada, a tiempo para la CMR-23</w:t>
            </w:r>
            <w:r w:rsidR="00B20F1E">
              <w:rPr>
                <w:rFonts w:eastAsia="Calibri"/>
                <w:color w:val="000000"/>
                <w:lang w:val="es-ES"/>
              </w:rPr>
              <w:t>,</w:t>
            </w:r>
            <w:r w:rsidR="00B20F1E" w:rsidRPr="000D2717">
              <w:rPr>
                <w:rFonts w:eastAsia="Calibri"/>
                <w:color w:val="000000"/>
                <w:lang w:val="es-ES"/>
              </w:rPr>
              <w:t xml:space="preserve"> sobre la aplicabilidad de los límites especificados en el </w:t>
            </w:r>
            <w:r w:rsidR="00B20F1E">
              <w:rPr>
                <w:rFonts w:eastAsia="Calibri"/>
                <w:color w:val="000000"/>
                <w:lang w:val="es-ES"/>
              </w:rPr>
              <w:t>número</w:t>
            </w:r>
            <w:r w:rsidR="00B20F1E" w:rsidRPr="000D2717">
              <w:rPr>
                <w:rFonts w:eastAsia="Calibri"/>
                <w:color w:val="000000"/>
                <w:lang w:val="es-ES"/>
              </w:rPr>
              <w:t xml:space="preserve"> </w:t>
            </w:r>
            <w:r w:rsidR="00B20F1E" w:rsidRPr="009D15ED">
              <w:rPr>
                <w:rFonts w:eastAsia="Calibri"/>
                <w:b/>
                <w:bCs/>
                <w:color w:val="000000"/>
                <w:lang w:val="es-ES"/>
              </w:rPr>
              <w:t>21.5</w:t>
            </w:r>
            <w:r w:rsidR="00B20F1E" w:rsidRPr="000D2717">
              <w:rPr>
                <w:rFonts w:eastAsia="Calibri"/>
                <w:color w:val="000000"/>
                <w:lang w:val="es-ES"/>
              </w:rPr>
              <w:t xml:space="preserve"> </w:t>
            </w:r>
            <w:r w:rsidR="00B20F1E">
              <w:rPr>
                <w:rFonts w:eastAsia="Calibri"/>
                <w:color w:val="000000"/>
                <w:lang w:val="es-ES"/>
              </w:rPr>
              <w:t xml:space="preserve">del RR </w:t>
            </w:r>
            <w:r w:rsidR="00B20F1E" w:rsidRPr="000D2717">
              <w:rPr>
                <w:rFonts w:eastAsia="Calibri"/>
                <w:color w:val="000000"/>
                <w:lang w:val="es-ES"/>
              </w:rPr>
              <w:t>a las estaciones IMT que utilizan sistemas activ</w:t>
            </w:r>
            <w:r w:rsidR="00B20F1E">
              <w:rPr>
                <w:rFonts w:eastAsia="Calibri"/>
                <w:color w:val="000000"/>
                <w:lang w:val="es-ES"/>
              </w:rPr>
              <w:t>os</w:t>
            </w:r>
            <w:r w:rsidR="00B20F1E" w:rsidRPr="000D2717">
              <w:rPr>
                <w:rFonts w:eastAsia="Calibri"/>
                <w:color w:val="000000"/>
                <w:lang w:val="es-ES"/>
              </w:rPr>
              <w:t xml:space="preserve"> de antena (AAS) y la verificación del </w:t>
            </w:r>
            <w:r w:rsidR="00B20F1E">
              <w:rPr>
                <w:rFonts w:eastAsia="Calibri"/>
                <w:color w:val="000000"/>
                <w:lang w:val="es-ES"/>
              </w:rPr>
              <w:t>número</w:t>
            </w:r>
            <w:r w:rsidR="00B20F1E" w:rsidRPr="000D2717">
              <w:rPr>
                <w:rFonts w:eastAsia="Calibri"/>
                <w:color w:val="000000"/>
                <w:lang w:val="es-ES"/>
              </w:rPr>
              <w:t xml:space="preserve"> </w:t>
            </w:r>
            <w:r w:rsidR="00B20F1E" w:rsidRPr="009D15ED">
              <w:rPr>
                <w:rFonts w:eastAsia="Calibri"/>
                <w:b/>
                <w:bCs/>
                <w:color w:val="000000"/>
                <w:lang w:val="es-ES"/>
              </w:rPr>
              <w:t>21.5</w:t>
            </w:r>
            <w:r w:rsidR="00B20F1E" w:rsidRPr="000D2717">
              <w:rPr>
                <w:rFonts w:eastAsia="Calibri"/>
                <w:color w:val="000000"/>
                <w:lang w:val="es-ES"/>
              </w:rPr>
              <w:t xml:space="preserve"> </w:t>
            </w:r>
            <w:r w:rsidR="00B20F1E">
              <w:rPr>
                <w:rFonts w:eastAsia="Calibri"/>
                <w:color w:val="000000"/>
                <w:lang w:val="es-ES"/>
              </w:rPr>
              <w:t xml:space="preserve">del RR </w:t>
            </w:r>
            <w:r w:rsidR="00B20F1E" w:rsidRPr="000D2717">
              <w:rPr>
                <w:rFonts w:eastAsia="Calibri"/>
                <w:color w:val="000000"/>
                <w:lang w:val="es-ES"/>
              </w:rPr>
              <w:t xml:space="preserve">en </w:t>
            </w:r>
            <w:r w:rsidR="00B20F1E">
              <w:rPr>
                <w:rFonts w:eastAsia="Calibri"/>
                <w:color w:val="000000"/>
                <w:lang w:val="es-ES"/>
              </w:rPr>
              <w:t>lo concerniente a</w:t>
            </w:r>
            <w:r w:rsidR="00B20F1E" w:rsidRPr="000D2717">
              <w:rPr>
                <w:rFonts w:eastAsia="Calibri"/>
                <w:color w:val="000000"/>
                <w:lang w:val="es-ES"/>
              </w:rPr>
              <w:t xml:space="preserve"> la notificación de las estaciones IMT en la banda de 26 GHz.</w:t>
            </w:r>
          </w:p>
          <w:p w14:paraId="2048EB39" w14:textId="102717E3" w:rsidR="00B20F1E" w:rsidRPr="000D2717" w:rsidRDefault="009D15ED" w:rsidP="0056026E">
            <w:pPr>
              <w:pStyle w:val="Tabletext"/>
              <w:rPr>
                <w:rFonts w:eastAsia="Calibri"/>
                <w:color w:val="000000"/>
                <w:lang w:val="es-ES"/>
              </w:rPr>
            </w:pPr>
            <w:r>
              <w:rPr>
                <w:rFonts w:eastAsia="Calibri"/>
                <w:lang w:val="es-ES"/>
              </w:rPr>
              <w:t>4</w:t>
            </w:r>
            <w:r>
              <w:rPr>
                <w:rFonts w:eastAsia="Calibri"/>
                <w:lang w:val="es-ES"/>
              </w:rPr>
              <w:tab/>
            </w:r>
            <w:r w:rsidR="00B20F1E" w:rsidRPr="009D15ED">
              <w:rPr>
                <w:rFonts w:eastAsia="Calibri"/>
                <w:b/>
                <w:bCs/>
                <w:lang w:val="es-ES"/>
              </w:rPr>
              <w:t>Apoyen</w:t>
            </w:r>
            <w:r w:rsidR="00B20F1E" w:rsidRPr="000D2717">
              <w:rPr>
                <w:rFonts w:eastAsia="Calibri"/>
                <w:lang w:val="es-ES"/>
              </w:rPr>
              <w:t xml:space="preserve"> la</w:t>
            </w:r>
            <w:r w:rsidR="00B20F1E">
              <w:rPr>
                <w:rFonts w:eastAsia="Calibri"/>
                <w:lang w:val="es-ES"/>
              </w:rPr>
              <w:t xml:space="preserve"> </w:t>
            </w:r>
            <w:r w:rsidR="00B20F1E" w:rsidRPr="00DB5622">
              <w:rPr>
                <w:rFonts w:eastAsia="Calibri"/>
                <w:lang w:val="es-ES"/>
              </w:rPr>
              <w:t xml:space="preserve">AFCP </w:t>
            </w:r>
            <w:r w:rsidR="00B20F1E">
              <w:rPr>
                <w:rFonts w:eastAsia="Calibri"/>
                <w:lang w:val="es-ES"/>
              </w:rPr>
              <w:t>en relación con este</w:t>
            </w:r>
            <w:r w:rsidR="00B20F1E" w:rsidRPr="000D2717">
              <w:rPr>
                <w:rFonts w:eastAsia="Calibri"/>
                <w:lang w:val="es-ES"/>
              </w:rPr>
              <w:t xml:space="preserve"> punto del orden del día</w:t>
            </w:r>
            <w:r w:rsidR="00B20F1E" w:rsidRPr="000D2717">
              <w:rPr>
                <w:rFonts w:eastAsia="Calibri"/>
                <w:color w:val="000000"/>
                <w:lang w:val="es-ES"/>
              </w:rPr>
              <w:t>.</w:t>
            </w:r>
          </w:p>
        </w:tc>
      </w:tr>
    </w:tbl>
    <w:p w14:paraId="21E92A42" w14:textId="77777777" w:rsidR="00B20F1E" w:rsidRPr="000D2717" w:rsidRDefault="00B20F1E" w:rsidP="00B20F1E">
      <w:pPr>
        <w:rPr>
          <w:lang w:val="es-ES"/>
        </w:rPr>
      </w:pPr>
    </w:p>
    <w:p w14:paraId="0906EF7C" w14:textId="77777777" w:rsidR="00B20F1E" w:rsidRPr="000D2717" w:rsidRDefault="00B20F1E" w:rsidP="00B20F1E">
      <w:pPr>
        <w:overflowPunct/>
        <w:autoSpaceDE/>
        <w:autoSpaceDN/>
        <w:adjustRightInd/>
        <w:textAlignment w:val="auto"/>
        <w:rPr>
          <w:b/>
          <w:lang w:val="es-ES"/>
        </w:rPr>
      </w:pPr>
      <w:bookmarkStart w:id="10" w:name="_heading=h.1ksv4uv" w:colFirst="0" w:colLast="0"/>
      <w:bookmarkEnd w:id="10"/>
      <w:r w:rsidRPr="000D2717">
        <w:rPr>
          <w:lang w:val="es-ES"/>
        </w:rPr>
        <w:br w:type="page"/>
      </w:r>
    </w:p>
    <w:p w14:paraId="6A1E22CA" w14:textId="77777777" w:rsidR="00B20F1E" w:rsidRPr="000D2717" w:rsidRDefault="00B20F1E" w:rsidP="00B20F1E">
      <w:pPr>
        <w:pStyle w:val="Tabletitle"/>
        <w:rPr>
          <w:rFonts w:eastAsia="Calibri"/>
          <w:lang w:val="es-ES"/>
        </w:rPr>
      </w:pPr>
      <w:r w:rsidRPr="000D2717">
        <w:rPr>
          <w:lang w:val="es-ES"/>
        </w:rPr>
        <w:lastRenderedPageBreak/>
        <w:t xml:space="preserve">Puntos del orden del día del capítulo 2: </w:t>
      </w:r>
      <w:r>
        <w:rPr>
          <w:lang w:val="es-ES"/>
        </w:rPr>
        <w:t>aspectos</w:t>
      </w:r>
      <w:r w:rsidRPr="000D2717">
        <w:rPr>
          <w:lang w:val="es-ES"/>
        </w:rPr>
        <w:t xml:space="preserve"> </w:t>
      </w:r>
      <w:r>
        <w:rPr>
          <w:lang w:val="es-ES"/>
        </w:rPr>
        <w:t>relativos a los servicios aeronáuticos y marítimos</w:t>
      </w:r>
      <w:r w:rsidRPr="000D2717">
        <w:rPr>
          <w:lang w:val="es-ES"/>
        </w:rPr>
        <w:br/>
        <w:t>(Puntos 1.6, 1.7, 1.8, 1.9, 1.10, 1.11 y 9.1</w:t>
      </w:r>
      <w:r>
        <w:rPr>
          <w:lang w:val="es-ES"/>
        </w:rPr>
        <w:t xml:space="preserve">, </w:t>
      </w:r>
      <w:r w:rsidRPr="000D2717">
        <w:rPr>
          <w:lang w:val="es-ES"/>
        </w:rPr>
        <w:t>Tema B</w:t>
      </w:r>
      <w:r>
        <w:rPr>
          <w:lang w:val="es-ES"/>
        </w:rPr>
        <w:t>,</w:t>
      </w:r>
      <w:r w:rsidRPr="000D2717">
        <w:rPr>
          <w:lang w:val="es-ES"/>
        </w:rPr>
        <w:t xml:space="preserve"> del orden del día)</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6925"/>
      </w:tblGrid>
      <w:tr w:rsidR="00B20F1E" w:rsidRPr="00B707C8" w14:paraId="25A0D8E3" w14:textId="77777777" w:rsidTr="00DB48C6">
        <w:trPr>
          <w:jc w:val="center"/>
        </w:trPr>
        <w:tc>
          <w:tcPr>
            <w:tcW w:w="2340" w:type="dxa"/>
            <w:vAlign w:val="center"/>
          </w:tcPr>
          <w:p w14:paraId="212988CF" w14:textId="77777777" w:rsidR="00B20F1E" w:rsidRPr="000D2717" w:rsidRDefault="00B20F1E" w:rsidP="009D15ED">
            <w:pPr>
              <w:pStyle w:val="Tablehead"/>
              <w:rPr>
                <w:rFonts w:eastAsia="Calibri"/>
                <w:lang w:val="es-ES"/>
              </w:rPr>
            </w:pPr>
            <w:r w:rsidRPr="000D2717">
              <w:rPr>
                <w:rFonts w:eastAsia="Calibri"/>
                <w:lang w:val="es-ES"/>
              </w:rPr>
              <w:t>Punto del orden</w:t>
            </w:r>
            <w:r>
              <w:rPr>
                <w:rFonts w:eastAsia="Calibri"/>
                <w:lang w:val="es-ES"/>
              </w:rPr>
              <w:br/>
            </w:r>
            <w:r w:rsidRPr="000D2717">
              <w:rPr>
                <w:rFonts w:eastAsia="Calibri"/>
                <w:lang w:val="es-ES"/>
              </w:rPr>
              <w:t xml:space="preserve">del día </w:t>
            </w:r>
          </w:p>
        </w:tc>
        <w:tc>
          <w:tcPr>
            <w:tcW w:w="6925" w:type="dxa"/>
            <w:vAlign w:val="center"/>
          </w:tcPr>
          <w:p w14:paraId="5172367A" w14:textId="77777777" w:rsidR="00B20F1E" w:rsidRPr="000D2717" w:rsidRDefault="00B20F1E" w:rsidP="009D15ED">
            <w:pPr>
              <w:pStyle w:val="Tablehead"/>
              <w:rPr>
                <w:rFonts w:eastAsia="Calibri"/>
                <w:lang w:val="es-ES"/>
              </w:rPr>
            </w:pPr>
            <w:r w:rsidRPr="000D2717">
              <w:rPr>
                <w:rFonts w:eastAsia="Calibri"/>
                <w:lang w:val="es-ES"/>
              </w:rPr>
              <w:t>Posición común/propuesta africana (</w:t>
            </w:r>
            <w:r>
              <w:rPr>
                <w:rFonts w:eastAsia="Calibri"/>
                <w:lang w:val="es-ES"/>
              </w:rPr>
              <w:t>AFCP</w:t>
            </w:r>
            <w:r w:rsidRPr="000D2717">
              <w:rPr>
                <w:rFonts w:eastAsia="Calibri"/>
                <w:lang w:val="es-ES"/>
              </w:rPr>
              <w:t>)</w:t>
            </w:r>
          </w:p>
        </w:tc>
      </w:tr>
      <w:tr w:rsidR="00B20F1E" w:rsidRPr="00B707C8" w14:paraId="6CF8AD67" w14:textId="77777777" w:rsidTr="00DB48C6">
        <w:trPr>
          <w:jc w:val="center"/>
        </w:trPr>
        <w:tc>
          <w:tcPr>
            <w:tcW w:w="2340" w:type="dxa"/>
          </w:tcPr>
          <w:p w14:paraId="26AD4BE4" w14:textId="77777777" w:rsidR="00B20F1E" w:rsidRPr="009D15ED" w:rsidRDefault="00B20F1E" w:rsidP="009D15ED">
            <w:pPr>
              <w:pStyle w:val="Tabletext"/>
              <w:rPr>
                <w:rFonts w:eastAsia="Calibri"/>
                <w:b/>
                <w:bCs/>
                <w:lang w:val="es-ES"/>
              </w:rPr>
            </w:pPr>
            <w:r w:rsidRPr="009D15ED">
              <w:rPr>
                <w:rFonts w:eastAsia="Calibri"/>
                <w:b/>
                <w:bCs/>
                <w:lang w:val="es-ES"/>
              </w:rPr>
              <w:t>Punto 1.6</w:t>
            </w:r>
          </w:p>
          <w:p w14:paraId="614531FB" w14:textId="1DB84A15" w:rsidR="00B20F1E" w:rsidRPr="000D2717" w:rsidRDefault="00B20F1E" w:rsidP="009D15ED">
            <w:pPr>
              <w:pStyle w:val="Tabletext"/>
              <w:rPr>
                <w:rFonts w:eastAsia="Calibri"/>
                <w:lang w:val="es-ES"/>
              </w:rPr>
            </w:pPr>
            <w:r>
              <w:rPr>
                <w:rFonts w:eastAsia="Calibri"/>
                <w:color w:val="000000"/>
                <w:lang w:val="es-ES"/>
              </w:rPr>
              <w:t>C</w:t>
            </w:r>
            <w:r w:rsidRPr="0057792C">
              <w:rPr>
                <w:rFonts w:eastAsia="Calibri"/>
                <w:color w:val="000000"/>
                <w:lang w:val="es-ES"/>
              </w:rPr>
              <w:t xml:space="preserve">onsiderar, de conformidad con la Resolución </w:t>
            </w:r>
            <w:r w:rsidRPr="00B97EE3">
              <w:rPr>
                <w:rFonts w:eastAsia="Calibri"/>
                <w:b/>
                <w:bCs/>
                <w:color w:val="000000"/>
                <w:lang w:val="es-ES"/>
              </w:rPr>
              <w:t>772</w:t>
            </w:r>
            <w:r w:rsidRPr="0057792C">
              <w:rPr>
                <w:rFonts w:eastAsia="Calibri"/>
                <w:color w:val="000000"/>
                <w:lang w:val="es-ES"/>
              </w:rPr>
              <w:t xml:space="preserve"> (CMR</w:t>
            </w:r>
            <w:r w:rsidR="00B97EE3">
              <w:rPr>
                <w:rFonts w:eastAsia="Calibri"/>
                <w:color w:val="000000"/>
                <w:lang w:val="es-ES"/>
              </w:rPr>
              <w:noBreakHyphen/>
            </w:r>
            <w:r w:rsidRPr="0057792C">
              <w:rPr>
                <w:rFonts w:eastAsia="Calibri"/>
                <w:color w:val="000000"/>
                <w:lang w:val="es-ES"/>
              </w:rPr>
              <w:t>19), disposiciones reglamentarias destinadas a facilitar las radiocomunicaciones para vehículos suborbitales</w:t>
            </w:r>
          </w:p>
        </w:tc>
        <w:tc>
          <w:tcPr>
            <w:tcW w:w="6925" w:type="dxa"/>
          </w:tcPr>
          <w:p w14:paraId="369B6751" w14:textId="77777777" w:rsidR="00B20F1E" w:rsidRPr="000D2717" w:rsidRDefault="00B20F1E" w:rsidP="009D15ED">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02D74EF1" w14:textId="77777777" w:rsidR="00B20F1E" w:rsidRPr="000D2717" w:rsidRDefault="00B20F1E" w:rsidP="009D15ED">
            <w:pPr>
              <w:pStyle w:val="Tabletext"/>
              <w:rPr>
                <w:rFonts w:eastAsia="Calibri"/>
                <w:lang w:val="es-ES"/>
              </w:rPr>
            </w:pPr>
            <w:r w:rsidRPr="00B97EE3">
              <w:rPr>
                <w:rFonts w:eastAsia="Calibri"/>
                <w:b/>
                <w:bCs/>
                <w:lang w:val="es-ES"/>
              </w:rPr>
              <w:t>Apoyar el Método C</w:t>
            </w:r>
            <w:r>
              <w:rPr>
                <w:rFonts w:eastAsia="Calibri"/>
                <w:lang w:val="es-ES"/>
              </w:rPr>
              <w:t>,</w:t>
            </w:r>
            <w:r w:rsidRPr="000D2717">
              <w:rPr>
                <w:rFonts w:eastAsia="Calibri"/>
                <w:lang w:val="es-ES"/>
              </w:rPr>
              <w:t xml:space="preserve"> revisión de la Resolución 772 (CMR</w:t>
            </w:r>
            <w:r>
              <w:rPr>
                <w:rFonts w:eastAsia="Calibri"/>
                <w:lang w:val="es-ES"/>
              </w:rPr>
              <w:t>-</w:t>
            </w:r>
            <w:r w:rsidRPr="000D2717">
              <w:rPr>
                <w:rFonts w:eastAsia="Calibri"/>
                <w:lang w:val="es-ES"/>
              </w:rPr>
              <w:t xml:space="preserve">19), para aclarar la lista de estudios necesarios y ampliar su duración. </w:t>
            </w:r>
          </w:p>
          <w:p w14:paraId="18FC3617" w14:textId="77777777" w:rsidR="00B20F1E" w:rsidRPr="00B97EE3" w:rsidRDefault="00B20F1E" w:rsidP="009D15ED">
            <w:pPr>
              <w:pStyle w:val="Tabletext"/>
              <w:rPr>
                <w:rFonts w:eastAsia="Calibri"/>
                <w:b/>
                <w:bCs/>
                <w:lang w:val="es-ES"/>
              </w:rPr>
            </w:pPr>
            <w:r w:rsidRPr="00B97EE3">
              <w:rPr>
                <w:rFonts w:eastAsia="Calibri"/>
                <w:b/>
                <w:bCs/>
                <w:lang w:val="es-ES"/>
              </w:rPr>
              <w:t>Motivos:</w:t>
            </w:r>
          </w:p>
          <w:p w14:paraId="1EB3CF3A" w14:textId="649929C3" w:rsidR="00B20F1E" w:rsidRPr="000D2717" w:rsidRDefault="00B97EE3" w:rsidP="00B97EE3">
            <w:pPr>
              <w:pStyle w:val="Tabletext"/>
              <w:ind w:left="284" w:hanging="284"/>
              <w:rPr>
                <w:rFonts w:eastAsia="Calibri"/>
                <w:color w:val="000000"/>
                <w:lang w:val="es-ES"/>
              </w:rPr>
            </w:pPr>
            <w:r>
              <w:rPr>
                <w:rFonts w:eastAsia="Calibri"/>
                <w:color w:val="000000"/>
                <w:lang w:val="es-ES"/>
              </w:rPr>
              <w:t>1</w:t>
            </w:r>
            <w:r>
              <w:rPr>
                <w:rFonts w:eastAsia="Calibri"/>
                <w:color w:val="000000"/>
                <w:lang w:val="es-ES"/>
              </w:rPr>
              <w:tab/>
            </w:r>
            <w:r w:rsidR="00B20F1E" w:rsidRPr="000D2717">
              <w:rPr>
                <w:rFonts w:eastAsia="Calibri"/>
                <w:color w:val="000000"/>
                <w:lang w:val="es-ES"/>
              </w:rPr>
              <w:t xml:space="preserve">Los estudios </w:t>
            </w:r>
            <w:r w:rsidR="00B20F1E">
              <w:rPr>
                <w:rFonts w:eastAsia="Calibri"/>
                <w:color w:val="000000"/>
                <w:lang w:val="es-ES"/>
              </w:rPr>
              <w:t>que se piden</w:t>
            </w:r>
            <w:r w:rsidR="00B20F1E" w:rsidRPr="000D2717">
              <w:rPr>
                <w:rFonts w:eastAsia="Calibri"/>
                <w:color w:val="000000"/>
                <w:lang w:val="es-ES"/>
              </w:rPr>
              <w:t xml:space="preserve"> en el </w:t>
            </w:r>
            <w:r w:rsidR="00B20F1E" w:rsidRPr="000E51C6">
              <w:rPr>
                <w:rFonts w:eastAsia="Calibri"/>
                <w:i/>
                <w:iCs/>
                <w:color w:val="000000"/>
                <w:lang w:val="es-ES"/>
              </w:rPr>
              <w:t>resuelve</w:t>
            </w:r>
            <w:r w:rsidR="00B20F1E" w:rsidRPr="000D2717">
              <w:rPr>
                <w:rFonts w:eastAsia="Calibri"/>
                <w:color w:val="000000"/>
                <w:lang w:val="es-ES"/>
              </w:rPr>
              <w:t xml:space="preserve"> 2 de la </w:t>
            </w:r>
            <w:r w:rsidR="00B20F1E" w:rsidRPr="00B97EE3">
              <w:rPr>
                <w:rFonts w:eastAsia="Calibri"/>
                <w:b/>
                <w:bCs/>
                <w:color w:val="000000"/>
                <w:lang w:val="es-ES"/>
              </w:rPr>
              <w:t>Resolución 772 (CMR-19)</w:t>
            </w:r>
            <w:r w:rsidR="00B20F1E" w:rsidRPr="000D2717">
              <w:rPr>
                <w:rFonts w:eastAsia="Calibri"/>
                <w:color w:val="000000"/>
                <w:lang w:val="es-ES"/>
              </w:rPr>
              <w:t xml:space="preserve"> no se </w:t>
            </w:r>
            <w:r w:rsidR="00B20F1E">
              <w:rPr>
                <w:rFonts w:eastAsia="Calibri"/>
                <w:color w:val="000000"/>
                <w:lang w:val="es-ES"/>
              </w:rPr>
              <w:t>realizaron</w:t>
            </w:r>
            <w:r w:rsidR="00B20F1E" w:rsidRPr="000D2717">
              <w:rPr>
                <w:rFonts w:eastAsia="Calibri"/>
                <w:color w:val="000000"/>
                <w:lang w:val="es-ES"/>
              </w:rPr>
              <w:t xml:space="preserve"> </w:t>
            </w:r>
            <w:r w:rsidR="00B20F1E">
              <w:rPr>
                <w:rFonts w:eastAsia="Calibri"/>
                <w:color w:val="000000"/>
                <w:lang w:val="es-ES"/>
              </w:rPr>
              <w:t>para</w:t>
            </w:r>
            <w:r w:rsidR="00B20F1E" w:rsidRPr="000D2717">
              <w:rPr>
                <w:rFonts w:eastAsia="Calibri"/>
                <w:color w:val="000000"/>
                <w:lang w:val="es-ES"/>
              </w:rPr>
              <w:t xml:space="preserve"> la lista de posibles </w:t>
            </w:r>
            <w:r w:rsidR="00B20F1E">
              <w:rPr>
                <w:rFonts w:eastAsia="Calibri"/>
                <w:color w:val="000000"/>
                <w:lang w:val="es-ES"/>
              </w:rPr>
              <w:t>casos</w:t>
            </w:r>
            <w:r w:rsidR="00B20F1E" w:rsidRPr="000D2717">
              <w:rPr>
                <w:rFonts w:eastAsia="Calibri"/>
                <w:color w:val="000000"/>
                <w:lang w:val="es-ES"/>
              </w:rPr>
              <w:t xml:space="preserve"> de interferencia, incluidos los </w:t>
            </w:r>
            <w:r w:rsidR="00B20F1E">
              <w:rPr>
                <w:rFonts w:eastAsia="Calibri"/>
                <w:color w:val="000000"/>
                <w:lang w:val="es-ES"/>
              </w:rPr>
              <w:t>relativos a la utilización d</w:t>
            </w:r>
            <w:r w:rsidR="00B20F1E" w:rsidRPr="000D2717">
              <w:rPr>
                <w:rFonts w:eastAsia="Calibri"/>
                <w:color w:val="000000"/>
                <w:lang w:val="es-ES"/>
              </w:rPr>
              <w:t xml:space="preserve">e </w:t>
            </w:r>
            <w:r w:rsidR="00B20F1E" w:rsidRPr="000C32E8">
              <w:rPr>
                <w:rFonts w:eastAsia="Calibri"/>
                <w:color w:val="000000"/>
                <w:lang w:val="es-ES"/>
              </w:rPr>
              <w:t xml:space="preserve">estaciones terrenas/en tierra a bordo de vehículos suborbitales en un segmento de su trayectoria de vuelo que </w:t>
            </w:r>
            <w:r w:rsidR="00B20F1E">
              <w:rPr>
                <w:rFonts w:eastAsia="Calibri"/>
                <w:color w:val="000000"/>
                <w:lang w:val="es-ES"/>
              </w:rPr>
              <w:t>comprenda</w:t>
            </w:r>
            <w:r w:rsidR="00B20F1E" w:rsidRPr="000C32E8">
              <w:rPr>
                <w:rFonts w:eastAsia="Calibri"/>
                <w:color w:val="000000"/>
                <w:lang w:val="es-ES"/>
              </w:rPr>
              <w:t xml:space="preserve"> el espacio ultraterrestre</w:t>
            </w:r>
            <w:r w:rsidR="00B20F1E" w:rsidRPr="000D2717">
              <w:rPr>
                <w:rFonts w:eastAsia="Calibri"/>
                <w:color w:val="000000"/>
                <w:lang w:val="es-ES"/>
              </w:rPr>
              <w:t>.</w:t>
            </w:r>
          </w:p>
          <w:p w14:paraId="73219765" w14:textId="62D78F62" w:rsidR="00B20F1E" w:rsidRPr="000D2717" w:rsidRDefault="00B97EE3" w:rsidP="00B97EE3">
            <w:pPr>
              <w:pStyle w:val="Tabletext"/>
              <w:ind w:left="284" w:hanging="284"/>
              <w:rPr>
                <w:rFonts w:eastAsia="Calibri"/>
                <w:color w:val="000000"/>
                <w:lang w:val="es-ES"/>
              </w:rPr>
            </w:pPr>
            <w:r>
              <w:rPr>
                <w:rFonts w:eastAsia="Calibri"/>
                <w:color w:val="000000"/>
                <w:lang w:val="es-ES"/>
              </w:rPr>
              <w:t>2</w:t>
            </w:r>
            <w:r>
              <w:rPr>
                <w:rFonts w:eastAsia="Calibri"/>
                <w:color w:val="000000"/>
                <w:lang w:val="es-ES"/>
              </w:rPr>
              <w:tab/>
            </w:r>
            <w:r w:rsidR="00B20F1E" w:rsidRPr="000D2717">
              <w:rPr>
                <w:rFonts w:eastAsia="Calibri"/>
                <w:color w:val="000000"/>
                <w:lang w:val="es-ES"/>
              </w:rPr>
              <w:t xml:space="preserve">De </w:t>
            </w:r>
            <w:r w:rsidR="00B20F1E">
              <w:rPr>
                <w:rFonts w:eastAsia="Calibri"/>
                <w:color w:val="000000"/>
                <w:lang w:val="es-ES"/>
              </w:rPr>
              <w:t>conformidad</w:t>
            </w:r>
            <w:r w:rsidR="00B20F1E" w:rsidRPr="000D2717">
              <w:rPr>
                <w:rFonts w:eastAsia="Calibri"/>
                <w:color w:val="000000"/>
                <w:lang w:val="es-ES"/>
              </w:rPr>
              <w:t xml:space="preserve"> con los </w:t>
            </w:r>
            <w:r w:rsidR="00B20F1E" w:rsidRPr="00B97EE3">
              <w:rPr>
                <w:rFonts w:eastAsia="Calibri"/>
                <w:b/>
                <w:bCs/>
                <w:i/>
                <w:iCs/>
                <w:color w:val="000000"/>
                <w:lang w:val="es-ES"/>
              </w:rPr>
              <w:t>reconociendo</w:t>
            </w:r>
            <w:r w:rsidR="00B20F1E" w:rsidRPr="00B97EE3">
              <w:rPr>
                <w:rFonts w:eastAsia="Calibri"/>
                <w:b/>
                <w:bCs/>
                <w:color w:val="000000"/>
                <w:lang w:val="es-ES"/>
              </w:rPr>
              <w:t xml:space="preserve"> c) y d)</w:t>
            </w:r>
            <w:r w:rsidR="00B20F1E" w:rsidRPr="000D2717">
              <w:rPr>
                <w:rFonts w:eastAsia="Calibri"/>
                <w:color w:val="000000"/>
                <w:lang w:val="es-ES"/>
              </w:rPr>
              <w:t xml:space="preserve"> </w:t>
            </w:r>
            <w:r w:rsidR="00B20F1E" w:rsidRPr="000C32E8">
              <w:rPr>
                <w:rFonts w:eastAsia="Calibri"/>
                <w:bCs/>
                <w:color w:val="000000"/>
                <w:lang w:val="es-ES"/>
              </w:rPr>
              <w:t>del</w:t>
            </w:r>
            <w:r w:rsidR="00B20F1E" w:rsidRPr="000D2717">
              <w:rPr>
                <w:rFonts w:eastAsia="Calibri"/>
                <w:color w:val="000000"/>
                <w:lang w:val="es-ES"/>
              </w:rPr>
              <w:t xml:space="preserve"> proyecto de nueva resolución (CMR-23) propuesto en el método B, </w:t>
            </w:r>
            <w:r w:rsidR="00B20F1E">
              <w:rPr>
                <w:rFonts w:eastAsia="Calibri"/>
                <w:color w:val="000000"/>
                <w:lang w:val="es-ES"/>
              </w:rPr>
              <w:t>los vehículos suborbitales</w:t>
            </w:r>
            <w:r w:rsidR="00B20F1E" w:rsidRPr="000D2717">
              <w:rPr>
                <w:rFonts w:eastAsia="Calibri"/>
                <w:color w:val="000000"/>
                <w:lang w:val="es-ES"/>
              </w:rPr>
              <w:t xml:space="preserve"> pueden </w:t>
            </w:r>
            <w:r w:rsidR="00B20F1E">
              <w:rPr>
                <w:rFonts w:eastAsia="Calibri"/>
                <w:color w:val="000000"/>
                <w:lang w:val="es-ES"/>
              </w:rPr>
              <w:t>repercutir</w:t>
            </w:r>
            <w:r w:rsidR="00B20F1E" w:rsidRPr="000D2717">
              <w:rPr>
                <w:rFonts w:eastAsia="Calibri"/>
                <w:color w:val="000000"/>
                <w:lang w:val="es-ES"/>
              </w:rPr>
              <w:t xml:space="preserve"> en las radiocomunicaciones en zonas más amplias que </w:t>
            </w:r>
            <w:r w:rsidR="00B20F1E">
              <w:rPr>
                <w:rFonts w:eastAsia="Calibri"/>
                <w:color w:val="000000"/>
                <w:lang w:val="es-ES"/>
              </w:rPr>
              <w:t>abarquen</w:t>
            </w:r>
            <w:r w:rsidR="00B20F1E" w:rsidRPr="000D2717">
              <w:rPr>
                <w:rFonts w:eastAsia="Calibri"/>
                <w:color w:val="000000"/>
                <w:lang w:val="es-ES"/>
              </w:rPr>
              <w:t xml:space="preserve"> territorios adicionales y/o en estaciones espaciales (debido a su funcionamiento a mayor altitud) y pueden </w:t>
            </w:r>
            <w:r w:rsidR="00B20F1E" w:rsidRPr="00B97EE3">
              <w:rPr>
                <w:rFonts w:eastAsia="Calibri"/>
                <w:b/>
                <w:bCs/>
                <w:color w:val="000000"/>
                <w:lang w:val="es-ES"/>
              </w:rPr>
              <w:t>afectar asimismo a los servicios que funcionan en la misma banda de frecuencias</w:t>
            </w:r>
            <w:r w:rsidR="00B20F1E" w:rsidRPr="000D2717">
              <w:rPr>
                <w:rFonts w:eastAsia="Calibri"/>
                <w:color w:val="000000"/>
                <w:lang w:val="es-ES"/>
              </w:rPr>
              <w:t xml:space="preserve"> </w:t>
            </w:r>
            <w:r w:rsidR="00B20F1E">
              <w:rPr>
                <w:rFonts w:eastAsia="Calibri"/>
                <w:color w:val="000000"/>
                <w:lang w:val="es-ES"/>
              </w:rPr>
              <w:t>o</w:t>
            </w:r>
            <w:r w:rsidR="00B20F1E" w:rsidRPr="000D2717">
              <w:rPr>
                <w:rFonts w:eastAsia="Calibri"/>
                <w:color w:val="000000"/>
                <w:lang w:val="es-ES"/>
              </w:rPr>
              <w:t xml:space="preserve"> en bandas adyacentes o cercanas (debido al aumento del desplazamiento Doppler).</w:t>
            </w:r>
          </w:p>
          <w:p w14:paraId="6AB9E7CA" w14:textId="77777777" w:rsidR="00B20F1E" w:rsidRPr="000D2717" w:rsidRDefault="00B20F1E" w:rsidP="009D15ED">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78FE1203" w14:textId="02A4977E" w:rsidR="00B20F1E" w:rsidRPr="00B97EE3" w:rsidRDefault="00B20F1E" w:rsidP="009D15ED">
            <w:pPr>
              <w:pStyle w:val="Tabletext"/>
              <w:rPr>
                <w:rFonts w:eastAsia="Calibri"/>
                <w:b/>
                <w:bCs/>
                <w:color w:val="000000"/>
                <w:lang w:val="es-ES"/>
              </w:rPr>
            </w:pPr>
            <w:r w:rsidRPr="00B97EE3">
              <w:rPr>
                <w:rFonts w:eastAsia="Calibri"/>
                <w:b/>
                <w:bCs/>
                <w:i/>
                <w:color w:val="000000"/>
                <w:lang w:val="es-ES"/>
              </w:rPr>
              <w:t>Solicitar a las administraciones de la UAT que:</w:t>
            </w:r>
          </w:p>
          <w:p w14:paraId="4605F0EE" w14:textId="77777777" w:rsidR="00B20F1E" w:rsidRPr="000D2717" w:rsidRDefault="00B20F1E" w:rsidP="009D15ED">
            <w:pPr>
              <w:pStyle w:val="Tabletext"/>
              <w:rPr>
                <w:rFonts w:eastAsia="Calibri"/>
                <w:lang w:val="es-ES"/>
              </w:rPr>
            </w:pPr>
            <w:r w:rsidRPr="00B97EE3">
              <w:rPr>
                <w:rFonts w:eastAsia="Calibri"/>
                <w:b/>
                <w:bCs/>
                <w:lang w:val="es-ES"/>
              </w:rPr>
              <w:t>Apoyen</w:t>
            </w:r>
            <w:r w:rsidRPr="000D2717">
              <w:rPr>
                <w:rFonts w:eastAsia="Calibri"/>
                <w:lang w:val="es-ES"/>
              </w:rPr>
              <w:t xml:space="preserve"> la</w:t>
            </w:r>
            <w:r>
              <w:rPr>
                <w:rFonts w:eastAsia="Calibri"/>
                <w:lang w:val="es-ES"/>
              </w:rPr>
              <w:t xml:space="preserve"> </w:t>
            </w:r>
            <w:r w:rsidRPr="00DB5622">
              <w:rPr>
                <w:rFonts w:eastAsia="Calibri"/>
                <w:lang w:val="es-ES"/>
              </w:rPr>
              <w:t xml:space="preserve">AFCP </w:t>
            </w:r>
            <w:r>
              <w:rPr>
                <w:rFonts w:eastAsia="Calibri"/>
                <w:lang w:val="es-ES"/>
              </w:rPr>
              <w:t>en relación con este</w:t>
            </w:r>
            <w:r w:rsidRPr="000D2717">
              <w:rPr>
                <w:rFonts w:eastAsia="Calibri"/>
                <w:lang w:val="es-ES"/>
              </w:rPr>
              <w:t xml:space="preserve"> punto del orden del día</w:t>
            </w:r>
            <w:r w:rsidRPr="000D2717">
              <w:rPr>
                <w:rFonts w:eastAsia="Calibri"/>
                <w:color w:val="000000"/>
                <w:lang w:val="es-ES"/>
              </w:rPr>
              <w:t>.</w:t>
            </w:r>
          </w:p>
        </w:tc>
      </w:tr>
      <w:tr w:rsidR="00B20F1E" w:rsidRPr="00B707C8" w14:paraId="10549799" w14:textId="77777777" w:rsidTr="00DB48C6">
        <w:trPr>
          <w:jc w:val="center"/>
        </w:trPr>
        <w:tc>
          <w:tcPr>
            <w:tcW w:w="2340" w:type="dxa"/>
          </w:tcPr>
          <w:p w14:paraId="1B214B8C" w14:textId="384EEFE7" w:rsidR="00B20F1E" w:rsidRPr="00B97EE3" w:rsidRDefault="00B20F1E" w:rsidP="00B97EE3">
            <w:pPr>
              <w:pStyle w:val="Tabletext"/>
              <w:rPr>
                <w:rFonts w:eastAsia="Calibri"/>
                <w:b/>
                <w:bCs/>
                <w:lang w:val="es-ES"/>
              </w:rPr>
            </w:pPr>
            <w:r w:rsidRPr="00B97EE3">
              <w:rPr>
                <w:rFonts w:eastAsia="Calibri"/>
                <w:b/>
                <w:bCs/>
                <w:lang w:val="es-ES"/>
              </w:rPr>
              <w:t>Punto 1.7</w:t>
            </w:r>
          </w:p>
          <w:p w14:paraId="675BE88A" w14:textId="4DAD0567" w:rsidR="00B20F1E" w:rsidRPr="000D2717" w:rsidRDefault="00B20F1E" w:rsidP="00B97EE3">
            <w:pPr>
              <w:pStyle w:val="Tabletext"/>
              <w:rPr>
                <w:rFonts w:eastAsia="Calibri"/>
                <w:lang w:val="es-ES"/>
              </w:rPr>
            </w:pPr>
            <w:r>
              <w:rPr>
                <w:rFonts w:eastAsia="Calibri"/>
                <w:color w:val="000000"/>
                <w:lang w:val="es-ES"/>
              </w:rPr>
              <w:t>C</w:t>
            </w:r>
            <w:r w:rsidRPr="0009082C">
              <w:rPr>
                <w:rFonts w:eastAsia="Calibri"/>
                <w:color w:val="000000"/>
                <w:lang w:val="es-ES"/>
              </w:rPr>
              <w:t xml:space="preserve">onsiderar la posibilidad de efectuar una nueva atribución al servicio móvil aeronáutico (R) por satélite </w:t>
            </w:r>
            <w:r w:rsidRPr="0067453A">
              <w:rPr>
                <w:rFonts w:eastAsia="Calibri"/>
                <w:color w:val="000000"/>
                <w:lang w:val="es-ES"/>
              </w:rPr>
              <w:t>SMA(R)S</w:t>
            </w:r>
            <w:r>
              <w:rPr>
                <w:rFonts w:eastAsia="Calibri"/>
                <w:color w:val="000000"/>
                <w:lang w:val="es-ES"/>
              </w:rPr>
              <w:t>,</w:t>
            </w:r>
            <w:r w:rsidRPr="0067453A">
              <w:rPr>
                <w:rFonts w:eastAsia="Calibri"/>
                <w:color w:val="000000"/>
                <w:lang w:val="es-ES"/>
              </w:rPr>
              <w:t xml:space="preserve"> </w:t>
            </w:r>
            <w:r w:rsidRPr="0009082C">
              <w:rPr>
                <w:rFonts w:eastAsia="Calibri"/>
                <w:color w:val="000000"/>
                <w:lang w:val="es-ES"/>
              </w:rPr>
              <w:t xml:space="preserve">de conformidad con la </w:t>
            </w:r>
            <w:r w:rsidRPr="00B97EE3">
              <w:rPr>
                <w:rFonts w:eastAsia="Calibri"/>
                <w:color w:val="000000"/>
                <w:lang w:val="es-ES"/>
              </w:rPr>
              <w:t>Resolución</w:t>
            </w:r>
            <w:r w:rsidRPr="00B97EE3">
              <w:rPr>
                <w:rFonts w:eastAsia="Calibri"/>
                <w:b/>
                <w:bCs/>
                <w:color w:val="000000"/>
                <w:lang w:val="es-ES"/>
              </w:rPr>
              <w:t xml:space="preserve"> 428 (CMR</w:t>
            </w:r>
            <w:r w:rsidR="00B97EE3">
              <w:rPr>
                <w:rFonts w:eastAsia="Calibri"/>
                <w:b/>
                <w:bCs/>
                <w:color w:val="000000"/>
                <w:lang w:val="es-ES"/>
              </w:rPr>
              <w:noBreakHyphen/>
            </w:r>
            <w:r w:rsidRPr="00B97EE3">
              <w:rPr>
                <w:rFonts w:eastAsia="Calibri"/>
                <w:b/>
                <w:bCs/>
                <w:color w:val="000000"/>
                <w:lang w:val="es-ES"/>
              </w:rPr>
              <w:t>19)</w:t>
            </w:r>
          </w:p>
        </w:tc>
        <w:tc>
          <w:tcPr>
            <w:tcW w:w="6925" w:type="dxa"/>
          </w:tcPr>
          <w:p w14:paraId="4BF4D631" w14:textId="77777777" w:rsidR="00B20F1E" w:rsidRPr="000D2717" w:rsidRDefault="00B20F1E" w:rsidP="00B97EE3">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0AC9EA66" w14:textId="27513CB3" w:rsidR="00B20F1E" w:rsidRPr="000D2717" w:rsidRDefault="00B97EE3" w:rsidP="00B97EE3">
            <w:pPr>
              <w:pStyle w:val="Tabletext"/>
              <w:rPr>
                <w:rFonts w:eastAsia="Calibri"/>
                <w:color w:val="000000"/>
                <w:lang w:val="es-ES"/>
              </w:rPr>
            </w:pPr>
            <w:r>
              <w:rPr>
                <w:rFonts w:eastAsia="Calibri"/>
                <w:color w:val="000000"/>
                <w:lang w:val="es-ES"/>
              </w:rPr>
              <w:t>1</w:t>
            </w:r>
            <w:r>
              <w:rPr>
                <w:rFonts w:eastAsia="Calibri"/>
                <w:color w:val="000000"/>
                <w:lang w:val="es-ES"/>
              </w:rPr>
              <w:tab/>
            </w:r>
            <w:r w:rsidR="00B20F1E" w:rsidRPr="00B97EE3">
              <w:rPr>
                <w:rFonts w:eastAsia="Calibri"/>
                <w:b/>
                <w:bCs/>
                <w:color w:val="000000"/>
                <w:lang w:val="es-ES"/>
              </w:rPr>
              <w:t>Apoyar el método B1</w:t>
            </w:r>
            <w:r w:rsidR="00B20F1E" w:rsidRPr="000D2717">
              <w:rPr>
                <w:rFonts w:eastAsia="Calibri"/>
                <w:color w:val="000000"/>
                <w:lang w:val="es-ES"/>
              </w:rPr>
              <w:t>, con las siguientes condiciones:</w:t>
            </w:r>
          </w:p>
          <w:p w14:paraId="7F32014D" w14:textId="2D11CB71" w:rsidR="00B20F1E" w:rsidRPr="005E453B" w:rsidRDefault="00B97EE3" w:rsidP="00B97EE3">
            <w:pPr>
              <w:pStyle w:val="Tabletext"/>
              <w:ind w:left="567" w:hanging="567"/>
              <w:rPr>
                <w:rFonts w:eastAsia="Calibri"/>
                <w:color w:val="000000"/>
                <w:lang w:val="es-ES"/>
              </w:rPr>
            </w:pPr>
            <w:r>
              <w:rPr>
                <w:rFonts w:eastAsia="Calibri"/>
                <w:color w:val="000000"/>
                <w:lang w:val="es-ES"/>
              </w:rPr>
              <w:tab/>
              <w:t>a)</w:t>
            </w:r>
            <w:r>
              <w:rPr>
                <w:rFonts w:eastAsia="Calibri"/>
                <w:color w:val="000000"/>
                <w:lang w:val="es-ES"/>
              </w:rPr>
              <w:tab/>
            </w:r>
            <w:r w:rsidR="00B20F1E" w:rsidRPr="005E453B">
              <w:rPr>
                <w:rFonts w:eastAsia="Calibri"/>
                <w:color w:val="000000"/>
                <w:lang w:val="es-ES"/>
              </w:rPr>
              <w:t xml:space="preserve">Garantizar la protección del SMA(R)S en la banda de frecuencias 117,975-137 MHz y del SMA(OR) en la banda de frecuencias 132-137 MHz, teniendo en cuenta que no se dispone de las características del SMA(OR). No obstante, se entiende que los sistemas del SMA(OR) funcionan en canales </w:t>
            </w:r>
            <w:r w:rsidR="00B20F1E">
              <w:rPr>
                <w:rFonts w:eastAsia="Calibri"/>
                <w:color w:val="000000"/>
                <w:lang w:val="es-ES"/>
              </w:rPr>
              <w:t>con arreglo a</w:t>
            </w:r>
            <w:r w:rsidR="00B20F1E" w:rsidRPr="005E453B">
              <w:rPr>
                <w:rFonts w:eastAsia="Calibri"/>
                <w:color w:val="000000"/>
                <w:lang w:val="es-ES"/>
              </w:rPr>
              <w:t xml:space="preserve"> asignaciones nacionales del SMA(R), y que, por tanto, la coexistencia entre el SMA(R) y el SMA(OR) podría </w:t>
            </w:r>
            <w:r w:rsidR="00B20F1E">
              <w:rPr>
                <w:rFonts w:eastAsia="Calibri"/>
                <w:color w:val="000000"/>
                <w:lang w:val="es-ES"/>
              </w:rPr>
              <w:t>preverse</w:t>
            </w:r>
            <w:r w:rsidR="00B20F1E" w:rsidRPr="005E453B">
              <w:rPr>
                <w:rFonts w:eastAsia="Calibri"/>
                <w:color w:val="000000"/>
                <w:lang w:val="es-ES"/>
              </w:rPr>
              <w:t xml:space="preserve"> mediante la planificación y coordinación de frecuencias</w:t>
            </w:r>
            <w:r w:rsidR="00B20F1E">
              <w:rPr>
                <w:rFonts w:eastAsia="Calibri"/>
                <w:color w:val="000000"/>
                <w:lang w:val="es-ES"/>
              </w:rPr>
              <w:t>; g</w:t>
            </w:r>
            <w:r w:rsidR="00B20F1E" w:rsidRPr="005E453B">
              <w:rPr>
                <w:rFonts w:eastAsia="Calibri"/>
                <w:color w:val="000000"/>
                <w:lang w:val="es-ES"/>
              </w:rPr>
              <w:t>arantizar la protección de los servicios en bandas adyacentes y no restringir esos servicios.</w:t>
            </w:r>
          </w:p>
          <w:p w14:paraId="3C68D44B" w14:textId="7ECD6D15" w:rsidR="00B20F1E" w:rsidRPr="000D2717" w:rsidRDefault="00B97EE3" w:rsidP="00B97EE3">
            <w:pPr>
              <w:pStyle w:val="Tabletext"/>
              <w:ind w:left="567" w:hanging="567"/>
              <w:rPr>
                <w:rFonts w:eastAsia="Calibri"/>
                <w:color w:val="000000"/>
                <w:lang w:val="es-ES"/>
              </w:rPr>
            </w:pPr>
            <w:r>
              <w:rPr>
                <w:rFonts w:eastAsia="Calibri"/>
                <w:color w:val="000000"/>
                <w:lang w:val="es-ES"/>
              </w:rPr>
              <w:tab/>
              <w:t>b)</w:t>
            </w:r>
            <w:r>
              <w:rPr>
                <w:rFonts w:eastAsia="Calibri"/>
                <w:color w:val="000000"/>
                <w:lang w:val="es-ES"/>
              </w:rPr>
              <w:tab/>
            </w:r>
            <w:r w:rsidR="00B20F1E" w:rsidRPr="007176AF">
              <w:rPr>
                <w:rFonts w:eastAsia="Calibri"/>
                <w:color w:val="000000"/>
                <w:lang w:val="es-ES"/>
              </w:rPr>
              <w:t>La coexistencia en banda entre el SMA(R) y el SMA(R)S y la coexistencia en banda</w:t>
            </w:r>
            <w:r w:rsidR="00B20F1E">
              <w:rPr>
                <w:rFonts w:eastAsia="Calibri"/>
                <w:color w:val="000000"/>
                <w:lang w:val="es-ES"/>
              </w:rPr>
              <w:t>s</w:t>
            </w:r>
            <w:r w:rsidR="00B20F1E" w:rsidRPr="007176AF">
              <w:rPr>
                <w:rFonts w:eastAsia="Calibri"/>
                <w:color w:val="000000"/>
                <w:lang w:val="es-ES"/>
              </w:rPr>
              <w:t xml:space="preserve"> adyacente</w:t>
            </w:r>
            <w:r w:rsidR="00B20F1E">
              <w:rPr>
                <w:rFonts w:eastAsia="Calibri"/>
                <w:color w:val="000000"/>
                <w:lang w:val="es-ES"/>
              </w:rPr>
              <w:t>s</w:t>
            </w:r>
            <w:r w:rsidR="00B20F1E" w:rsidRPr="007176AF">
              <w:rPr>
                <w:rFonts w:eastAsia="Calibri"/>
                <w:color w:val="000000"/>
                <w:lang w:val="es-ES"/>
              </w:rPr>
              <w:t xml:space="preserve"> entre el SRNA y el SMA(R)S en torno a 117,975</w:t>
            </w:r>
            <w:r w:rsidR="000520C7">
              <w:rPr>
                <w:rFonts w:eastAsia="Calibri"/>
                <w:color w:val="000000"/>
                <w:lang w:val="es-ES"/>
              </w:rPr>
              <w:t> </w:t>
            </w:r>
            <w:r w:rsidR="00B20F1E" w:rsidRPr="007176AF">
              <w:rPr>
                <w:rFonts w:eastAsia="Calibri"/>
                <w:color w:val="000000"/>
                <w:lang w:val="es-ES"/>
              </w:rPr>
              <w:t>MHz debe garantizarse mediante la planificación de frecuencias y la labor de coordinación</w:t>
            </w:r>
            <w:r w:rsidR="00B20F1E" w:rsidRPr="000D2717">
              <w:rPr>
                <w:rFonts w:eastAsia="Calibri"/>
                <w:color w:val="000000"/>
                <w:lang w:val="es-ES"/>
              </w:rPr>
              <w:t xml:space="preserve">. </w:t>
            </w:r>
          </w:p>
          <w:p w14:paraId="1CA51BB0" w14:textId="148BC848" w:rsidR="00B20F1E" w:rsidRPr="000D2717" w:rsidRDefault="00B97EE3" w:rsidP="00B97EE3">
            <w:pPr>
              <w:pStyle w:val="Tabletext"/>
              <w:ind w:left="567" w:hanging="567"/>
              <w:rPr>
                <w:rFonts w:eastAsia="Calibri"/>
                <w:color w:val="000000"/>
                <w:lang w:val="es-ES"/>
              </w:rPr>
            </w:pPr>
            <w:r>
              <w:rPr>
                <w:rFonts w:eastAsia="Calibri"/>
                <w:color w:val="000000"/>
                <w:lang w:val="es-ES"/>
              </w:rPr>
              <w:tab/>
              <w:t>c)</w:t>
            </w:r>
            <w:r>
              <w:rPr>
                <w:rFonts w:eastAsia="Calibri"/>
                <w:color w:val="000000"/>
                <w:lang w:val="es-ES"/>
              </w:rPr>
              <w:tab/>
            </w:r>
            <w:r w:rsidR="00B20F1E" w:rsidRPr="00B25856">
              <w:rPr>
                <w:rFonts w:eastAsia="Calibri"/>
                <w:color w:val="000000"/>
                <w:lang w:val="es-ES"/>
              </w:rPr>
              <w:t>Se garantiza la protección de los servicios de banda adyacente que funcionan por encima de 137 MHz contra emisiones no deseadas de estaciones espaciales del SMA(R)S por encima de 137 MHz</w:t>
            </w:r>
            <w:r w:rsidR="00B20F1E" w:rsidRPr="000D2717">
              <w:rPr>
                <w:rFonts w:eastAsia="Calibri"/>
                <w:color w:val="000000"/>
                <w:lang w:val="es-ES"/>
              </w:rPr>
              <w:t xml:space="preserve">: </w:t>
            </w:r>
            <w:r w:rsidR="00B20F1E" w:rsidRPr="00B25856">
              <w:rPr>
                <w:rFonts w:eastAsia="Calibri"/>
                <w:color w:val="000000"/>
                <w:lang w:val="es-ES"/>
              </w:rPr>
              <w:t xml:space="preserve">mediante un límite adicional de </w:t>
            </w:r>
            <w:proofErr w:type="spellStart"/>
            <w:r w:rsidR="00B20F1E" w:rsidRPr="00B25856">
              <w:rPr>
                <w:rFonts w:eastAsia="Calibri"/>
                <w:color w:val="000000"/>
                <w:lang w:val="es-ES"/>
              </w:rPr>
              <w:t>dfp</w:t>
            </w:r>
            <w:proofErr w:type="spellEnd"/>
            <w:r w:rsidR="00B20F1E" w:rsidRPr="00B25856">
              <w:rPr>
                <w:rFonts w:eastAsia="Calibri"/>
                <w:color w:val="000000"/>
                <w:lang w:val="es-ES"/>
              </w:rPr>
              <w:t xml:space="preserve"> del satélite de −166,6 dB(W/(</w:t>
            </w:r>
            <w:r w:rsidR="000520C7" w:rsidRPr="000D2717">
              <w:rPr>
                <w:rFonts w:eastAsia="Calibri"/>
                <w:color w:val="000000"/>
                <w:lang w:val="es-ES"/>
              </w:rPr>
              <w:t xml:space="preserve"> </w:t>
            </w:r>
            <w:r w:rsidR="000520C7" w:rsidRPr="000D2717">
              <w:rPr>
                <w:rFonts w:eastAsia="Calibri"/>
                <w:color w:val="000000"/>
                <w:lang w:val="es-ES"/>
              </w:rPr>
              <w:t>m</w:t>
            </w:r>
            <w:r w:rsidR="000520C7" w:rsidRPr="00FE524D">
              <w:rPr>
                <w:rFonts w:eastAsia="Calibri"/>
                <w:color w:val="000000"/>
                <w:vertAlign w:val="superscript"/>
                <w:lang w:val="es-ES"/>
              </w:rPr>
              <w:t>2</w:t>
            </w:r>
            <w:r w:rsidR="000520C7" w:rsidRPr="009A4CB9">
              <w:rPr>
                <w:rFonts w:eastAsia="Calibri"/>
                <w:color w:val="000000"/>
              </w:rPr>
              <w:t> ·</w:t>
            </w:r>
            <w:r w:rsidR="00FE524D" w:rsidRPr="009A4CB9">
              <w:rPr>
                <w:rFonts w:eastAsia="Calibri"/>
                <w:color w:val="000000"/>
              </w:rPr>
              <w:t> </w:t>
            </w:r>
            <w:r w:rsidR="00B20F1E" w:rsidRPr="00B25856">
              <w:rPr>
                <w:rFonts w:eastAsia="Calibri"/>
                <w:color w:val="000000"/>
                <w:lang w:val="es-ES"/>
              </w:rPr>
              <w:t xml:space="preserve">14 kHz)) en la superficie de la Tierra en el nivel de emisiones no deseadas en la banda adyacente 137 138 MHz para las emisiones del SMA(R)S procedentes de sistemas que funcionan en 117,975-137 MHz. Este límite debería garantizar el cumplimiento de los criterios de protección del SIE, SOE, SMS y </w:t>
            </w:r>
            <w:proofErr w:type="spellStart"/>
            <w:r w:rsidR="00B20F1E" w:rsidRPr="00B25856">
              <w:rPr>
                <w:rFonts w:eastAsia="Calibri"/>
                <w:color w:val="000000"/>
                <w:lang w:val="es-ES"/>
              </w:rPr>
              <w:t>MetSat</w:t>
            </w:r>
            <w:proofErr w:type="spellEnd"/>
            <w:r w:rsidR="00B20F1E" w:rsidRPr="00B25856">
              <w:rPr>
                <w:rFonts w:eastAsia="Calibri"/>
                <w:color w:val="000000"/>
                <w:lang w:val="es-ES"/>
              </w:rPr>
              <w:t xml:space="preserve">. También sería posible exigir la aplicación de este límite a las emisiones del SMA(R)S solo en la banda de 136-137 MHz, dado que las emisiones en la banda de 117,975-136 MHz cumplirán los límites establecidos en el Apéndice </w:t>
            </w:r>
            <w:r w:rsidR="00B20F1E" w:rsidRPr="00FE524D">
              <w:rPr>
                <w:rFonts w:eastAsia="Calibri"/>
                <w:b/>
                <w:bCs/>
                <w:color w:val="000000"/>
                <w:lang w:val="es-ES"/>
              </w:rPr>
              <w:t>3</w:t>
            </w:r>
            <w:r w:rsidR="00B20F1E" w:rsidRPr="00B25856">
              <w:rPr>
                <w:rFonts w:eastAsia="Calibri"/>
                <w:color w:val="000000"/>
                <w:lang w:val="es-ES"/>
              </w:rPr>
              <w:t xml:space="preserve"> del RR. El Método B1 también propone la coordinación para que coexistan el SMA(R)S y otros servicios primarios en banda con arreglo al número </w:t>
            </w:r>
            <w:r w:rsidR="00B20F1E" w:rsidRPr="00FE524D">
              <w:rPr>
                <w:rFonts w:eastAsia="Calibri"/>
                <w:b/>
                <w:bCs/>
                <w:color w:val="000000"/>
                <w:lang w:val="es-ES"/>
              </w:rPr>
              <w:t>9.11A</w:t>
            </w:r>
            <w:r w:rsidR="00B20F1E" w:rsidRPr="00B25856">
              <w:rPr>
                <w:rFonts w:eastAsia="Calibri"/>
                <w:color w:val="000000"/>
                <w:lang w:val="es-ES"/>
              </w:rPr>
              <w:t xml:space="preserve"> del RR con un umbral de coordinación propuesto en el Anexo 1 del Apéndice </w:t>
            </w:r>
            <w:r w:rsidR="00B20F1E" w:rsidRPr="007D7EC9">
              <w:rPr>
                <w:rFonts w:eastAsia="Calibri"/>
                <w:b/>
                <w:bCs/>
                <w:color w:val="000000"/>
                <w:lang w:val="es-ES"/>
              </w:rPr>
              <w:t>5</w:t>
            </w:r>
            <w:r w:rsidR="00B20F1E" w:rsidRPr="000D2717">
              <w:rPr>
                <w:rFonts w:eastAsia="Calibri"/>
                <w:color w:val="000000"/>
                <w:lang w:val="es-ES"/>
              </w:rPr>
              <w:t>.</w:t>
            </w:r>
          </w:p>
          <w:p w14:paraId="0523EBA2" w14:textId="695CCB23" w:rsidR="00B20F1E" w:rsidRPr="000D2717" w:rsidRDefault="00B97EE3" w:rsidP="00B97EE3">
            <w:pPr>
              <w:pStyle w:val="Tabletext"/>
              <w:ind w:left="284" w:hanging="284"/>
              <w:rPr>
                <w:rFonts w:eastAsia="Calibri"/>
                <w:color w:val="000000"/>
                <w:lang w:val="es-ES"/>
              </w:rPr>
            </w:pPr>
            <w:r>
              <w:rPr>
                <w:rFonts w:eastAsia="Calibri"/>
                <w:color w:val="000000"/>
                <w:lang w:val="es-ES"/>
              </w:rPr>
              <w:t>2</w:t>
            </w:r>
            <w:r>
              <w:rPr>
                <w:rFonts w:eastAsia="Calibri"/>
                <w:color w:val="000000"/>
                <w:lang w:val="es-ES"/>
              </w:rPr>
              <w:tab/>
            </w:r>
            <w:r w:rsidR="00B20F1E" w:rsidRPr="00B97EE3">
              <w:rPr>
                <w:rFonts w:eastAsia="Calibri"/>
                <w:b/>
                <w:bCs/>
                <w:color w:val="000000"/>
                <w:lang w:val="es-ES"/>
              </w:rPr>
              <w:t>Considerar</w:t>
            </w:r>
            <w:r w:rsidR="00B20F1E" w:rsidRPr="000D2717">
              <w:rPr>
                <w:rFonts w:eastAsia="Calibri"/>
                <w:color w:val="000000"/>
                <w:lang w:val="es-ES"/>
              </w:rPr>
              <w:t xml:space="preserve"> que </w:t>
            </w:r>
            <w:r w:rsidR="00B20F1E">
              <w:rPr>
                <w:rFonts w:eastAsia="Calibri"/>
                <w:color w:val="000000"/>
                <w:lang w:val="es-ES"/>
              </w:rPr>
              <w:t>en virtud del</w:t>
            </w:r>
            <w:r w:rsidR="00B20F1E" w:rsidRPr="000D2717">
              <w:rPr>
                <w:rFonts w:eastAsia="Calibri"/>
                <w:color w:val="000000"/>
                <w:lang w:val="es-ES"/>
              </w:rPr>
              <w:t xml:space="preserve"> número </w:t>
            </w:r>
            <w:r w:rsidR="00B20F1E" w:rsidRPr="00FE524D">
              <w:rPr>
                <w:rFonts w:eastAsia="Calibri"/>
                <w:b/>
                <w:bCs/>
                <w:color w:val="000000"/>
                <w:lang w:val="es-ES"/>
              </w:rPr>
              <w:t>9.16</w:t>
            </w:r>
            <w:r w:rsidR="00B20F1E" w:rsidRPr="000D2717">
              <w:rPr>
                <w:rFonts w:eastAsia="Calibri"/>
                <w:color w:val="000000"/>
                <w:lang w:val="es-ES"/>
              </w:rPr>
              <w:t xml:space="preserve"> del RR </w:t>
            </w:r>
            <w:r w:rsidR="00B20F1E">
              <w:rPr>
                <w:rFonts w:eastAsia="Calibri"/>
                <w:color w:val="000000"/>
                <w:lang w:val="es-ES"/>
              </w:rPr>
              <w:t xml:space="preserve">se </w:t>
            </w:r>
            <w:r w:rsidR="00B20F1E" w:rsidRPr="000D2717">
              <w:rPr>
                <w:rFonts w:eastAsia="Calibri"/>
                <w:color w:val="000000"/>
                <w:lang w:val="es-ES"/>
              </w:rPr>
              <w:t>puede añadir una carga adicional a las estaciones terrenales del SMA(R) y del SMA(O</w:t>
            </w:r>
            <w:r w:rsidR="00B20F1E">
              <w:rPr>
                <w:rFonts w:eastAsia="Calibri"/>
                <w:color w:val="000000"/>
                <w:lang w:val="es-ES"/>
              </w:rPr>
              <w:t>R</w:t>
            </w:r>
            <w:r w:rsidR="00B20F1E" w:rsidRPr="000D2717">
              <w:rPr>
                <w:rFonts w:eastAsia="Calibri"/>
                <w:color w:val="000000"/>
                <w:lang w:val="es-ES"/>
              </w:rPr>
              <w:t xml:space="preserve">) </w:t>
            </w:r>
            <w:r w:rsidR="00B20F1E">
              <w:rPr>
                <w:rFonts w:eastAsia="Calibri"/>
                <w:color w:val="000000"/>
                <w:lang w:val="es-ES"/>
              </w:rPr>
              <w:t>por</w:t>
            </w:r>
            <w:r w:rsidR="00B20F1E" w:rsidRPr="000D2717">
              <w:rPr>
                <w:rFonts w:eastAsia="Calibri"/>
                <w:color w:val="000000"/>
                <w:lang w:val="es-ES"/>
              </w:rPr>
              <w:t xml:space="preserve"> la aplicación de la coordinación con estaciones terrenas no OSG en caso de añadir</w:t>
            </w:r>
            <w:r w:rsidR="00B20F1E">
              <w:rPr>
                <w:rFonts w:eastAsia="Calibri"/>
                <w:color w:val="000000"/>
                <w:lang w:val="es-ES"/>
              </w:rPr>
              <w:t xml:space="preserve"> </w:t>
            </w:r>
            <w:r w:rsidR="00B20F1E">
              <w:rPr>
                <w:rFonts w:eastAsia="Calibri"/>
                <w:color w:val="000000"/>
                <w:lang w:val="es-ES"/>
              </w:rPr>
              <w:lastRenderedPageBreak/>
              <w:t xml:space="preserve">o </w:t>
            </w:r>
            <w:r w:rsidR="00B20F1E" w:rsidRPr="000D2717">
              <w:rPr>
                <w:rFonts w:eastAsia="Calibri"/>
                <w:color w:val="000000"/>
                <w:lang w:val="es-ES"/>
              </w:rPr>
              <w:t>modificar cualquiera de las frecuencias o características técnicas de las estaciones terrenales del SMA(R) y del SMA(O</w:t>
            </w:r>
            <w:r w:rsidR="00B20F1E">
              <w:rPr>
                <w:rFonts w:eastAsia="Calibri"/>
                <w:color w:val="000000"/>
                <w:lang w:val="es-ES"/>
              </w:rPr>
              <w:t>R</w:t>
            </w:r>
            <w:r w:rsidR="00B20F1E" w:rsidRPr="000D2717">
              <w:rPr>
                <w:rFonts w:eastAsia="Calibri"/>
                <w:color w:val="000000"/>
                <w:lang w:val="es-ES"/>
              </w:rPr>
              <w:t xml:space="preserve">). </w:t>
            </w:r>
          </w:p>
          <w:p w14:paraId="4E135E46" w14:textId="3AD07B5D" w:rsidR="00B20F1E" w:rsidRPr="000D2717" w:rsidRDefault="00B97EE3" w:rsidP="00B97EE3">
            <w:pPr>
              <w:pStyle w:val="Tabletext"/>
              <w:ind w:left="284" w:hanging="284"/>
              <w:rPr>
                <w:rFonts w:eastAsia="Calibri"/>
                <w:color w:val="000000"/>
                <w:lang w:val="es-ES"/>
              </w:rPr>
            </w:pPr>
            <w:r>
              <w:rPr>
                <w:rFonts w:eastAsia="Calibri"/>
                <w:color w:val="000000"/>
                <w:lang w:val="es-ES"/>
              </w:rPr>
              <w:t>3</w:t>
            </w:r>
            <w:r>
              <w:rPr>
                <w:rFonts w:eastAsia="Calibri"/>
                <w:color w:val="000000"/>
                <w:lang w:val="es-ES"/>
              </w:rPr>
              <w:tab/>
            </w:r>
            <w:r w:rsidR="00B20F1E" w:rsidRPr="00B97EE3">
              <w:rPr>
                <w:rFonts w:eastAsia="Calibri"/>
                <w:b/>
                <w:bCs/>
                <w:color w:val="000000"/>
                <w:lang w:val="es-ES"/>
              </w:rPr>
              <w:t>Considerar</w:t>
            </w:r>
            <w:r w:rsidR="00B20F1E" w:rsidRPr="000D2717">
              <w:rPr>
                <w:rFonts w:eastAsia="Calibri"/>
                <w:color w:val="000000"/>
                <w:lang w:val="es-ES"/>
              </w:rPr>
              <w:t xml:space="preserve"> que </w:t>
            </w:r>
            <w:r w:rsidR="00B20F1E">
              <w:rPr>
                <w:rFonts w:eastAsia="Calibri"/>
                <w:color w:val="000000"/>
                <w:lang w:val="es-ES"/>
              </w:rPr>
              <w:t>con arreglo al</w:t>
            </w:r>
            <w:r w:rsidR="00B20F1E" w:rsidRPr="000D2717">
              <w:rPr>
                <w:rFonts w:eastAsia="Calibri"/>
                <w:color w:val="000000"/>
                <w:lang w:val="es-ES"/>
              </w:rPr>
              <w:t xml:space="preserve"> </w:t>
            </w:r>
            <w:r w:rsidR="00B20F1E">
              <w:rPr>
                <w:rFonts w:eastAsia="Calibri"/>
                <w:color w:val="000000"/>
                <w:lang w:val="es-ES"/>
              </w:rPr>
              <w:t>número</w:t>
            </w:r>
            <w:r w:rsidR="00B20F1E" w:rsidRPr="000D2717">
              <w:rPr>
                <w:rFonts w:eastAsia="Calibri"/>
                <w:color w:val="000000"/>
                <w:lang w:val="es-ES"/>
              </w:rPr>
              <w:t xml:space="preserve"> </w:t>
            </w:r>
            <w:r w:rsidR="00B20F1E" w:rsidRPr="00FE524D">
              <w:rPr>
                <w:rFonts w:eastAsia="Calibri"/>
                <w:b/>
                <w:bCs/>
                <w:color w:val="000000"/>
                <w:lang w:val="es-ES"/>
              </w:rPr>
              <w:t>9.14</w:t>
            </w:r>
            <w:r w:rsidR="00B20F1E">
              <w:rPr>
                <w:rFonts w:eastAsia="Calibri"/>
                <w:color w:val="000000"/>
                <w:lang w:val="es-ES"/>
              </w:rPr>
              <w:t xml:space="preserve"> del RR</w:t>
            </w:r>
            <w:r w:rsidR="00B20F1E" w:rsidRPr="000D2717">
              <w:rPr>
                <w:rFonts w:eastAsia="Calibri"/>
                <w:color w:val="000000"/>
                <w:lang w:val="es-ES"/>
              </w:rPr>
              <w:t>, las asignaciones de frecuencia</w:t>
            </w:r>
            <w:r w:rsidR="00B20F1E">
              <w:rPr>
                <w:rFonts w:eastAsia="Calibri"/>
                <w:color w:val="000000"/>
                <w:lang w:val="es-ES"/>
              </w:rPr>
              <w:t>s</w:t>
            </w:r>
            <w:r w:rsidR="00B20F1E" w:rsidRPr="000D2717">
              <w:rPr>
                <w:rFonts w:eastAsia="Calibri"/>
                <w:color w:val="000000"/>
                <w:lang w:val="es-ES"/>
              </w:rPr>
              <w:t xml:space="preserve"> existentes para las estaciones terrenales que </w:t>
            </w:r>
            <w:r w:rsidR="00B20F1E">
              <w:rPr>
                <w:rFonts w:eastAsia="Calibri"/>
                <w:color w:val="000000"/>
                <w:lang w:val="es-ES"/>
              </w:rPr>
              <w:t>funcionan</w:t>
            </w:r>
            <w:r w:rsidR="00B20F1E" w:rsidRPr="000D2717">
              <w:rPr>
                <w:rFonts w:eastAsia="Calibri"/>
                <w:color w:val="000000"/>
                <w:lang w:val="es-ES"/>
              </w:rPr>
              <w:t xml:space="preserve"> en la gama de frecuencias 117,975</w:t>
            </w:r>
            <w:r w:rsidR="00FE524D">
              <w:rPr>
                <w:rFonts w:eastAsia="Calibri"/>
                <w:color w:val="000000"/>
                <w:lang w:val="es-ES"/>
              </w:rPr>
              <w:t>-</w:t>
            </w:r>
            <w:r w:rsidR="00B20F1E" w:rsidRPr="000D2717">
              <w:rPr>
                <w:rFonts w:eastAsia="Calibri"/>
                <w:color w:val="000000"/>
                <w:lang w:val="es-ES"/>
              </w:rPr>
              <w:t xml:space="preserve">137 MHz deben añadirse </w:t>
            </w:r>
            <w:r w:rsidR="00B20F1E">
              <w:rPr>
                <w:rFonts w:eastAsia="Calibri"/>
                <w:color w:val="000000"/>
                <w:lang w:val="es-ES"/>
              </w:rPr>
              <w:t>a</w:t>
            </w:r>
            <w:r w:rsidR="00B20F1E" w:rsidRPr="000D2717">
              <w:rPr>
                <w:rFonts w:eastAsia="Calibri"/>
                <w:color w:val="000000"/>
                <w:lang w:val="es-ES"/>
              </w:rPr>
              <w:t xml:space="preserve">l MIFR, </w:t>
            </w:r>
            <w:r w:rsidR="00B20F1E">
              <w:rPr>
                <w:rFonts w:eastAsia="Calibri"/>
                <w:color w:val="000000"/>
                <w:lang w:val="es-ES"/>
              </w:rPr>
              <w:t>a fin de</w:t>
            </w:r>
            <w:r w:rsidR="00B20F1E" w:rsidRPr="000D2717">
              <w:rPr>
                <w:rFonts w:eastAsia="Calibri"/>
                <w:color w:val="000000"/>
                <w:lang w:val="es-ES"/>
              </w:rPr>
              <w:t xml:space="preserve"> garantizar que la estación espacial transmisora de una red de satélites se coordin</w:t>
            </w:r>
            <w:r w:rsidR="00B20F1E">
              <w:rPr>
                <w:rFonts w:eastAsia="Calibri"/>
                <w:color w:val="000000"/>
                <w:lang w:val="es-ES"/>
              </w:rPr>
              <w:t>e</w:t>
            </w:r>
            <w:r w:rsidR="00B20F1E" w:rsidRPr="000D2717">
              <w:rPr>
                <w:rFonts w:eastAsia="Calibri"/>
                <w:color w:val="000000"/>
                <w:lang w:val="es-ES"/>
              </w:rPr>
              <w:t xml:space="preserve"> en caso de que se </w:t>
            </w:r>
            <w:r w:rsidR="00B20F1E">
              <w:rPr>
                <w:rFonts w:eastAsia="Calibri"/>
                <w:color w:val="000000"/>
                <w:lang w:val="es-ES"/>
              </w:rPr>
              <w:t>rebase</w:t>
            </w:r>
            <w:r w:rsidR="00B20F1E" w:rsidRPr="000D2717">
              <w:rPr>
                <w:rFonts w:eastAsia="Calibri"/>
                <w:color w:val="000000"/>
                <w:lang w:val="es-ES"/>
              </w:rPr>
              <w:t xml:space="preserve"> el valor umbral.</w:t>
            </w:r>
          </w:p>
          <w:p w14:paraId="581474A7" w14:textId="6D385B64" w:rsidR="00B20F1E" w:rsidRPr="000D2717" w:rsidRDefault="00B97EE3" w:rsidP="00B97EE3">
            <w:pPr>
              <w:pStyle w:val="Tabletext"/>
              <w:ind w:left="284" w:hanging="284"/>
              <w:rPr>
                <w:rFonts w:eastAsia="Calibri"/>
                <w:color w:val="000000"/>
                <w:lang w:val="es-ES"/>
              </w:rPr>
            </w:pPr>
            <w:r>
              <w:rPr>
                <w:rFonts w:eastAsia="Calibri"/>
                <w:color w:val="000000"/>
                <w:lang w:val="es-ES"/>
              </w:rPr>
              <w:t>4</w:t>
            </w:r>
            <w:r>
              <w:rPr>
                <w:rFonts w:eastAsia="Calibri"/>
                <w:color w:val="000000"/>
                <w:lang w:val="es-ES"/>
              </w:rPr>
              <w:tab/>
            </w:r>
            <w:r w:rsidR="00B20F1E" w:rsidRPr="00B97EE3">
              <w:rPr>
                <w:rFonts w:eastAsia="Calibri"/>
                <w:b/>
                <w:bCs/>
                <w:color w:val="000000"/>
                <w:lang w:val="es-ES"/>
              </w:rPr>
              <w:t>Considerar</w:t>
            </w:r>
            <w:r w:rsidR="00B20F1E" w:rsidRPr="000D2717">
              <w:rPr>
                <w:rFonts w:eastAsia="Calibri"/>
                <w:color w:val="000000"/>
                <w:lang w:val="es-ES"/>
              </w:rPr>
              <w:t xml:space="preserve"> </w:t>
            </w:r>
            <w:r w:rsidR="00B20F1E">
              <w:rPr>
                <w:rFonts w:eastAsia="Calibri"/>
                <w:color w:val="000000"/>
                <w:lang w:val="es-ES"/>
              </w:rPr>
              <w:t>ambos</w:t>
            </w:r>
            <w:r w:rsidR="00B20F1E" w:rsidRPr="000D2717">
              <w:rPr>
                <w:rFonts w:eastAsia="Calibri"/>
                <w:color w:val="000000"/>
                <w:lang w:val="es-ES"/>
              </w:rPr>
              <w:t xml:space="preserve"> valores propuestos para el umbral de coordinación en el </w:t>
            </w:r>
            <w:r w:rsidR="00B20F1E">
              <w:rPr>
                <w:rFonts w:eastAsia="Calibri"/>
                <w:color w:val="000000"/>
                <w:lang w:val="es-ES"/>
              </w:rPr>
              <w:t>número</w:t>
            </w:r>
            <w:r w:rsidR="00B20F1E" w:rsidRPr="000D2717">
              <w:rPr>
                <w:rFonts w:eastAsia="Calibri"/>
                <w:color w:val="000000"/>
                <w:lang w:val="es-ES"/>
              </w:rPr>
              <w:t xml:space="preserve"> </w:t>
            </w:r>
            <w:r w:rsidR="00B20F1E" w:rsidRPr="00FE524D">
              <w:rPr>
                <w:rFonts w:eastAsia="Calibri"/>
                <w:b/>
                <w:bCs/>
                <w:color w:val="000000"/>
                <w:lang w:val="es-ES"/>
              </w:rPr>
              <w:t>9.14</w:t>
            </w:r>
            <w:r w:rsidR="00B20F1E">
              <w:rPr>
                <w:rFonts w:eastAsia="Calibri"/>
                <w:color w:val="000000"/>
                <w:lang w:val="es-ES"/>
              </w:rPr>
              <w:t xml:space="preserve"> del RR; </w:t>
            </w:r>
            <w:r w:rsidR="00B20F1E" w:rsidRPr="000D2717">
              <w:rPr>
                <w:rFonts w:eastAsia="Calibri"/>
                <w:color w:val="000000"/>
                <w:lang w:val="es-ES"/>
              </w:rPr>
              <w:t xml:space="preserve">se recomienda </w:t>
            </w:r>
            <w:r w:rsidR="00B20F1E">
              <w:rPr>
                <w:rFonts w:eastAsia="Calibri"/>
                <w:color w:val="000000"/>
                <w:lang w:val="es-ES"/>
              </w:rPr>
              <w:t>escoger</w:t>
            </w:r>
            <w:r w:rsidR="00B20F1E" w:rsidRPr="000D2717">
              <w:rPr>
                <w:rFonts w:eastAsia="Calibri"/>
                <w:color w:val="000000"/>
                <w:lang w:val="es-ES"/>
              </w:rPr>
              <w:t xml:space="preserve"> el valor más estricto (límite </w:t>
            </w:r>
            <w:r w:rsidR="00B20F1E">
              <w:rPr>
                <w:rFonts w:eastAsia="Calibri"/>
                <w:color w:val="000000"/>
                <w:lang w:val="es-ES"/>
              </w:rPr>
              <w:t>de DFP</w:t>
            </w:r>
            <w:r w:rsidR="00B20F1E" w:rsidRPr="000D2717">
              <w:rPr>
                <w:rFonts w:eastAsia="Calibri"/>
                <w:color w:val="000000"/>
                <w:lang w:val="es-ES"/>
              </w:rPr>
              <w:t xml:space="preserve"> de </w:t>
            </w:r>
            <w:r w:rsidRPr="00B97EE3">
              <w:rPr>
                <w:rFonts w:eastAsia="Calibri"/>
                <w:color w:val="000000"/>
                <w:lang w:val="es-ES"/>
              </w:rPr>
              <w:t>–</w:t>
            </w:r>
            <w:r w:rsidR="00B20F1E" w:rsidRPr="000D2717">
              <w:rPr>
                <w:rFonts w:eastAsia="Calibri"/>
                <w:color w:val="000000"/>
                <w:lang w:val="es-ES"/>
              </w:rPr>
              <w:t>148 dB(W/(m</w:t>
            </w:r>
            <w:r w:rsidR="00B20F1E" w:rsidRPr="00FE524D">
              <w:rPr>
                <w:rFonts w:eastAsia="Calibri"/>
                <w:color w:val="000000"/>
                <w:vertAlign w:val="superscript"/>
                <w:lang w:val="es-ES"/>
              </w:rPr>
              <w:t>2</w:t>
            </w:r>
            <w:r w:rsidR="00FE524D" w:rsidRPr="009A4CB9">
              <w:rPr>
                <w:rFonts w:eastAsia="Calibri"/>
                <w:color w:val="000000"/>
              </w:rPr>
              <w:t> · </w:t>
            </w:r>
            <w:r w:rsidR="00B20F1E" w:rsidRPr="000D2717">
              <w:rPr>
                <w:rFonts w:eastAsia="Calibri"/>
                <w:color w:val="000000"/>
                <w:lang w:val="es-ES"/>
              </w:rPr>
              <w:t xml:space="preserve">4 kHz)) en la superficie </w:t>
            </w:r>
            <w:r w:rsidR="00B20F1E">
              <w:rPr>
                <w:rFonts w:eastAsia="Calibri"/>
                <w:color w:val="000000"/>
                <w:lang w:val="es-ES"/>
              </w:rPr>
              <w:t>de la Tierra</w:t>
            </w:r>
            <w:r w:rsidR="00B20F1E" w:rsidRPr="000D2717">
              <w:rPr>
                <w:rFonts w:eastAsia="Calibri"/>
                <w:color w:val="000000"/>
                <w:lang w:val="es-ES"/>
              </w:rPr>
              <w:t xml:space="preserve">) </w:t>
            </w:r>
            <w:r w:rsidR="00B20F1E">
              <w:rPr>
                <w:rFonts w:eastAsia="Calibri"/>
                <w:color w:val="000000"/>
                <w:lang w:val="es-ES"/>
              </w:rPr>
              <w:t>a fin de</w:t>
            </w:r>
            <w:r w:rsidR="00B20F1E" w:rsidRPr="000D2717">
              <w:rPr>
                <w:rFonts w:eastAsia="Calibri"/>
                <w:color w:val="000000"/>
                <w:lang w:val="es-ES"/>
              </w:rPr>
              <w:t xml:space="preserve"> garantizar la protección de las estaciones terrenales existentes.</w:t>
            </w:r>
          </w:p>
          <w:p w14:paraId="23CC009D" w14:textId="77777777" w:rsidR="00B20F1E" w:rsidRPr="000D2717" w:rsidRDefault="00B20F1E" w:rsidP="00B97EE3">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 xml:space="preserve">Medidas </w:t>
            </w:r>
            <w:proofErr w:type="spellStart"/>
            <w:r>
              <w:rPr>
                <w:rFonts w:eastAsia="Calibri"/>
                <w:i/>
                <w:u w:val="single"/>
                <w:lang w:val="es-ES"/>
              </w:rPr>
              <w:t>propiuestas</w:t>
            </w:r>
            <w:proofErr w:type="spellEnd"/>
          </w:p>
          <w:p w14:paraId="6440479F" w14:textId="77777777" w:rsidR="00B20F1E" w:rsidRPr="00B97EE3" w:rsidRDefault="00B20F1E" w:rsidP="00B97EE3">
            <w:pPr>
              <w:pStyle w:val="Tabletext"/>
              <w:rPr>
                <w:rFonts w:eastAsia="Calibri"/>
                <w:b/>
                <w:bCs/>
                <w:color w:val="000000"/>
                <w:lang w:val="es-ES"/>
              </w:rPr>
            </w:pPr>
            <w:r w:rsidRPr="00B97EE3">
              <w:rPr>
                <w:rFonts w:eastAsia="Calibri"/>
                <w:b/>
                <w:bCs/>
                <w:i/>
                <w:color w:val="000000"/>
                <w:lang w:val="es-ES"/>
              </w:rPr>
              <w:t>Solicitar a las administraciones de la UAT que:</w:t>
            </w:r>
          </w:p>
          <w:p w14:paraId="11088EA2" w14:textId="77777777" w:rsidR="00B20F1E" w:rsidRPr="000D2717" w:rsidRDefault="00B20F1E" w:rsidP="00B97EE3">
            <w:pPr>
              <w:pStyle w:val="Tabletext"/>
              <w:rPr>
                <w:rFonts w:eastAsia="Calibri"/>
                <w:lang w:val="es-ES"/>
              </w:rPr>
            </w:pPr>
            <w:r w:rsidRPr="00B97EE3">
              <w:rPr>
                <w:rFonts w:eastAsia="Calibri"/>
                <w:b/>
                <w:bCs/>
                <w:lang w:val="es-ES"/>
              </w:rPr>
              <w:t>Apoyen</w:t>
            </w:r>
            <w:r w:rsidRPr="000D2717">
              <w:rPr>
                <w:rFonts w:eastAsia="Calibri"/>
                <w:lang w:val="es-ES"/>
              </w:rPr>
              <w:t xml:space="preserve"> la</w:t>
            </w:r>
            <w:r>
              <w:rPr>
                <w:rFonts w:eastAsia="Calibri"/>
                <w:lang w:val="es-ES"/>
              </w:rPr>
              <w:t xml:space="preserve"> </w:t>
            </w:r>
            <w:r w:rsidRPr="00DB5622">
              <w:rPr>
                <w:rFonts w:eastAsia="Calibri"/>
                <w:lang w:val="es-ES"/>
              </w:rPr>
              <w:t xml:space="preserve">AFCP </w:t>
            </w:r>
            <w:r>
              <w:rPr>
                <w:rFonts w:eastAsia="Calibri"/>
                <w:lang w:val="es-ES"/>
              </w:rPr>
              <w:t>en relación con este</w:t>
            </w:r>
            <w:r w:rsidRPr="000D2717">
              <w:rPr>
                <w:rFonts w:eastAsia="Calibri"/>
                <w:lang w:val="es-ES"/>
              </w:rPr>
              <w:t xml:space="preserve"> punto del orden del día</w:t>
            </w:r>
            <w:r w:rsidRPr="000D2717">
              <w:rPr>
                <w:rFonts w:eastAsia="Calibri"/>
                <w:color w:val="000000"/>
                <w:lang w:val="es-ES"/>
              </w:rPr>
              <w:t>.</w:t>
            </w:r>
          </w:p>
        </w:tc>
      </w:tr>
      <w:tr w:rsidR="00B20F1E" w:rsidRPr="00B707C8" w14:paraId="216D3B63" w14:textId="77777777" w:rsidTr="00DB48C6">
        <w:trPr>
          <w:jc w:val="center"/>
        </w:trPr>
        <w:tc>
          <w:tcPr>
            <w:tcW w:w="2340" w:type="dxa"/>
          </w:tcPr>
          <w:p w14:paraId="18488BA5" w14:textId="77777777" w:rsidR="00B20F1E" w:rsidRPr="00B97EE3" w:rsidRDefault="00B20F1E" w:rsidP="00B97EE3">
            <w:pPr>
              <w:pStyle w:val="Tabletext"/>
              <w:rPr>
                <w:rFonts w:eastAsia="Calibri"/>
                <w:b/>
                <w:bCs/>
                <w:lang w:val="es-ES"/>
              </w:rPr>
            </w:pPr>
            <w:r w:rsidRPr="00B97EE3">
              <w:rPr>
                <w:rFonts w:eastAsia="Calibri"/>
                <w:b/>
                <w:bCs/>
                <w:lang w:val="es-ES"/>
              </w:rPr>
              <w:lastRenderedPageBreak/>
              <w:t>Punto 1.8</w:t>
            </w:r>
          </w:p>
          <w:p w14:paraId="32220239" w14:textId="06E9B5F5" w:rsidR="00B20F1E" w:rsidRPr="000D2717" w:rsidRDefault="00B20F1E" w:rsidP="00B97EE3">
            <w:pPr>
              <w:pStyle w:val="Tabletext"/>
              <w:rPr>
                <w:rFonts w:eastAsia="Calibri"/>
                <w:lang w:val="es-ES"/>
              </w:rPr>
            </w:pPr>
            <w:r>
              <w:rPr>
                <w:rFonts w:eastAsia="Calibri"/>
                <w:color w:val="000000"/>
                <w:lang w:val="es-ES"/>
              </w:rPr>
              <w:t>C</w:t>
            </w:r>
            <w:r w:rsidRPr="008C014C">
              <w:rPr>
                <w:rFonts w:eastAsia="Calibri"/>
                <w:color w:val="000000"/>
                <w:lang w:val="es-ES"/>
              </w:rPr>
              <w:t>onsiderar</w:t>
            </w:r>
            <w:r>
              <w:rPr>
                <w:rFonts w:eastAsia="Calibri"/>
                <w:color w:val="000000"/>
                <w:lang w:val="es-ES"/>
              </w:rPr>
              <w:t xml:space="preserve"> la posibilidad de </w:t>
            </w:r>
            <w:r w:rsidRPr="008C014C">
              <w:rPr>
                <w:rFonts w:eastAsia="Calibri"/>
                <w:color w:val="000000"/>
                <w:lang w:val="es-ES"/>
              </w:rPr>
              <w:t xml:space="preserve">examinar la Resolución </w:t>
            </w:r>
            <w:r w:rsidRPr="00B97EE3">
              <w:rPr>
                <w:rFonts w:eastAsia="Calibri"/>
                <w:b/>
                <w:color w:val="000000"/>
                <w:lang w:val="es-ES"/>
              </w:rPr>
              <w:t>155 (Rev.CMR-19)</w:t>
            </w:r>
            <w:r w:rsidRPr="008C014C">
              <w:rPr>
                <w:rFonts w:eastAsia="Calibri"/>
                <w:color w:val="000000"/>
                <w:lang w:val="es-ES"/>
              </w:rPr>
              <w:t xml:space="preserve"> y el número </w:t>
            </w:r>
            <w:r w:rsidRPr="00B97EE3">
              <w:rPr>
                <w:rFonts w:eastAsia="Calibri"/>
                <w:b/>
                <w:bCs/>
                <w:color w:val="000000"/>
                <w:lang w:val="es-ES"/>
              </w:rPr>
              <w:t>5.484B</w:t>
            </w:r>
            <w:r w:rsidRPr="008C014C">
              <w:rPr>
                <w:rFonts w:eastAsia="Calibri"/>
                <w:color w:val="000000"/>
                <w:lang w:val="es-ES"/>
              </w:rPr>
              <w:t xml:space="preserve"> del RR con objeto de permitir la utilización de redes del servicio fijo por satélite</w:t>
            </w:r>
            <w:r>
              <w:rPr>
                <w:rFonts w:eastAsia="Calibri"/>
                <w:color w:val="000000"/>
                <w:lang w:val="es-ES"/>
              </w:rPr>
              <w:t xml:space="preserve"> (SFS) </w:t>
            </w:r>
            <w:r w:rsidRPr="008C014C">
              <w:rPr>
                <w:rFonts w:eastAsia="Calibri"/>
                <w:color w:val="000000"/>
                <w:lang w:val="es-ES"/>
              </w:rPr>
              <w:t xml:space="preserve"> para el control y las comunicaciones sin carga útil de sistemas de aeronaves no tripuladas</w:t>
            </w:r>
            <w:r>
              <w:rPr>
                <w:rFonts w:eastAsia="Calibri"/>
                <w:color w:val="000000"/>
                <w:lang w:val="es-ES"/>
              </w:rPr>
              <w:t xml:space="preserve">, de conformidad con la Resolución </w:t>
            </w:r>
            <w:r w:rsidRPr="00B97EE3">
              <w:rPr>
                <w:rFonts w:eastAsia="Calibri"/>
                <w:b/>
                <w:color w:val="000000"/>
                <w:lang w:val="es-ES"/>
              </w:rPr>
              <w:t>171 (CMR</w:t>
            </w:r>
            <w:r w:rsidR="00B97EE3">
              <w:rPr>
                <w:rFonts w:eastAsia="Calibri"/>
                <w:b/>
                <w:color w:val="000000"/>
                <w:lang w:val="es-ES"/>
              </w:rPr>
              <w:noBreakHyphen/>
            </w:r>
            <w:r w:rsidRPr="00B97EE3">
              <w:rPr>
                <w:rFonts w:eastAsia="Calibri"/>
                <w:b/>
                <w:color w:val="000000"/>
                <w:lang w:val="es-ES"/>
              </w:rPr>
              <w:t>19)</w:t>
            </w:r>
          </w:p>
        </w:tc>
        <w:tc>
          <w:tcPr>
            <w:tcW w:w="6925" w:type="dxa"/>
          </w:tcPr>
          <w:p w14:paraId="5DBC10E8" w14:textId="77777777" w:rsidR="00B20F1E" w:rsidRPr="000D2717" w:rsidRDefault="00B20F1E" w:rsidP="00B97EE3">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12E18A12" w14:textId="1921B1A4" w:rsidR="00B20F1E" w:rsidRPr="000D2717" w:rsidRDefault="00B20F1E" w:rsidP="00B97EE3">
            <w:pPr>
              <w:pStyle w:val="Tabletext"/>
              <w:rPr>
                <w:rFonts w:eastAsia="Calibri"/>
                <w:lang w:val="es-ES"/>
              </w:rPr>
            </w:pPr>
            <w:r w:rsidRPr="00B97EE3">
              <w:rPr>
                <w:rFonts w:eastAsia="Calibri"/>
                <w:b/>
                <w:bCs/>
                <w:lang w:val="es-ES"/>
              </w:rPr>
              <w:t>Apoyar el Método A</w:t>
            </w:r>
            <w:r>
              <w:rPr>
                <w:rFonts w:eastAsia="Calibri"/>
                <w:lang w:val="es-ES"/>
              </w:rPr>
              <w:t xml:space="preserve">, </w:t>
            </w:r>
            <w:r w:rsidRPr="008D1BD5">
              <w:rPr>
                <w:rFonts w:eastAsia="Calibri"/>
                <w:bCs/>
                <w:lang w:val="es-ES"/>
              </w:rPr>
              <w:t>en virtud del cual</w:t>
            </w:r>
            <w:r w:rsidRPr="000D2717">
              <w:rPr>
                <w:rFonts w:eastAsia="Calibri"/>
                <w:lang w:val="es-ES"/>
              </w:rPr>
              <w:t xml:space="preserve"> </w:t>
            </w:r>
            <w:r>
              <w:rPr>
                <w:rFonts w:eastAsia="Calibri"/>
                <w:lang w:val="es-ES"/>
              </w:rPr>
              <w:t>se</w:t>
            </w:r>
            <w:r w:rsidRPr="000D2717">
              <w:rPr>
                <w:rFonts w:eastAsia="Calibri"/>
                <w:lang w:val="es-ES"/>
              </w:rPr>
              <w:t xml:space="preserve"> propone suprimir el </w:t>
            </w:r>
            <w:r>
              <w:rPr>
                <w:rFonts w:eastAsia="Calibri"/>
                <w:lang w:val="es-ES"/>
              </w:rPr>
              <w:t>número</w:t>
            </w:r>
            <w:r w:rsidRPr="000D2717">
              <w:rPr>
                <w:rFonts w:eastAsia="Calibri"/>
                <w:lang w:val="es-ES"/>
              </w:rPr>
              <w:t xml:space="preserve"> </w:t>
            </w:r>
            <w:r w:rsidRPr="00B97EE3">
              <w:rPr>
                <w:rFonts w:eastAsia="Calibri"/>
                <w:b/>
                <w:bCs/>
                <w:lang w:val="es-ES"/>
              </w:rPr>
              <w:t>5.484B</w:t>
            </w:r>
            <w:r w:rsidRPr="000D2717">
              <w:rPr>
                <w:rFonts w:eastAsia="Calibri"/>
                <w:lang w:val="es-ES"/>
              </w:rPr>
              <w:t xml:space="preserve"> </w:t>
            </w:r>
            <w:r>
              <w:rPr>
                <w:rFonts w:eastAsia="Calibri"/>
                <w:lang w:val="es-ES"/>
              </w:rPr>
              <w:t>del</w:t>
            </w:r>
            <w:r w:rsidR="00FE524D">
              <w:rPr>
                <w:rFonts w:eastAsia="Calibri"/>
                <w:lang w:val="es-ES"/>
              </w:rPr>
              <w:t> </w:t>
            </w:r>
            <w:r>
              <w:rPr>
                <w:rFonts w:eastAsia="Calibri"/>
                <w:lang w:val="es-ES"/>
              </w:rPr>
              <w:t>RR y</w:t>
            </w:r>
            <w:r w:rsidRPr="000D2717">
              <w:rPr>
                <w:rFonts w:eastAsia="Calibri"/>
                <w:lang w:val="es-ES"/>
              </w:rPr>
              <w:t xml:space="preserve"> la Resolución </w:t>
            </w:r>
            <w:r w:rsidRPr="00B97EE3">
              <w:rPr>
                <w:rFonts w:eastAsia="Calibri"/>
                <w:b/>
                <w:bCs/>
                <w:lang w:val="es-ES"/>
              </w:rPr>
              <w:t>155 (Rev.CMR-19)</w:t>
            </w:r>
            <w:r>
              <w:rPr>
                <w:rFonts w:eastAsia="Calibri"/>
                <w:lang w:val="es-ES"/>
              </w:rPr>
              <w:t>,</w:t>
            </w:r>
            <w:r w:rsidRPr="000D2717">
              <w:rPr>
                <w:rFonts w:eastAsia="Calibri"/>
                <w:lang w:val="es-ES"/>
              </w:rPr>
              <w:t xml:space="preserve"> así como la Resolución </w:t>
            </w:r>
            <w:r w:rsidRPr="00E11D0F">
              <w:rPr>
                <w:rFonts w:eastAsia="Calibri"/>
                <w:b/>
                <w:bCs/>
                <w:lang w:val="es-ES"/>
              </w:rPr>
              <w:t>171 (CMR</w:t>
            </w:r>
            <w:r w:rsidR="00FE524D">
              <w:rPr>
                <w:rFonts w:eastAsia="Calibri"/>
                <w:b/>
                <w:bCs/>
                <w:lang w:val="es-ES"/>
              </w:rPr>
              <w:noBreakHyphen/>
            </w:r>
            <w:r w:rsidRPr="00E11D0F">
              <w:rPr>
                <w:rFonts w:eastAsia="Calibri"/>
                <w:b/>
                <w:bCs/>
                <w:lang w:val="es-ES"/>
              </w:rPr>
              <w:t>19)</w:t>
            </w:r>
            <w:r w:rsidRPr="000D2717">
              <w:rPr>
                <w:rFonts w:eastAsia="Calibri"/>
                <w:lang w:val="es-ES"/>
              </w:rPr>
              <w:t xml:space="preserve">, </w:t>
            </w:r>
            <w:r>
              <w:rPr>
                <w:rFonts w:eastAsia="Calibri"/>
                <w:lang w:val="es-ES"/>
              </w:rPr>
              <w:t>puesto</w:t>
            </w:r>
            <w:r w:rsidRPr="000D2717">
              <w:rPr>
                <w:rFonts w:eastAsia="Calibri"/>
                <w:lang w:val="es-ES"/>
              </w:rPr>
              <w:t xml:space="preserve"> que hasta </w:t>
            </w:r>
            <w:r>
              <w:rPr>
                <w:rFonts w:eastAsia="Calibri"/>
                <w:lang w:val="es-ES"/>
              </w:rPr>
              <w:t>ahora</w:t>
            </w:r>
            <w:r w:rsidRPr="000D2717">
              <w:rPr>
                <w:rFonts w:eastAsia="Calibri"/>
                <w:lang w:val="es-ES"/>
              </w:rPr>
              <w:t xml:space="preserve"> no se ha identificado ninguna solución satisfactoria para el funcionamiento de las estaciones terrenas </w:t>
            </w:r>
            <w:r>
              <w:rPr>
                <w:rFonts w:eastAsia="Calibri"/>
                <w:lang w:val="es-ES"/>
              </w:rPr>
              <w:t xml:space="preserve">de </w:t>
            </w:r>
            <w:r w:rsidRPr="00174B5A">
              <w:rPr>
                <w:rFonts w:eastAsia="Calibri"/>
                <w:lang w:val="es-ES"/>
              </w:rPr>
              <w:t>aeronaves no tripuladas.</w:t>
            </w:r>
          </w:p>
          <w:p w14:paraId="717A9CB1" w14:textId="77777777" w:rsidR="00B20F1E" w:rsidRPr="000D2717" w:rsidRDefault="00B20F1E" w:rsidP="00B97EE3">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07DA2F6F" w14:textId="77777777" w:rsidR="00B20F1E" w:rsidRPr="00E11D0F" w:rsidRDefault="00B20F1E" w:rsidP="00B97EE3">
            <w:pPr>
              <w:pStyle w:val="Tabletext"/>
              <w:rPr>
                <w:rFonts w:eastAsia="Calibri"/>
                <w:b/>
                <w:bCs/>
                <w:color w:val="000000"/>
                <w:lang w:val="es-ES"/>
              </w:rPr>
            </w:pPr>
            <w:r w:rsidRPr="00E11D0F">
              <w:rPr>
                <w:rFonts w:eastAsia="Calibri"/>
                <w:b/>
                <w:bCs/>
                <w:i/>
                <w:color w:val="000000"/>
                <w:lang w:val="es-ES"/>
              </w:rPr>
              <w:t>Solicitar a las administraciones de la UAT que:</w:t>
            </w:r>
          </w:p>
          <w:p w14:paraId="585A75FC" w14:textId="77777777" w:rsidR="00B20F1E" w:rsidRPr="000D2717" w:rsidRDefault="00B20F1E" w:rsidP="00B97EE3">
            <w:pPr>
              <w:pStyle w:val="Tabletext"/>
              <w:rPr>
                <w:rFonts w:eastAsia="Calibri"/>
                <w:lang w:val="es-ES"/>
              </w:rPr>
            </w:pPr>
            <w:r w:rsidRPr="00E11D0F">
              <w:rPr>
                <w:rFonts w:eastAsia="Calibri"/>
                <w:b/>
                <w:bCs/>
                <w:lang w:val="es-ES"/>
              </w:rPr>
              <w:t>Apoyen</w:t>
            </w:r>
            <w:r w:rsidRPr="000D2717">
              <w:rPr>
                <w:rFonts w:eastAsia="Calibri"/>
                <w:lang w:val="es-ES"/>
              </w:rPr>
              <w:t xml:space="preserve"> la</w:t>
            </w:r>
            <w:r>
              <w:rPr>
                <w:rFonts w:eastAsia="Calibri"/>
                <w:lang w:val="es-ES"/>
              </w:rPr>
              <w:t xml:space="preserve"> </w:t>
            </w:r>
            <w:r w:rsidRPr="00DB5622">
              <w:rPr>
                <w:rFonts w:eastAsia="Calibri"/>
                <w:lang w:val="es-ES"/>
              </w:rPr>
              <w:t xml:space="preserve">AFCP </w:t>
            </w:r>
            <w:r>
              <w:rPr>
                <w:rFonts w:eastAsia="Calibri"/>
                <w:lang w:val="es-ES"/>
              </w:rPr>
              <w:t>en relación con este</w:t>
            </w:r>
            <w:r w:rsidRPr="000D2717">
              <w:rPr>
                <w:rFonts w:eastAsia="Calibri"/>
                <w:lang w:val="es-ES"/>
              </w:rPr>
              <w:t xml:space="preserve"> punto del orden del día</w:t>
            </w:r>
            <w:r w:rsidRPr="000D2717">
              <w:rPr>
                <w:rFonts w:eastAsia="Calibri"/>
                <w:color w:val="000000"/>
                <w:lang w:val="es-ES"/>
              </w:rPr>
              <w:t>.</w:t>
            </w:r>
          </w:p>
        </w:tc>
      </w:tr>
      <w:tr w:rsidR="00B20F1E" w:rsidRPr="00B707C8" w14:paraId="33B90820" w14:textId="77777777" w:rsidTr="00DB48C6">
        <w:trPr>
          <w:jc w:val="center"/>
        </w:trPr>
        <w:tc>
          <w:tcPr>
            <w:tcW w:w="2340" w:type="dxa"/>
          </w:tcPr>
          <w:p w14:paraId="768BFB96" w14:textId="77777777" w:rsidR="00B20F1E" w:rsidRPr="00E11D0F" w:rsidRDefault="00B20F1E" w:rsidP="00E11D0F">
            <w:pPr>
              <w:pStyle w:val="Tabletext"/>
              <w:rPr>
                <w:rFonts w:eastAsia="Calibri"/>
                <w:b/>
                <w:bCs/>
                <w:lang w:val="es-ES"/>
              </w:rPr>
            </w:pPr>
            <w:r w:rsidRPr="00E11D0F">
              <w:rPr>
                <w:rFonts w:eastAsia="Calibri"/>
                <w:b/>
                <w:bCs/>
                <w:lang w:val="es-ES"/>
              </w:rPr>
              <w:t>Punto 1.9</w:t>
            </w:r>
          </w:p>
          <w:p w14:paraId="733F934A" w14:textId="5524FC9E" w:rsidR="00B20F1E" w:rsidRPr="000D2717" w:rsidRDefault="00B20F1E" w:rsidP="00E11D0F">
            <w:pPr>
              <w:pStyle w:val="Tabletext"/>
              <w:rPr>
                <w:rFonts w:eastAsia="Calibri"/>
                <w:lang w:val="es-ES"/>
              </w:rPr>
            </w:pPr>
            <w:r>
              <w:rPr>
                <w:rFonts w:eastAsia="Calibri"/>
                <w:color w:val="000000"/>
                <w:lang w:val="es-ES"/>
              </w:rPr>
              <w:t xml:space="preserve">Considerar la posibilidad de </w:t>
            </w:r>
            <w:r w:rsidRPr="00DC199D">
              <w:rPr>
                <w:rFonts w:eastAsia="Calibri"/>
                <w:color w:val="000000"/>
                <w:lang w:val="es-ES"/>
              </w:rPr>
              <w:t xml:space="preserve">revisar el Apéndice </w:t>
            </w:r>
            <w:r w:rsidRPr="007D7EC9">
              <w:rPr>
                <w:rFonts w:eastAsia="Calibri"/>
                <w:b/>
                <w:color w:val="000000"/>
                <w:lang w:val="es-ES"/>
              </w:rPr>
              <w:t>27</w:t>
            </w:r>
            <w:r w:rsidRPr="00DC199D">
              <w:rPr>
                <w:rFonts w:eastAsia="Calibri"/>
                <w:color w:val="000000"/>
                <w:lang w:val="es-ES"/>
              </w:rPr>
              <w:t xml:space="preserve"> a fin de incorporar las tecnologías digitales para aplicaciones relacionadas con la seguridad de la vida</w:t>
            </w:r>
            <w:r>
              <w:rPr>
                <w:rFonts w:eastAsia="Calibri"/>
                <w:color w:val="000000"/>
                <w:lang w:val="es-ES"/>
              </w:rPr>
              <w:t xml:space="preserve"> humana</w:t>
            </w:r>
            <w:r w:rsidRPr="00DC199D">
              <w:rPr>
                <w:rFonts w:eastAsia="Calibri"/>
                <w:color w:val="000000"/>
                <w:lang w:val="es-ES"/>
              </w:rPr>
              <w:t xml:space="preserve"> en la aviación comercial en las actuales bandas de ondas decamétricas atribuidas al servicio móvil aeronáutico (R) y garantizar la coexistencia de los actuales sistemas de ondas decamétricas con los sistemas de ondas decamétricas modernos, de conformidad con la Resolución </w:t>
            </w:r>
            <w:r w:rsidRPr="00E11D0F">
              <w:rPr>
                <w:rFonts w:eastAsia="Calibri"/>
                <w:b/>
                <w:color w:val="000000"/>
                <w:lang w:val="es-ES"/>
              </w:rPr>
              <w:t>429 (CMR</w:t>
            </w:r>
            <w:r w:rsidR="00E11D0F">
              <w:rPr>
                <w:rFonts w:eastAsia="Calibri"/>
                <w:b/>
                <w:color w:val="000000"/>
                <w:lang w:val="es-ES"/>
              </w:rPr>
              <w:noBreakHyphen/>
            </w:r>
            <w:r w:rsidRPr="00E11D0F">
              <w:rPr>
                <w:rFonts w:eastAsia="Calibri"/>
                <w:b/>
                <w:color w:val="000000"/>
                <w:lang w:val="es-ES"/>
              </w:rPr>
              <w:t>19)</w:t>
            </w:r>
          </w:p>
        </w:tc>
        <w:tc>
          <w:tcPr>
            <w:tcW w:w="6925" w:type="dxa"/>
          </w:tcPr>
          <w:p w14:paraId="69026A01" w14:textId="77777777" w:rsidR="00B20F1E" w:rsidRPr="000D2717" w:rsidRDefault="00B20F1E" w:rsidP="00E11D0F">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1CA98667" w14:textId="77777777" w:rsidR="00B20F1E" w:rsidRPr="000D2717" w:rsidRDefault="00B20F1E" w:rsidP="00E11D0F">
            <w:pPr>
              <w:pStyle w:val="Tabletext"/>
              <w:rPr>
                <w:rFonts w:eastAsia="Calibri"/>
                <w:lang w:val="es-ES"/>
              </w:rPr>
            </w:pPr>
            <w:r w:rsidRPr="003D4C4E">
              <w:rPr>
                <w:rFonts w:eastAsia="Calibri"/>
                <w:b/>
                <w:bCs/>
                <w:lang w:val="es-ES"/>
              </w:rPr>
              <w:t>Apoyar el método B</w:t>
            </w:r>
            <w:r w:rsidRPr="000D2717">
              <w:rPr>
                <w:rFonts w:eastAsia="Calibri"/>
                <w:lang w:val="es-ES"/>
              </w:rPr>
              <w:t>, con las siguientes condiciones:</w:t>
            </w:r>
          </w:p>
          <w:p w14:paraId="2E95CF52" w14:textId="2ACEA88D" w:rsidR="00B20F1E" w:rsidRPr="00AC7BB7" w:rsidRDefault="003D4C4E" w:rsidP="003D4C4E">
            <w:pPr>
              <w:pStyle w:val="Tabletext"/>
              <w:ind w:left="284" w:hanging="284"/>
              <w:rPr>
                <w:rFonts w:eastAsia="Calibri"/>
                <w:color w:val="000000"/>
                <w:lang w:val="es-ES"/>
              </w:rPr>
            </w:pPr>
            <w:r>
              <w:rPr>
                <w:rFonts w:eastAsia="Calibri"/>
                <w:color w:val="000000"/>
                <w:lang w:val="es-ES"/>
              </w:rPr>
              <w:t>1</w:t>
            </w:r>
            <w:r>
              <w:rPr>
                <w:rFonts w:eastAsia="Calibri"/>
                <w:color w:val="000000"/>
                <w:lang w:val="es-ES"/>
              </w:rPr>
              <w:tab/>
            </w:r>
            <w:r w:rsidR="00B20F1E" w:rsidRPr="00AC7BB7">
              <w:rPr>
                <w:rFonts w:eastAsia="Calibri"/>
                <w:color w:val="000000"/>
                <w:lang w:val="es-ES"/>
              </w:rPr>
              <w:t xml:space="preserve">Los nuevos sistemas digitales de ondas decamétricas de banda ancha propuestos se ajustan a los sistemas analógicos de comunicación de voz y datos existentes sin provocar interferencia ni modificar las asignaciones, a menos que así lo acuerden los Estados miembros afectados, y funcionan de conformidad con </w:t>
            </w:r>
            <w:r w:rsidR="00B20F1E">
              <w:rPr>
                <w:rFonts w:eastAsia="Calibri"/>
                <w:color w:val="000000"/>
                <w:lang w:val="es-ES"/>
              </w:rPr>
              <w:t>las n</w:t>
            </w:r>
            <w:r w:rsidR="00B20F1E" w:rsidRPr="00AC7BB7">
              <w:rPr>
                <w:rFonts w:eastAsia="Calibri"/>
                <w:color w:val="000000"/>
                <w:lang w:val="es-ES"/>
              </w:rPr>
              <w:t>ormas</w:t>
            </w:r>
            <w:r w:rsidR="00B20F1E">
              <w:rPr>
                <w:rFonts w:eastAsia="Calibri"/>
                <w:color w:val="000000"/>
                <w:lang w:val="es-ES"/>
              </w:rPr>
              <w:t xml:space="preserve"> y los</w:t>
            </w:r>
            <w:r w:rsidR="00B20F1E" w:rsidRPr="00AC7BB7">
              <w:rPr>
                <w:rFonts w:eastAsia="Calibri"/>
                <w:color w:val="000000"/>
                <w:lang w:val="es-ES"/>
              </w:rPr>
              <w:t xml:space="preserve"> métodos </w:t>
            </w:r>
            <w:r w:rsidR="00B20F1E">
              <w:rPr>
                <w:rFonts w:eastAsia="Calibri"/>
                <w:color w:val="000000"/>
                <w:lang w:val="es-ES"/>
              </w:rPr>
              <w:t xml:space="preserve">y procedimientos </w:t>
            </w:r>
            <w:r w:rsidR="00B20F1E" w:rsidRPr="00AC7BB7">
              <w:rPr>
                <w:rFonts w:eastAsia="Calibri"/>
                <w:color w:val="000000"/>
                <w:lang w:val="es-ES"/>
              </w:rPr>
              <w:t xml:space="preserve">recomendados </w:t>
            </w:r>
            <w:r w:rsidR="00B20F1E">
              <w:rPr>
                <w:rFonts w:eastAsia="Calibri"/>
                <w:color w:val="000000"/>
                <w:lang w:val="es-ES"/>
              </w:rPr>
              <w:t xml:space="preserve">internacionales </w:t>
            </w:r>
            <w:r w:rsidR="00B20F1E" w:rsidRPr="00AC7BB7">
              <w:rPr>
                <w:rFonts w:eastAsia="Calibri"/>
                <w:color w:val="000000"/>
                <w:lang w:val="es-ES"/>
              </w:rPr>
              <w:t>de la</w:t>
            </w:r>
            <w:r w:rsidR="00FE524D">
              <w:rPr>
                <w:rFonts w:eastAsia="Calibri"/>
                <w:color w:val="000000"/>
                <w:lang w:val="es-ES"/>
              </w:rPr>
              <w:t> </w:t>
            </w:r>
            <w:r w:rsidR="00B20F1E" w:rsidRPr="00AC7BB7">
              <w:rPr>
                <w:rFonts w:eastAsia="Calibri"/>
                <w:color w:val="000000"/>
                <w:lang w:val="es-ES"/>
              </w:rPr>
              <w:t>OACI.</w:t>
            </w:r>
          </w:p>
          <w:p w14:paraId="443F5594" w14:textId="218552D2" w:rsidR="00B20F1E" w:rsidRPr="000D2717" w:rsidRDefault="003D4C4E" w:rsidP="003D4C4E">
            <w:pPr>
              <w:pStyle w:val="Tabletext"/>
              <w:ind w:left="284" w:hanging="284"/>
              <w:rPr>
                <w:rFonts w:eastAsia="Calibri"/>
                <w:color w:val="000000"/>
                <w:lang w:val="es-ES"/>
              </w:rPr>
            </w:pPr>
            <w:r>
              <w:rPr>
                <w:rFonts w:eastAsia="Calibri"/>
                <w:color w:val="000000"/>
                <w:lang w:val="es-ES"/>
              </w:rPr>
              <w:t>2</w:t>
            </w:r>
            <w:r>
              <w:rPr>
                <w:rFonts w:eastAsia="Calibri"/>
                <w:color w:val="000000"/>
                <w:lang w:val="es-ES"/>
              </w:rPr>
              <w:tab/>
            </w:r>
            <w:r w:rsidR="00B20F1E" w:rsidRPr="000D2717">
              <w:rPr>
                <w:rFonts w:eastAsia="Calibri"/>
                <w:color w:val="000000"/>
                <w:lang w:val="es-ES"/>
              </w:rPr>
              <w:t xml:space="preserve">Se garantizará la protección de los servicios en </w:t>
            </w:r>
            <w:r w:rsidR="00B20F1E">
              <w:rPr>
                <w:rFonts w:eastAsia="Calibri"/>
                <w:color w:val="000000"/>
                <w:lang w:val="es-ES"/>
              </w:rPr>
              <w:t xml:space="preserve">la </w:t>
            </w:r>
            <w:r w:rsidR="00B20F1E" w:rsidRPr="000D2717">
              <w:rPr>
                <w:rFonts w:eastAsia="Calibri"/>
                <w:color w:val="000000"/>
                <w:lang w:val="es-ES"/>
              </w:rPr>
              <w:t>banda y en banda</w:t>
            </w:r>
            <w:r w:rsidR="00B20F1E">
              <w:rPr>
                <w:rFonts w:eastAsia="Calibri"/>
                <w:color w:val="000000"/>
                <w:lang w:val="es-ES"/>
              </w:rPr>
              <w:t>s</w:t>
            </w:r>
            <w:r w:rsidR="00B20F1E" w:rsidRPr="000D2717">
              <w:rPr>
                <w:rFonts w:eastAsia="Calibri"/>
                <w:color w:val="000000"/>
                <w:lang w:val="es-ES"/>
              </w:rPr>
              <w:t xml:space="preserve"> adyacente</w:t>
            </w:r>
            <w:r w:rsidR="00B20F1E">
              <w:rPr>
                <w:rFonts w:eastAsia="Calibri"/>
                <w:color w:val="000000"/>
                <w:lang w:val="es-ES"/>
              </w:rPr>
              <w:t>s</w:t>
            </w:r>
            <w:r w:rsidR="00B20F1E" w:rsidRPr="000D2717">
              <w:rPr>
                <w:rFonts w:eastAsia="Calibri"/>
                <w:color w:val="000000"/>
                <w:lang w:val="es-ES"/>
              </w:rPr>
              <w:t>.</w:t>
            </w:r>
          </w:p>
          <w:p w14:paraId="4CC2F1F8" w14:textId="77777777" w:rsidR="00B20F1E" w:rsidRPr="000D2717" w:rsidRDefault="00B20F1E" w:rsidP="00E11D0F">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6DC9A3D0" w14:textId="77777777" w:rsidR="00B20F1E" w:rsidRPr="003D4C4E" w:rsidRDefault="00B20F1E" w:rsidP="00E11D0F">
            <w:pPr>
              <w:pStyle w:val="Tabletext"/>
              <w:rPr>
                <w:rFonts w:eastAsia="Calibri"/>
                <w:b/>
                <w:bCs/>
                <w:color w:val="000000"/>
                <w:lang w:val="es-ES"/>
              </w:rPr>
            </w:pPr>
            <w:r w:rsidRPr="003D4C4E">
              <w:rPr>
                <w:rFonts w:eastAsia="Calibri"/>
                <w:b/>
                <w:bCs/>
                <w:i/>
                <w:color w:val="000000"/>
                <w:lang w:val="es-ES"/>
              </w:rPr>
              <w:t>Solicitar a las administraciones de la UAT que:</w:t>
            </w:r>
          </w:p>
          <w:p w14:paraId="6B9E51E7" w14:textId="77777777" w:rsidR="00B20F1E" w:rsidRPr="000D2717" w:rsidRDefault="00B20F1E" w:rsidP="00E11D0F">
            <w:pPr>
              <w:pStyle w:val="Tabletext"/>
              <w:rPr>
                <w:rFonts w:eastAsia="Calibri"/>
                <w:color w:val="000000"/>
                <w:lang w:val="es-ES"/>
              </w:rPr>
            </w:pPr>
            <w:r w:rsidRPr="003D4C4E">
              <w:rPr>
                <w:rFonts w:eastAsia="Calibri"/>
                <w:b/>
                <w:bCs/>
                <w:color w:val="000000"/>
                <w:lang w:val="es-ES"/>
              </w:rPr>
              <w:t>Apoyen</w:t>
            </w:r>
            <w:r w:rsidRPr="000D2717">
              <w:rPr>
                <w:rFonts w:eastAsia="Calibri"/>
                <w:color w:val="000000"/>
                <w:lang w:val="es-ES"/>
              </w:rPr>
              <w:t xml:space="preserve"> la </w:t>
            </w:r>
            <w:r>
              <w:rPr>
                <w:rFonts w:eastAsia="Calibri"/>
                <w:color w:val="000000"/>
                <w:lang w:val="es-ES"/>
              </w:rPr>
              <w:t>AFCP</w:t>
            </w:r>
            <w:r w:rsidRPr="000D2717">
              <w:rPr>
                <w:rFonts w:eastAsia="Calibri"/>
                <w:color w:val="000000"/>
                <w:lang w:val="es-ES"/>
              </w:rPr>
              <w:t xml:space="preserve"> en </w:t>
            </w:r>
            <w:r>
              <w:rPr>
                <w:rFonts w:eastAsia="Calibri"/>
                <w:color w:val="000000"/>
                <w:lang w:val="es-ES"/>
              </w:rPr>
              <w:t>relación con este</w:t>
            </w:r>
            <w:r w:rsidRPr="000D2717">
              <w:rPr>
                <w:rFonts w:eastAsia="Calibri"/>
                <w:color w:val="000000"/>
                <w:lang w:val="es-ES"/>
              </w:rPr>
              <w:t xml:space="preserve"> punto del orden del día.</w:t>
            </w:r>
          </w:p>
        </w:tc>
      </w:tr>
      <w:tr w:rsidR="00B20F1E" w:rsidRPr="00B707C8" w14:paraId="00552BC9" w14:textId="77777777" w:rsidTr="00DB48C6">
        <w:trPr>
          <w:jc w:val="center"/>
        </w:trPr>
        <w:tc>
          <w:tcPr>
            <w:tcW w:w="2340" w:type="dxa"/>
          </w:tcPr>
          <w:p w14:paraId="5C797B2E" w14:textId="77777777" w:rsidR="00B20F1E" w:rsidRPr="003D4C4E" w:rsidRDefault="00B20F1E" w:rsidP="003D4C4E">
            <w:pPr>
              <w:pStyle w:val="Tabletext"/>
              <w:rPr>
                <w:rFonts w:eastAsia="Calibri"/>
                <w:b/>
                <w:bCs/>
                <w:lang w:val="es-ES"/>
              </w:rPr>
            </w:pPr>
            <w:r w:rsidRPr="003D4C4E">
              <w:rPr>
                <w:rFonts w:eastAsia="Calibri"/>
                <w:b/>
                <w:bCs/>
                <w:lang w:val="es-ES"/>
              </w:rPr>
              <w:t>Punto 1.10</w:t>
            </w:r>
          </w:p>
          <w:p w14:paraId="3B777F75" w14:textId="06FC199C" w:rsidR="00B20F1E" w:rsidRPr="000D2717" w:rsidRDefault="00B20F1E" w:rsidP="003D4C4E">
            <w:pPr>
              <w:pStyle w:val="Tabletext"/>
              <w:rPr>
                <w:rFonts w:eastAsia="Calibri"/>
                <w:lang w:val="es-ES"/>
              </w:rPr>
            </w:pPr>
            <w:r>
              <w:rPr>
                <w:rFonts w:eastAsia="Calibri"/>
                <w:color w:val="000000"/>
                <w:lang w:val="es-ES"/>
              </w:rPr>
              <w:t xml:space="preserve">Considerar </w:t>
            </w:r>
            <w:r w:rsidRPr="0049224B">
              <w:rPr>
                <w:rFonts w:eastAsia="Calibri"/>
                <w:color w:val="000000"/>
                <w:lang w:val="es-ES"/>
              </w:rPr>
              <w:t xml:space="preserve">posibles nuevas atribuciones al servicio móvil aeronáutico para la utilización de aplicaciones móviles aeronáuticas no </w:t>
            </w:r>
            <w:r w:rsidRPr="0049224B">
              <w:rPr>
                <w:rFonts w:eastAsia="Calibri"/>
                <w:color w:val="000000"/>
                <w:lang w:val="es-ES"/>
              </w:rPr>
              <w:lastRenderedPageBreak/>
              <w:t xml:space="preserve">relacionadas con la seguridad, de conformidad con la Resolución </w:t>
            </w:r>
            <w:r w:rsidRPr="003D4C4E">
              <w:rPr>
                <w:rFonts w:eastAsia="Calibri"/>
                <w:b/>
                <w:color w:val="000000"/>
                <w:lang w:val="es-ES"/>
              </w:rPr>
              <w:t>430 (CMR</w:t>
            </w:r>
            <w:r w:rsidR="003D4C4E">
              <w:rPr>
                <w:rFonts w:eastAsia="Calibri"/>
                <w:b/>
                <w:color w:val="000000"/>
                <w:lang w:val="es-ES"/>
              </w:rPr>
              <w:noBreakHyphen/>
            </w:r>
            <w:r w:rsidRPr="003D4C4E">
              <w:rPr>
                <w:rFonts w:eastAsia="Calibri"/>
                <w:b/>
                <w:color w:val="000000"/>
                <w:lang w:val="es-ES"/>
              </w:rPr>
              <w:t>19)</w:t>
            </w:r>
          </w:p>
        </w:tc>
        <w:tc>
          <w:tcPr>
            <w:tcW w:w="6925" w:type="dxa"/>
          </w:tcPr>
          <w:p w14:paraId="72618CFC" w14:textId="77777777" w:rsidR="00B20F1E" w:rsidRPr="000D2717" w:rsidRDefault="00B20F1E" w:rsidP="003D4C4E">
            <w:pPr>
              <w:pStyle w:val="Tabletext"/>
              <w:rPr>
                <w:rFonts w:eastAsia="Calibri"/>
                <w:i/>
                <w:u w:val="single"/>
                <w:lang w:val="es-ES"/>
              </w:rPr>
            </w:pPr>
            <w:r>
              <w:rPr>
                <w:rFonts w:eastAsia="Calibri"/>
                <w:i/>
                <w:u w:val="single"/>
                <w:lang w:val="es-ES"/>
              </w:rPr>
              <w:lastRenderedPageBreak/>
              <w:t>Parte 1</w:t>
            </w:r>
            <w:r w:rsidRPr="000D2717">
              <w:rPr>
                <w:rFonts w:eastAsia="Calibri"/>
                <w:i/>
                <w:u w:val="single"/>
                <w:lang w:val="es-ES"/>
              </w:rPr>
              <w:t>: Posición común:</w:t>
            </w:r>
          </w:p>
          <w:p w14:paraId="236A8574" w14:textId="3D4908C8" w:rsidR="00B20F1E" w:rsidRPr="000D2717" w:rsidRDefault="003D4C4E" w:rsidP="003D4C4E">
            <w:pPr>
              <w:pStyle w:val="Tabletext"/>
              <w:ind w:left="284" w:hanging="284"/>
              <w:rPr>
                <w:rFonts w:eastAsia="Calibri"/>
                <w:lang w:val="es-ES"/>
              </w:rPr>
            </w:pPr>
            <w:r>
              <w:rPr>
                <w:rFonts w:eastAsia="Calibri"/>
                <w:lang w:val="es-ES"/>
              </w:rPr>
              <w:t>1</w:t>
            </w:r>
            <w:r>
              <w:rPr>
                <w:rFonts w:eastAsia="Calibri"/>
                <w:lang w:val="es-ES"/>
              </w:rPr>
              <w:tab/>
            </w:r>
            <w:r w:rsidR="00B20F1E" w:rsidRPr="003D4C4E">
              <w:rPr>
                <w:rFonts w:eastAsia="Calibri"/>
                <w:b/>
                <w:bCs/>
                <w:lang w:val="es-ES"/>
              </w:rPr>
              <w:t>Apoyar el método E</w:t>
            </w:r>
            <w:r w:rsidR="00B20F1E" w:rsidRPr="000D2717">
              <w:rPr>
                <w:rFonts w:eastAsia="Calibri"/>
                <w:lang w:val="es-ES"/>
              </w:rPr>
              <w:t xml:space="preserve">, </w:t>
            </w:r>
            <w:r w:rsidR="00B20F1E">
              <w:rPr>
                <w:rFonts w:eastAsia="Calibri"/>
                <w:lang w:val="es-ES"/>
              </w:rPr>
              <w:t xml:space="preserve">a saber, </w:t>
            </w:r>
            <w:r w:rsidR="00B20F1E" w:rsidRPr="000D2717">
              <w:rPr>
                <w:rFonts w:eastAsia="Calibri"/>
                <w:lang w:val="es-ES"/>
              </w:rPr>
              <w:t>la combinación de los métodos B y C con bandas de guarda de 10 MHz.</w:t>
            </w:r>
          </w:p>
          <w:p w14:paraId="488E67D1" w14:textId="538A094B" w:rsidR="00B20F1E" w:rsidRPr="000D2717" w:rsidRDefault="003D4C4E" w:rsidP="003D4C4E">
            <w:pPr>
              <w:pStyle w:val="Tabletext"/>
              <w:ind w:left="284" w:hanging="284"/>
              <w:rPr>
                <w:rFonts w:eastAsia="Calibri"/>
                <w:lang w:val="es-ES"/>
              </w:rPr>
            </w:pPr>
            <w:r>
              <w:rPr>
                <w:rFonts w:eastAsia="Calibri"/>
                <w:lang w:val="es-ES"/>
              </w:rPr>
              <w:t>2</w:t>
            </w:r>
            <w:r>
              <w:rPr>
                <w:rFonts w:eastAsia="Calibri"/>
                <w:lang w:val="es-ES"/>
              </w:rPr>
              <w:tab/>
            </w:r>
            <w:r w:rsidR="00B20F1E" w:rsidRPr="003D4C4E">
              <w:rPr>
                <w:rFonts w:eastAsia="Calibri"/>
                <w:b/>
                <w:bCs/>
                <w:lang w:val="es-ES"/>
              </w:rPr>
              <w:t>Con el fin de</w:t>
            </w:r>
            <w:r w:rsidR="00B20F1E" w:rsidRPr="000D2717">
              <w:rPr>
                <w:rFonts w:eastAsia="Calibri"/>
                <w:lang w:val="es-ES"/>
              </w:rPr>
              <w:t xml:space="preserve"> proporcionar una nueva atribución en la banda 15,41-15,7 GHz al servicio móvil aeronáutico (fuera de ruta</w:t>
            </w:r>
            <w:r w:rsidR="00B20F1E">
              <w:rPr>
                <w:rFonts w:eastAsia="Calibri"/>
                <w:lang w:val="es-ES"/>
              </w:rPr>
              <w:t>s</w:t>
            </w:r>
            <w:r w:rsidR="00B20F1E" w:rsidRPr="000D2717">
              <w:rPr>
                <w:rFonts w:eastAsia="Calibri"/>
                <w:lang w:val="es-ES"/>
              </w:rPr>
              <w:t xml:space="preserve">) para la introducción de nuevas </w:t>
            </w:r>
            <w:r w:rsidR="00B20F1E" w:rsidRPr="000D2717">
              <w:rPr>
                <w:rFonts w:eastAsia="Calibri"/>
                <w:lang w:val="es-ES"/>
              </w:rPr>
              <w:lastRenderedPageBreak/>
              <w:t>aplicaciones móviles aeronáuticas</w:t>
            </w:r>
            <w:r w:rsidR="00B20F1E">
              <w:rPr>
                <w:rFonts w:eastAsia="Calibri"/>
                <w:lang w:val="es-ES"/>
              </w:rPr>
              <w:t xml:space="preserve"> </w:t>
            </w:r>
            <w:r w:rsidR="00B20F1E" w:rsidRPr="000D2717">
              <w:rPr>
                <w:rFonts w:eastAsia="Calibri"/>
                <w:lang w:val="es-ES"/>
              </w:rPr>
              <w:t>(fuera de ruta</w:t>
            </w:r>
            <w:r w:rsidR="00B20F1E">
              <w:rPr>
                <w:rFonts w:eastAsia="Calibri"/>
                <w:lang w:val="es-ES"/>
              </w:rPr>
              <w:t>s</w:t>
            </w:r>
            <w:r w:rsidR="00B20F1E" w:rsidRPr="000D2717">
              <w:rPr>
                <w:rFonts w:eastAsia="Calibri"/>
                <w:lang w:val="es-ES"/>
              </w:rPr>
              <w:t xml:space="preserve">) </w:t>
            </w:r>
            <w:r w:rsidR="00B20F1E" w:rsidRPr="00B92D3F">
              <w:rPr>
                <w:rFonts w:eastAsia="Calibri"/>
                <w:lang w:val="es-ES"/>
              </w:rPr>
              <w:t>no relacionadas con la seguridad</w:t>
            </w:r>
            <w:r w:rsidR="00B20F1E" w:rsidRPr="000D2717">
              <w:rPr>
                <w:rFonts w:eastAsia="Calibri"/>
                <w:lang w:val="es-ES"/>
              </w:rPr>
              <w:t xml:space="preserve">. </w:t>
            </w:r>
          </w:p>
          <w:p w14:paraId="1A318B01" w14:textId="4003A9DA" w:rsidR="00B20F1E" w:rsidRPr="000D2717" w:rsidRDefault="003D4C4E" w:rsidP="003D4C4E">
            <w:pPr>
              <w:pStyle w:val="Tabletext"/>
              <w:ind w:left="284" w:hanging="284"/>
              <w:rPr>
                <w:rFonts w:eastAsia="Calibri"/>
                <w:lang w:val="es-ES"/>
              </w:rPr>
            </w:pPr>
            <w:r>
              <w:rPr>
                <w:rFonts w:eastAsia="Calibri"/>
                <w:lang w:val="es-ES"/>
              </w:rPr>
              <w:t>3</w:t>
            </w:r>
            <w:r>
              <w:rPr>
                <w:rFonts w:eastAsia="Calibri"/>
                <w:lang w:val="es-ES"/>
              </w:rPr>
              <w:tab/>
            </w:r>
            <w:r w:rsidR="00B20F1E" w:rsidRPr="003D4C4E">
              <w:rPr>
                <w:rFonts w:eastAsia="Calibri"/>
                <w:b/>
                <w:bCs/>
                <w:lang w:val="es-ES"/>
              </w:rPr>
              <w:t>Con el fin de</w:t>
            </w:r>
            <w:r w:rsidR="00B20F1E" w:rsidRPr="000D2717">
              <w:rPr>
                <w:rFonts w:eastAsia="Calibri"/>
                <w:lang w:val="es-ES"/>
              </w:rPr>
              <w:t xml:space="preserve"> proporcionar una nueva atribución en la banda 22-22,2 GHz al servicio móvil aeronáutico (fuera de ruta</w:t>
            </w:r>
            <w:r w:rsidR="00B20F1E">
              <w:rPr>
                <w:rFonts w:eastAsia="Calibri"/>
                <w:lang w:val="es-ES"/>
              </w:rPr>
              <w:t>s</w:t>
            </w:r>
            <w:r w:rsidR="00B20F1E" w:rsidRPr="000D2717">
              <w:rPr>
                <w:rFonts w:eastAsia="Calibri"/>
                <w:lang w:val="es-ES"/>
              </w:rPr>
              <w:t>) para la introducción de nuevas aplicaciones móviles aeronáuticas (fuera de ruta</w:t>
            </w:r>
            <w:r w:rsidR="00B20F1E">
              <w:rPr>
                <w:rFonts w:eastAsia="Calibri"/>
                <w:lang w:val="es-ES"/>
              </w:rPr>
              <w:t>s</w:t>
            </w:r>
            <w:r w:rsidR="00B20F1E" w:rsidRPr="000D2717">
              <w:rPr>
                <w:rFonts w:eastAsia="Calibri"/>
                <w:lang w:val="es-ES"/>
              </w:rPr>
              <w:t xml:space="preserve">) </w:t>
            </w:r>
            <w:r w:rsidR="00B20F1E" w:rsidRPr="00B92D3F">
              <w:rPr>
                <w:rFonts w:eastAsia="Calibri"/>
                <w:lang w:val="es-ES"/>
              </w:rPr>
              <w:t>no relacionadas con la seguridad</w:t>
            </w:r>
            <w:r w:rsidR="00B20F1E" w:rsidRPr="000D2717">
              <w:rPr>
                <w:rFonts w:eastAsia="Calibri"/>
                <w:lang w:val="es-ES"/>
              </w:rPr>
              <w:t>.</w:t>
            </w:r>
          </w:p>
          <w:p w14:paraId="79AE632D" w14:textId="77777777" w:rsidR="00B20F1E" w:rsidRPr="000D2717" w:rsidRDefault="00B20F1E" w:rsidP="003D4C4E">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321FAFEE" w14:textId="77777777" w:rsidR="00B20F1E" w:rsidRPr="003D4C4E" w:rsidRDefault="00B20F1E" w:rsidP="003D4C4E">
            <w:pPr>
              <w:pStyle w:val="Tabletext"/>
              <w:rPr>
                <w:rFonts w:eastAsia="Calibri"/>
                <w:b/>
                <w:bCs/>
                <w:color w:val="000000"/>
                <w:lang w:val="es-ES"/>
              </w:rPr>
            </w:pPr>
            <w:r w:rsidRPr="003D4C4E">
              <w:rPr>
                <w:rFonts w:eastAsia="Calibri"/>
                <w:b/>
                <w:bCs/>
                <w:i/>
                <w:color w:val="000000"/>
                <w:lang w:val="es-ES"/>
              </w:rPr>
              <w:t>Solicitar a las administraciones de la UAT que:</w:t>
            </w:r>
          </w:p>
          <w:p w14:paraId="04AD1D99" w14:textId="77777777" w:rsidR="00B20F1E" w:rsidRPr="000D2717" w:rsidRDefault="00B20F1E" w:rsidP="003D4C4E">
            <w:pPr>
              <w:pStyle w:val="Tabletext"/>
              <w:rPr>
                <w:rFonts w:eastAsia="Calibri"/>
                <w:lang w:val="es-ES"/>
              </w:rPr>
            </w:pPr>
            <w:r w:rsidRPr="003D4C4E">
              <w:rPr>
                <w:rFonts w:eastAsia="Calibri"/>
                <w:b/>
                <w:bCs/>
                <w:color w:val="000000"/>
                <w:lang w:val="es-ES"/>
              </w:rPr>
              <w:t>Apoyen</w:t>
            </w:r>
            <w:r w:rsidRPr="000D2717">
              <w:rPr>
                <w:rFonts w:eastAsia="Calibri"/>
                <w:color w:val="000000"/>
                <w:lang w:val="es-ES"/>
              </w:rPr>
              <w:t xml:space="preserve"> la </w:t>
            </w:r>
            <w:r>
              <w:rPr>
                <w:rFonts w:eastAsia="Calibri"/>
                <w:color w:val="000000"/>
                <w:lang w:val="es-ES"/>
              </w:rPr>
              <w:t>AFCP</w:t>
            </w:r>
            <w:r w:rsidRPr="000D2717">
              <w:rPr>
                <w:rFonts w:eastAsia="Calibri"/>
                <w:color w:val="000000"/>
                <w:lang w:val="es-ES"/>
              </w:rPr>
              <w:t xml:space="preserve"> en </w:t>
            </w:r>
            <w:r>
              <w:rPr>
                <w:rFonts w:eastAsia="Calibri"/>
                <w:color w:val="000000"/>
                <w:lang w:val="es-ES"/>
              </w:rPr>
              <w:t>relación con este</w:t>
            </w:r>
            <w:r w:rsidRPr="000D2717">
              <w:rPr>
                <w:rFonts w:eastAsia="Calibri"/>
                <w:color w:val="000000"/>
                <w:lang w:val="es-ES"/>
              </w:rPr>
              <w:t xml:space="preserve"> punto del orden del día</w:t>
            </w:r>
            <w:r w:rsidRPr="000D2717">
              <w:rPr>
                <w:rFonts w:eastAsia="Calibri"/>
                <w:lang w:val="es-ES"/>
              </w:rPr>
              <w:t>.</w:t>
            </w:r>
          </w:p>
        </w:tc>
      </w:tr>
      <w:tr w:rsidR="00B20F1E" w:rsidRPr="00B707C8" w14:paraId="3E6D5113" w14:textId="77777777" w:rsidTr="00DB48C6">
        <w:trPr>
          <w:jc w:val="center"/>
        </w:trPr>
        <w:tc>
          <w:tcPr>
            <w:tcW w:w="2340" w:type="dxa"/>
          </w:tcPr>
          <w:p w14:paraId="5E7D7025" w14:textId="77777777" w:rsidR="00B20F1E" w:rsidRPr="003D4C4E" w:rsidRDefault="00B20F1E" w:rsidP="003D4C4E">
            <w:pPr>
              <w:pStyle w:val="Tabletext"/>
              <w:rPr>
                <w:rFonts w:eastAsia="Calibri"/>
                <w:b/>
                <w:bCs/>
                <w:lang w:val="es-ES"/>
              </w:rPr>
            </w:pPr>
            <w:r w:rsidRPr="003D4C4E">
              <w:rPr>
                <w:rFonts w:eastAsia="Calibri"/>
                <w:b/>
                <w:bCs/>
                <w:lang w:val="es-ES"/>
              </w:rPr>
              <w:lastRenderedPageBreak/>
              <w:t>Punto 1.11</w:t>
            </w:r>
          </w:p>
          <w:p w14:paraId="0D442924" w14:textId="15C32A37" w:rsidR="00B20F1E" w:rsidRPr="000D2717" w:rsidRDefault="00193D1C" w:rsidP="003D4C4E">
            <w:pPr>
              <w:pStyle w:val="Tabletext"/>
              <w:rPr>
                <w:rFonts w:eastAsia="Calibri"/>
                <w:lang w:val="es-ES"/>
              </w:rPr>
            </w:pPr>
            <w:r>
              <w:rPr>
                <w:rFonts w:eastAsia="Calibri"/>
                <w:color w:val="000000"/>
                <w:lang w:val="es-ES"/>
              </w:rPr>
              <w:t>C</w:t>
            </w:r>
            <w:r w:rsidR="00B20F1E" w:rsidRPr="00C30928">
              <w:rPr>
                <w:rFonts w:eastAsia="Calibri"/>
                <w:color w:val="000000"/>
                <w:lang w:val="es-ES"/>
              </w:rPr>
              <w:t xml:space="preserve">onsiderar posibles medidas reglamentarias para facilitar la modernización del Sistema Mundial de Socorro y Seguridad Marítimos y la implementación de la navegación electrónica, de conformidad con la Resolución </w:t>
            </w:r>
            <w:r w:rsidR="00B20F1E" w:rsidRPr="003D4C4E">
              <w:rPr>
                <w:rFonts w:eastAsia="Calibri"/>
                <w:b/>
                <w:color w:val="000000"/>
                <w:lang w:val="es-ES"/>
              </w:rPr>
              <w:t>361 (Rev.CMR-19)</w:t>
            </w:r>
          </w:p>
        </w:tc>
        <w:tc>
          <w:tcPr>
            <w:tcW w:w="6925" w:type="dxa"/>
          </w:tcPr>
          <w:p w14:paraId="0AEB08F2" w14:textId="77777777" w:rsidR="00B20F1E" w:rsidRPr="000D2717" w:rsidRDefault="00B20F1E" w:rsidP="003D4C4E">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75C2EE99" w14:textId="77777777" w:rsidR="00B20F1E" w:rsidRPr="003D4C4E" w:rsidRDefault="00B20F1E" w:rsidP="003D4C4E">
            <w:pPr>
              <w:pStyle w:val="Tabletext"/>
              <w:rPr>
                <w:rFonts w:eastAsia="Calibri"/>
                <w:b/>
                <w:bCs/>
                <w:u w:val="single"/>
                <w:lang w:val="es-ES"/>
              </w:rPr>
            </w:pPr>
            <w:r w:rsidRPr="003D4C4E">
              <w:rPr>
                <w:rFonts w:eastAsia="Calibri"/>
                <w:b/>
                <w:bCs/>
                <w:u w:val="single"/>
                <w:lang w:val="es-ES"/>
              </w:rPr>
              <w:t>Tema A: Modernización del SMSSM</w:t>
            </w:r>
          </w:p>
          <w:p w14:paraId="524856BF" w14:textId="77777777" w:rsidR="00B20F1E" w:rsidRPr="000D2717" w:rsidRDefault="00B20F1E" w:rsidP="003D4C4E">
            <w:pPr>
              <w:pStyle w:val="Tabletext"/>
              <w:rPr>
                <w:rFonts w:eastAsia="Calibri"/>
                <w:lang w:val="es-ES"/>
              </w:rPr>
            </w:pPr>
            <w:r w:rsidRPr="000D2717">
              <w:rPr>
                <w:rFonts w:eastAsia="Calibri"/>
                <w:lang w:val="es-ES"/>
              </w:rPr>
              <w:t>Apoy</w:t>
            </w:r>
            <w:r>
              <w:rPr>
                <w:rFonts w:eastAsia="Calibri"/>
                <w:lang w:val="es-ES"/>
              </w:rPr>
              <w:t>ar el</w:t>
            </w:r>
            <w:r w:rsidRPr="000D2717">
              <w:rPr>
                <w:rFonts w:eastAsia="Calibri"/>
                <w:lang w:val="es-ES"/>
              </w:rPr>
              <w:t xml:space="preserve"> Método A, Alternativa A1 para el </w:t>
            </w:r>
            <w:r>
              <w:rPr>
                <w:rFonts w:eastAsia="Calibri"/>
                <w:lang w:val="es-ES"/>
              </w:rPr>
              <w:t>número</w:t>
            </w:r>
            <w:r w:rsidRPr="000D2717">
              <w:rPr>
                <w:rFonts w:eastAsia="Calibri"/>
                <w:lang w:val="es-ES"/>
              </w:rPr>
              <w:t xml:space="preserve"> 5.375</w:t>
            </w:r>
            <w:r>
              <w:rPr>
                <w:rFonts w:eastAsia="Calibri"/>
                <w:lang w:val="es-ES"/>
              </w:rPr>
              <w:t xml:space="preserve"> del RR</w:t>
            </w:r>
            <w:r w:rsidRPr="000D2717">
              <w:rPr>
                <w:rFonts w:eastAsia="Calibri"/>
                <w:lang w:val="es-ES"/>
              </w:rPr>
              <w:t xml:space="preserve">, sobre </w:t>
            </w:r>
            <w:r>
              <w:rPr>
                <w:rFonts w:eastAsia="Calibri"/>
                <w:lang w:val="es-ES"/>
              </w:rPr>
              <w:t>aspectos</w:t>
            </w:r>
            <w:r w:rsidRPr="000D2717">
              <w:rPr>
                <w:rFonts w:eastAsia="Calibri"/>
                <w:lang w:val="es-ES"/>
              </w:rPr>
              <w:t xml:space="preserve"> reglamentari</w:t>
            </w:r>
            <w:r>
              <w:rPr>
                <w:rFonts w:eastAsia="Calibri"/>
                <w:lang w:val="es-ES"/>
              </w:rPr>
              <w:t>o</w:t>
            </w:r>
            <w:r w:rsidRPr="000D2717">
              <w:rPr>
                <w:rFonts w:eastAsia="Calibri"/>
                <w:lang w:val="es-ES"/>
              </w:rPr>
              <w:t>s y de procedimiento para:</w:t>
            </w:r>
          </w:p>
          <w:p w14:paraId="3C34BE45" w14:textId="106F31D8" w:rsidR="00B20F1E" w:rsidRPr="003D4C4E" w:rsidRDefault="00B20F1E" w:rsidP="003D4C4E">
            <w:pPr>
              <w:pStyle w:val="Tabletext"/>
              <w:rPr>
                <w:rFonts w:eastAsia="Calibri"/>
                <w:b/>
                <w:bCs/>
                <w:lang w:val="es-ES"/>
              </w:rPr>
            </w:pPr>
            <w:r w:rsidRPr="003D4C4E">
              <w:rPr>
                <w:rFonts w:eastAsia="Calibri"/>
                <w:b/>
                <w:bCs/>
                <w:lang w:val="es-ES"/>
              </w:rPr>
              <w:t>MOD:</w:t>
            </w:r>
          </w:p>
          <w:p w14:paraId="4E743196" w14:textId="39770468" w:rsidR="00B20F1E" w:rsidRPr="000D2717" w:rsidRDefault="00B20F1E" w:rsidP="003D4C4E">
            <w:pPr>
              <w:pStyle w:val="Tabletext"/>
              <w:rPr>
                <w:rFonts w:eastAsia="Calibri"/>
                <w:lang w:val="es-ES"/>
              </w:rPr>
            </w:pPr>
            <w:r w:rsidRPr="003D4C4E">
              <w:rPr>
                <w:rStyle w:val="Artdef"/>
                <w:rFonts w:eastAsia="Calibri"/>
              </w:rPr>
              <w:t>5.375</w:t>
            </w:r>
            <w:r w:rsidR="003D4C4E">
              <w:rPr>
                <w:rFonts w:eastAsia="Calibri"/>
                <w:lang w:val="es-ES"/>
              </w:rPr>
              <w:tab/>
            </w:r>
            <w:r w:rsidRPr="00E94153">
              <w:rPr>
                <w:rFonts w:eastAsia="Calibri"/>
                <w:lang w:val="es-ES"/>
              </w:rPr>
              <w:t>El empleo de la banda 1 645,5-1 646,5 MHz por el servicio móvil por satélite (Tierra-espacio) y para enlaces entre satélites está limitado a las comunicaciones de socorro</w:t>
            </w:r>
            <w:r>
              <w:rPr>
                <w:rFonts w:eastAsia="Calibri"/>
                <w:lang w:val="es-ES"/>
              </w:rPr>
              <w:t>, urgencia</w:t>
            </w:r>
            <w:r w:rsidRPr="00E94153">
              <w:rPr>
                <w:rFonts w:eastAsia="Calibri"/>
                <w:lang w:val="es-ES"/>
              </w:rPr>
              <w:t xml:space="preserve"> y seguridad (véase el Artículo </w:t>
            </w:r>
            <w:r w:rsidRPr="003D4C4E">
              <w:rPr>
                <w:rFonts w:eastAsia="Calibri"/>
                <w:b/>
                <w:bCs/>
                <w:lang w:val="es-ES"/>
              </w:rPr>
              <w:t>31</w:t>
            </w:r>
            <w:r w:rsidRPr="00E94153">
              <w:rPr>
                <w:rFonts w:eastAsia="Calibri"/>
                <w:lang w:val="es-ES"/>
              </w:rPr>
              <w:t>)</w:t>
            </w:r>
            <w:r w:rsidRPr="000D2717">
              <w:rPr>
                <w:rFonts w:eastAsia="Calibri"/>
                <w:lang w:val="es-ES"/>
              </w:rPr>
              <w:t xml:space="preserve">. </w:t>
            </w:r>
            <w:r>
              <w:rPr>
                <w:rFonts w:eastAsia="Calibri"/>
                <w:lang w:val="es-ES"/>
              </w:rPr>
              <w:t>Por otro lado</w:t>
            </w:r>
            <w:r w:rsidRPr="00E94153">
              <w:rPr>
                <w:rFonts w:eastAsia="Calibri"/>
                <w:lang w:val="es-ES"/>
              </w:rPr>
              <w:t xml:space="preserve">, se autoriza </w:t>
            </w:r>
            <w:r>
              <w:rPr>
                <w:rFonts w:eastAsia="Calibri"/>
                <w:lang w:val="es-ES"/>
              </w:rPr>
              <w:t xml:space="preserve">asimismo </w:t>
            </w:r>
            <w:r w:rsidRPr="00E94153">
              <w:rPr>
                <w:rFonts w:eastAsia="Calibri"/>
                <w:lang w:val="es-ES"/>
              </w:rPr>
              <w:t xml:space="preserve">que el servicio móvil por satélite </w:t>
            </w:r>
            <w:r>
              <w:rPr>
                <w:rFonts w:eastAsia="Calibri"/>
                <w:lang w:val="es-ES"/>
              </w:rPr>
              <w:t>utilice</w:t>
            </w:r>
            <w:r w:rsidRPr="00E94153">
              <w:rPr>
                <w:rFonts w:eastAsia="Calibri"/>
                <w:lang w:val="es-ES"/>
              </w:rPr>
              <w:t xml:space="preserve"> esta banda desde las estaciones </w:t>
            </w:r>
            <w:r>
              <w:rPr>
                <w:rFonts w:eastAsia="Calibri"/>
                <w:lang w:val="es-ES"/>
              </w:rPr>
              <w:t>terrenas</w:t>
            </w:r>
            <w:r w:rsidRPr="00E94153">
              <w:rPr>
                <w:rFonts w:eastAsia="Calibri"/>
                <w:lang w:val="es-ES"/>
              </w:rPr>
              <w:t xml:space="preserve"> que funcionan en el SMSSM con fines distintos a los de socorro.</w:t>
            </w:r>
            <w:r w:rsidR="003D4C4E" w:rsidRPr="003D4C4E">
              <w:rPr>
                <w:rFonts w:eastAsia="Calibri"/>
                <w:sz w:val="16"/>
                <w:szCs w:val="16"/>
                <w:lang w:val="es-ES"/>
              </w:rPr>
              <w:t>     </w:t>
            </w:r>
            <w:r w:rsidRPr="003D4C4E">
              <w:rPr>
                <w:rFonts w:eastAsia="Calibri"/>
                <w:sz w:val="16"/>
                <w:szCs w:val="16"/>
                <w:lang w:val="es-ES"/>
              </w:rPr>
              <w:t>(CMR 23</w:t>
            </w:r>
            <w:r w:rsidRPr="00E94153">
              <w:rPr>
                <w:rFonts w:eastAsia="Calibri"/>
                <w:lang w:val="es-ES"/>
              </w:rPr>
              <w:t>)</w:t>
            </w:r>
          </w:p>
          <w:p w14:paraId="5A9F1D22" w14:textId="77777777" w:rsidR="00B20F1E" w:rsidRPr="000D2717" w:rsidRDefault="00B20F1E" w:rsidP="003D4C4E">
            <w:pPr>
              <w:pStyle w:val="Tabletext"/>
              <w:rPr>
                <w:rFonts w:eastAsia="Calibri"/>
                <w:lang w:val="es-ES"/>
              </w:rPr>
            </w:pPr>
            <w:r w:rsidRPr="003D4C4E">
              <w:rPr>
                <w:rFonts w:eastAsia="Calibri"/>
                <w:b/>
                <w:bCs/>
                <w:lang w:val="es-ES"/>
              </w:rPr>
              <w:t>Motivos:</w:t>
            </w:r>
            <w:r w:rsidRPr="000D2717">
              <w:rPr>
                <w:rFonts w:eastAsia="Calibri"/>
                <w:lang w:val="es-ES"/>
              </w:rPr>
              <w:t xml:space="preserve"> </w:t>
            </w:r>
            <w:r w:rsidRPr="00FE47F6">
              <w:rPr>
                <w:rFonts w:eastAsia="Calibri"/>
                <w:bCs/>
                <w:lang w:val="es-ES"/>
              </w:rPr>
              <w:t xml:space="preserve">La banda de frecuencias de 1 645,5 a 1 646,5 MHz se </w:t>
            </w:r>
            <w:r>
              <w:rPr>
                <w:rFonts w:eastAsia="Calibri"/>
                <w:bCs/>
                <w:lang w:val="es-ES"/>
              </w:rPr>
              <w:t>destinaba a</w:t>
            </w:r>
            <w:r w:rsidRPr="00FE47F6">
              <w:rPr>
                <w:rFonts w:eastAsia="Calibri"/>
                <w:bCs/>
                <w:lang w:val="es-ES"/>
              </w:rPr>
              <w:t xml:space="preserve"> las RLS por satélite a 1,6 GHz, pero estas ya no se utilizan. A menos que se autorice su utilización, esta banda de 1 MHz seguirá sin utilizarse. Ampliar su autorización para a un uso más general en el ámbito de socorro, urgencia y seguridad contribuirá a la seguridad de los navegantes y de la navegación. Asimismo, a fin de mejorar la eficiencia en la utilización de esta banda, las comunicaciones distintas a las de socorro podrán utilizarse de forma no prioritaria desde las estaciones terrestres que dan soporte a las comunicaciones de socorro, urgencia y seguridad en esta banda</w:t>
            </w:r>
            <w:r w:rsidRPr="000D2717">
              <w:rPr>
                <w:rFonts w:eastAsia="Calibri"/>
                <w:lang w:val="es-ES"/>
              </w:rPr>
              <w:t>.</w:t>
            </w:r>
          </w:p>
          <w:p w14:paraId="252D92CC" w14:textId="77777777" w:rsidR="00B20F1E" w:rsidRPr="000D2717" w:rsidRDefault="00B20F1E" w:rsidP="003D4C4E">
            <w:pPr>
              <w:pStyle w:val="Tabletext"/>
              <w:rPr>
                <w:rFonts w:eastAsia="Calibri"/>
                <w:lang w:val="es-ES"/>
              </w:rPr>
            </w:pPr>
            <w:r w:rsidRPr="003D4C4E">
              <w:rPr>
                <w:rFonts w:eastAsia="Calibri"/>
                <w:b/>
                <w:bCs/>
                <w:lang w:val="es-ES"/>
              </w:rPr>
              <w:t>Nota:</w:t>
            </w:r>
            <w:r w:rsidRPr="000D2717">
              <w:rPr>
                <w:rFonts w:eastAsia="Calibri"/>
                <w:lang w:val="es-ES"/>
              </w:rPr>
              <w:t xml:space="preserve"> </w:t>
            </w:r>
            <w:r>
              <w:rPr>
                <w:rFonts w:eastAsia="Calibri"/>
                <w:lang w:val="es-ES"/>
              </w:rPr>
              <w:t>Suprimir la</w:t>
            </w:r>
            <w:r w:rsidRPr="000D2717">
              <w:rPr>
                <w:rFonts w:eastAsia="Calibri"/>
                <w:lang w:val="es-ES"/>
              </w:rPr>
              <w:t xml:space="preserve"> restricción </w:t>
            </w:r>
            <w:r>
              <w:rPr>
                <w:rFonts w:eastAsia="Calibri"/>
                <w:lang w:val="es-ES"/>
              </w:rPr>
              <w:t>relativa a las RLS y</w:t>
            </w:r>
            <w:r w:rsidRPr="000D2717">
              <w:rPr>
                <w:rFonts w:eastAsia="Calibri"/>
                <w:lang w:val="es-ES"/>
              </w:rPr>
              <w:t xml:space="preserve"> </w:t>
            </w:r>
            <w:r>
              <w:rPr>
                <w:rFonts w:eastAsia="Calibri"/>
                <w:lang w:val="es-ES"/>
              </w:rPr>
              <w:t>disponer de</w:t>
            </w:r>
            <w:r w:rsidRPr="000D2717">
              <w:rPr>
                <w:rFonts w:eastAsia="Calibri"/>
                <w:lang w:val="es-ES"/>
              </w:rPr>
              <w:t xml:space="preserve"> banda</w:t>
            </w:r>
            <w:r>
              <w:rPr>
                <w:rFonts w:eastAsia="Calibri"/>
                <w:lang w:val="es-ES"/>
              </w:rPr>
              <w:t>s de frecuencias para el</w:t>
            </w:r>
            <w:r w:rsidRPr="000D2717">
              <w:rPr>
                <w:rFonts w:eastAsia="Calibri"/>
                <w:lang w:val="es-ES"/>
              </w:rPr>
              <w:t xml:space="preserve"> </w:t>
            </w:r>
            <w:r w:rsidRPr="00256BAC">
              <w:rPr>
                <w:rFonts w:eastAsia="Calibri"/>
                <w:lang w:val="es-ES"/>
              </w:rPr>
              <w:t xml:space="preserve">SMSSM </w:t>
            </w:r>
            <w:r w:rsidRPr="000D2717">
              <w:rPr>
                <w:rFonts w:eastAsia="Calibri"/>
                <w:lang w:val="es-ES"/>
              </w:rPr>
              <w:t>y</w:t>
            </w:r>
            <w:r>
              <w:rPr>
                <w:rFonts w:eastAsia="Calibri"/>
                <w:lang w:val="es-ES"/>
              </w:rPr>
              <w:t xml:space="preserve"> </w:t>
            </w:r>
            <w:r w:rsidRPr="000D2717">
              <w:rPr>
                <w:rFonts w:eastAsia="Calibri"/>
                <w:lang w:val="es-ES"/>
              </w:rPr>
              <w:t xml:space="preserve">comunicaciones generales en estaciones </w:t>
            </w:r>
            <w:r>
              <w:rPr>
                <w:rFonts w:eastAsia="Calibri"/>
                <w:lang w:val="es-ES"/>
              </w:rPr>
              <w:t>del mismo</w:t>
            </w:r>
          </w:p>
          <w:p w14:paraId="60654FBC" w14:textId="77777777" w:rsidR="00B20F1E" w:rsidRPr="003D4C4E" w:rsidRDefault="00B20F1E" w:rsidP="003D4C4E">
            <w:pPr>
              <w:pStyle w:val="Tabletext"/>
              <w:rPr>
                <w:rFonts w:eastAsia="Calibri"/>
                <w:b/>
                <w:bCs/>
                <w:u w:val="single"/>
                <w:lang w:val="es-ES"/>
              </w:rPr>
            </w:pPr>
            <w:r w:rsidRPr="003D4C4E">
              <w:rPr>
                <w:rFonts w:eastAsia="Calibri"/>
                <w:b/>
                <w:bCs/>
                <w:u w:val="single"/>
                <w:lang w:val="es-ES"/>
              </w:rPr>
              <w:t>Tema B: Navegación electrónica</w:t>
            </w:r>
          </w:p>
          <w:p w14:paraId="29B0BEE8" w14:textId="7909BBE8" w:rsidR="00B20F1E" w:rsidRPr="000D2717" w:rsidRDefault="00B20F1E" w:rsidP="003D4C4E">
            <w:pPr>
              <w:pStyle w:val="Tabletext"/>
              <w:rPr>
                <w:rFonts w:eastAsia="Calibri"/>
                <w:lang w:val="es-ES"/>
              </w:rPr>
            </w:pPr>
            <w:r w:rsidRPr="003D4C4E">
              <w:rPr>
                <w:rFonts w:eastAsia="Calibri"/>
                <w:b/>
                <w:bCs/>
                <w:lang w:val="es-ES"/>
              </w:rPr>
              <w:t xml:space="preserve">Apoyar el método </w:t>
            </w:r>
            <w:r w:rsidR="003D4C4E">
              <w:rPr>
                <w:rFonts w:eastAsia="Calibri"/>
                <w:b/>
                <w:bCs/>
                <w:lang w:val="es-ES"/>
              </w:rPr>
              <w:t>«</w:t>
            </w:r>
            <w:r w:rsidRPr="003D4C4E">
              <w:rPr>
                <w:rFonts w:eastAsia="Calibri"/>
                <w:b/>
                <w:bCs/>
                <w:lang w:val="es-ES"/>
              </w:rPr>
              <w:t>B</w:t>
            </w:r>
            <w:r w:rsidR="003D4C4E">
              <w:rPr>
                <w:rFonts w:eastAsia="Calibri"/>
                <w:b/>
                <w:bCs/>
                <w:lang w:val="es-ES"/>
              </w:rPr>
              <w:t>»</w:t>
            </w:r>
            <w:r w:rsidRPr="000D2717">
              <w:rPr>
                <w:rFonts w:eastAsia="Calibri"/>
                <w:lang w:val="es-ES"/>
              </w:rPr>
              <w:t xml:space="preserve"> mencionado en el proyecto de </w:t>
            </w:r>
            <w:r>
              <w:rPr>
                <w:rFonts w:eastAsia="Calibri"/>
                <w:lang w:val="es-ES"/>
              </w:rPr>
              <w:t xml:space="preserve">texto de la </w:t>
            </w:r>
            <w:r w:rsidRPr="000D2717">
              <w:rPr>
                <w:rFonts w:eastAsia="Calibri"/>
                <w:lang w:val="es-ES"/>
              </w:rPr>
              <w:t>RPC (</w:t>
            </w:r>
            <w:r>
              <w:rPr>
                <w:rFonts w:eastAsia="Calibri"/>
                <w:lang w:val="es-ES"/>
              </w:rPr>
              <w:t>sin necesidad de</w:t>
            </w:r>
            <w:r w:rsidRPr="000D2717">
              <w:rPr>
                <w:rFonts w:eastAsia="Calibri"/>
                <w:lang w:val="es-ES"/>
              </w:rPr>
              <w:t xml:space="preserve"> modificar el RR);</w:t>
            </w:r>
          </w:p>
          <w:p w14:paraId="7C989B6D" w14:textId="11B6315B" w:rsidR="00B20F1E" w:rsidRPr="003D4C4E" w:rsidRDefault="00B20F1E" w:rsidP="003D4C4E">
            <w:pPr>
              <w:pStyle w:val="Tabletext"/>
              <w:rPr>
                <w:rFonts w:eastAsia="Calibri"/>
                <w:b/>
                <w:bCs/>
                <w:lang w:val="es-ES"/>
              </w:rPr>
            </w:pPr>
            <w:r w:rsidRPr="003D4C4E">
              <w:rPr>
                <w:rFonts w:eastAsia="Calibri"/>
                <w:b/>
                <w:bCs/>
                <w:lang w:val="es-ES"/>
              </w:rPr>
              <w:t>3</w:t>
            </w:r>
            <w:r w:rsidR="003D4C4E" w:rsidRPr="003D4C4E">
              <w:rPr>
                <w:rFonts w:eastAsia="Calibri"/>
                <w:b/>
                <w:bCs/>
                <w:lang w:val="es-ES"/>
              </w:rPr>
              <w:tab/>
            </w:r>
            <w:r w:rsidR="003D4C4E">
              <w:rPr>
                <w:rFonts w:eastAsia="Calibri"/>
                <w:b/>
                <w:bCs/>
                <w:lang w:val="es-ES"/>
              </w:rPr>
              <w:tab/>
            </w:r>
            <w:r w:rsidRPr="003D4C4E">
              <w:rPr>
                <w:rFonts w:eastAsia="Calibri"/>
                <w:b/>
                <w:bCs/>
                <w:lang w:val="es-ES"/>
              </w:rPr>
              <w:t>Tema C: Introducción de sistemas de satélite adicionales en el SMSSM</w:t>
            </w:r>
          </w:p>
          <w:p w14:paraId="058F99F0" w14:textId="01D91C27" w:rsidR="00B20F1E" w:rsidRPr="000D2717" w:rsidRDefault="00B20F1E" w:rsidP="003D4C4E">
            <w:pPr>
              <w:pStyle w:val="Tabletext"/>
              <w:rPr>
                <w:rFonts w:eastAsia="Calibri"/>
                <w:lang w:val="es-ES"/>
              </w:rPr>
            </w:pPr>
            <w:r w:rsidRPr="003D4C4E">
              <w:rPr>
                <w:rFonts w:eastAsia="Calibri"/>
                <w:b/>
                <w:bCs/>
                <w:lang w:val="es-ES"/>
              </w:rPr>
              <w:t>3.1</w:t>
            </w:r>
            <w:r w:rsidR="003D4C4E">
              <w:rPr>
                <w:rFonts w:eastAsia="Calibri"/>
                <w:lang w:val="es-ES"/>
              </w:rPr>
              <w:tab/>
            </w:r>
            <w:r w:rsidR="003D4C4E">
              <w:rPr>
                <w:rFonts w:eastAsia="Calibri"/>
                <w:lang w:val="es-ES"/>
              </w:rPr>
              <w:tab/>
            </w:r>
            <w:r w:rsidRPr="003D4C4E">
              <w:rPr>
                <w:rFonts w:eastAsia="Calibri"/>
                <w:b/>
                <w:bCs/>
                <w:lang w:val="es-ES"/>
              </w:rPr>
              <w:t>Apoyar al método C3</w:t>
            </w:r>
            <w:r w:rsidRPr="000D2717">
              <w:rPr>
                <w:rFonts w:eastAsia="Calibri"/>
                <w:lang w:val="es-ES"/>
              </w:rPr>
              <w:t xml:space="preserve"> </w:t>
            </w:r>
            <w:r w:rsidR="00FE524D" w:rsidRPr="00FE524D">
              <w:rPr>
                <w:rFonts w:eastAsia="Calibri"/>
                <w:lang w:val="es-ES"/>
              </w:rPr>
              <w:t>–</w:t>
            </w:r>
            <w:r w:rsidRPr="000D2717">
              <w:rPr>
                <w:rFonts w:eastAsia="Calibri"/>
                <w:lang w:val="es-ES"/>
              </w:rPr>
              <w:t xml:space="preserve"> </w:t>
            </w:r>
            <w:r w:rsidRPr="000261B7">
              <w:rPr>
                <w:rFonts w:eastAsia="Calibri"/>
                <w:lang w:val="es-ES"/>
              </w:rPr>
              <w:t xml:space="preserve">La introducción de sistemas adicionales de satélite para las operaciones del SMSSM está sujeta a la </w:t>
            </w:r>
            <w:r>
              <w:rPr>
                <w:rFonts w:eastAsia="Calibri"/>
                <w:lang w:val="es-ES"/>
              </w:rPr>
              <w:t xml:space="preserve">previa elaboración </w:t>
            </w:r>
            <w:r w:rsidRPr="000261B7">
              <w:rPr>
                <w:rFonts w:eastAsia="Calibri"/>
                <w:lang w:val="es-ES"/>
              </w:rPr>
              <w:t xml:space="preserve">de las disposiciones pertinentes aplicables del Reglamento de Radiocomunicaciones vigente, </w:t>
            </w:r>
            <w:r>
              <w:rPr>
                <w:rFonts w:eastAsia="Calibri"/>
                <w:lang w:val="es-ES"/>
              </w:rPr>
              <w:t>incluidos</w:t>
            </w:r>
            <w:r w:rsidRPr="000261B7">
              <w:rPr>
                <w:rFonts w:eastAsia="Calibri"/>
                <w:lang w:val="es-ES"/>
              </w:rPr>
              <w:t xml:space="preserve"> los Artículos </w:t>
            </w:r>
            <w:r w:rsidRPr="00FE524D">
              <w:rPr>
                <w:rFonts w:eastAsia="Calibri"/>
                <w:b/>
                <w:bCs/>
                <w:lang w:val="es-ES"/>
              </w:rPr>
              <w:t>9</w:t>
            </w:r>
            <w:r w:rsidRPr="000261B7">
              <w:rPr>
                <w:rFonts w:eastAsia="Calibri"/>
                <w:lang w:val="es-ES"/>
              </w:rPr>
              <w:t xml:space="preserve"> y </w:t>
            </w:r>
            <w:r w:rsidRPr="00FE524D">
              <w:rPr>
                <w:rFonts w:eastAsia="Calibri"/>
                <w:b/>
                <w:bCs/>
                <w:lang w:val="es-ES"/>
              </w:rPr>
              <w:t>11</w:t>
            </w:r>
            <w:r w:rsidRPr="000261B7">
              <w:rPr>
                <w:rFonts w:eastAsia="Calibri"/>
                <w:lang w:val="es-ES"/>
              </w:rPr>
              <w:t xml:space="preserve"> del RR</w:t>
            </w:r>
            <w:r>
              <w:rPr>
                <w:rFonts w:eastAsia="Calibri"/>
                <w:lang w:val="es-ES"/>
              </w:rPr>
              <w:t>,</w:t>
            </w:r>
            <w:r w:rsidRPr="000261B7">
              <w:rPr>
                <w:rFonts w:eastAsia="Calibri"/>
                <w:lang w:val="es-ES"/>
              </w:rPr>
              <w:t xml:space="preserve"> junto con los objetivos de sus Reglas de Procedimiento conexas, con miras a </w:t>
            </w:r>
            <w:r>
              <w:rPr>
                <w:rFonts w:eastAsia="Calibri"/>
                <w:lang w:val="es-ES"/>
              </w:rPr>
              <w:t>garantizar</w:t>
            </w:r>
            <w:r w:rsidRPr="000261B7">
              <w:rPr>
                <w:rFonts w:eastAsia="Calibri"/>
                <w:lang w:val="es-ES"/>
              </w:rPr>
              <w:t xml:space="preserve"> la protección de los servicios existentes atribuidos a la banda de frecuencias</w:t>
            </w:r>
            <w:r>
              <w:rPr>
                <w:rFonts w:eastAsia="Calibri"/>
                <w:lang w:val="es-ES"/>
              </w:rPr>
              <w:t xml:space="preserve"> pertinente</w:t>
            </w:r>
            <w:r w:rsidRPr="000261B7">
              <w:rPr>
                <w:rFonts w:eastAsia="Calibri"/>
                <w:lang w:val="es-ES"/>
              </w:rPr>
              <w:t xml:space="preserve">, </w:t>
            </w:r>
            <w:r>
              <w:rPr>
                <w:rFonts w:eastAsia="Calibri"/>
                <w:lang w:val="es-ES"/>
              </w:rPr>
              <w:t>habida cuenta de</w:t>
            </w:r>
            <w:r w:rsidRPr="000261B7">
              <w:rPr>
                <w:rFonts w:eastAsia="Calibri"/>
                <w:lang w:val="es-ES"/>
              </w:rPr>
              <w:t xml:space="preserve"> las condiciones </w:t>
            </w:r>
            <w:r>
              <w:rPr>
                <w:rFonts w:eastAsia="Calibri"/>
                <w:lang w:val="es-ES"/>
              </w:rPr>
              <w:t>relativas al funcionamiento y a la implantación de</w:t>
            </w:r>
            <w:r w:rsidRPr="000261B7">
              <w:rPr>
                <w:rFonts w:eastAsia="Calibri"/>
                <w:lang w:val="es-ES"/>
              </w:rPr>
              <w:t xml:space="preserve"> dichos servicios existentes</w:t>
            </w:r>
            <w:r w:rsidRPr="000D2717">
              <w:rPr>
                <w:rFonts w:eastAsia="Calibri"/>
                <w:lang w:val="es-ES"/>
              </w:rPr>
              <w:t>.</w:t>
            </w:r>
          </w:p>
          <w:p w14:paraId="7111510B" w14:textId="77777777" w:rsidR="00B20F1E" w:rsidRPr="000D2717" w:rsidRDefault="00B20F1E" w:rsidP="003D4C4E">
            <w:pPr>
              <w:pStyle w:val="Tabletext"/>
              <w:rPr>
                <w:rFonts w:eastAsia="Calibri"/>
                <w:lang w:val="es-ES"/>
              </w:rPr>
            </w:pPr>
            <w:r w:rsidRPr="000D2717">
              <w:rPr>
                <w:rFonts w:eastAsia="Calibri"/>
                <w:lang w:val="es-ES"/>
              </w:rPr>
              <w:t>Este método incluye también:</w:t>
            </w:r>
          </w:p>
          <w:p w14:paraId="405F106D" w14:textId="05BAAB9E" w:rsidR="00B20F1E" w:rsidRPr="006A4727" w:rsidRDefault="003D4C4E" w:rsidP="003D4C4E">
            <w:pPr>
              <w:pStyle w:val="Tabletext"/>
              <w:ind w:left="284" w:hanging="284"/>
              <w:rPr>
                <w:rFonts w:eastAsia="Calibri"/>
                <w:lang w:val="es-ES"/>
              </w:rPr>
            </w:pPr>
            <w:r w:rsidRPr="009A4CB9">
              <w:rPr>
                <w:rFonts w:eastAsia="Calibri"/>
              </w:rPr>
              <w:t>–</w:t>
            </w:r>
            <w:r w:rsidRPr="009A4CB9">
              <w:rPr>
                <w:rFonts w:eastAsia="Calibri"/>
              </w:rPr>
              <w:tab/>
            </w:r>
            <w:r w:rsidR="00B20F1E" w:rsidRPr="006A4727">
              <w:rPr>
                <w:rFonts w:eastAsia="Calibri"/>
                <w:lang w:val="es-ES"/>
              </w:rPr>
              <w:t>la incorporación de las bandas de frecuencias 1 610,18-1 621,35 MHz y 2</w:t>
            </w:r>
            <w:r>
              <w:rPr>
                <w:rFonts w:eastAsia="Calibri"/>
                <w:lang w:val="es-ES"/>
              </w:rPr>
              <w:t> </w:t>
            </w:r>
            <w:r w:rsidR="00B20F1E" w:rsidRPr="006A4727">
              <w:rPr>
                <w:rFonts w:eastAsia="Calibri"/>
                <w:lang w:val="es-ES"/>
              </w:rPr>
              <w:t xml:space="preserve">483,59 2 499,91 MHz al Cuadro 15-2 del Apéndice </w:t>
            </w:r>
            <w:r w:rsidR="00B20F1E" w:rsidRPr="003D4C4E">
              <w:rPr>
                <w:rFonts w:eastAsia="Calibri"/>
                <w:b/>
                <w:bCs/>
                <w:lang w:val="es-ES"/>
              </w:rPr>
              <w:t>15</w:t>
            </w:r>
            <w:r w:rsidR="00B20F1E" w:rsidRPr="006A4727">
              <w:rPr>
                <w:rFonts w:eastAsia="Calibri"/>
                <w:lang w:val="es-ES"/>
              </w:rPr>
              <w:t xml:space="preserve"> del RR, así como las disposiciones de los números </w:t>
            </w:r>
            <w:r w:rsidR="00B20F1E" w:rsidRPr="003D4C4E">
              <w:rPr>
                <w:rFonts w:eastAsia="Calibri"/>
                <w:b/>
                <w:bCs/>
                <w:lang w:val="es-ES"/>
              </w:rPr>
              <w:t>33.50</w:t>
            </w:r>
            <w:r w:rsidR="00B20F1E" w:rsidRPr="006A4727">
              <w:rPr>
                <w:rFonts w:eastAsia="Calibri"/>
                <w:lang w:val="es-ES"/>
              </w:rPr>
              <w:t xml:space="preserve"> y </w:t>
            </w:r>
            <w:r w:rsidR="00B20F1E" w:rsidRPr="003D4C4E">
              <w:rPr>
                <w:rFonts w:eastAsia="Calibri"/>
                <w:b/>
                <w:bCs/>
                <w:lang w:val="es-ES"/>
              </w:rPr>
              <w:t>33.53</w:t>
            </w:r>
            <w:r w:rsidR="00B20F1E" w:rsidRPr="006A4727">
              <w:rPr>
                <w:rFonts w:eastAsia="Calibri"/>
                <w:lang w:val="es-ES"/>
              </w:rPr>
              <w:t xml:space="preserve"> del Artículo </w:t>
            </w:r>
            <w:r w:rsidR="00B20F1E" w:rsidRPr="00FE524D">
              <w:rPr>
                <w:rFonts w:eastAsia="Calibri"/>
                <w:b/>
                <w:bCs/>
                <w:lang w:val="es-ES"/>
              </w:rPr>
              <w:t>33</w:t>
            </w:r>
            <w:r w:rsidR="00B20F1E" w:rsidRPr="006A4727">
              <w:rPr>
                <w:rFonts w:eastAsia="Calibri"/>
                <w:lang w:val="es-ES"/>
              </w:rPr>
              <w:t xml:space="preserve"> del RR, a fin de que el SMSSM cumpla los requisitos de los aspectos de la seguridad de la vida y de poner en práctica las disposiciones aplicables del RR;</w:t>
            </w:r>
          </w:p>
          <w:p w14:paraId="1A060223" w14:textId="79CE5B2A" w:rsidR="00B20F1E" w:rsidRPr="006A4727" w:rsidRDefault="003D4C4E" w:rsidP="003D4C4E">
            <w:pPr>
              <w:pStyle w:val="Tabletext"/>
              <w:ind w:left="284" w:hanging="284"/>
              <w:rPr>
                <w:rFonts w:eastAsia="Calibri"/>
                <w:lang w:val="es-ES"/>
              </w:rPr>
            </w:pPr>
            <w:r w:rsidRPr="009A4CB9">
              <w:rPr>
                <w:rFonts w:eastAsia="Calibri"/>
              </w:rPr>
              <w:t>–</w:t>
            </w:r>
            <w:r w:rsidRPr="009A4CB9">
              <w:rPr>
                <w:rFonts w:eastAsia="Calibri"/>
              </w:rPr>
              <w:tab/>
            </w:r>
            <w:r w:rsidR="00B20F1E" w:rsidRPr="006A4727">
              <w:rPr>
                <w:rFonts w:eastAsia="Calibri"/>
                <w:lang w:val="es-ES"/>
              </w:rPr>
              <w:t xml:space="preserve">la modificación de los números </w:t>
            </w:r>
            <w:r w:rsidR="00B20F1E" w:rsidRPr="003D4C4E">
              <w:rPr>
                <w:rFonts w:eastAsia="Calibri"/>
                <w:b/>
                <w:bCs/>
                <w:lang w:val="es-ES"/>
              </w:rPr>
              <w:t>5.364</w:t>
            </w:r>
            <w:r w:rsidR="00B20F1E" w:rsidRPr="006A4727">
              <w:rPr>
                <w:rFonts w:eastAsia="Calibri"/>
                <w:lang w:val="es-ES"/>
              </w:rPr>
              <w:t xml:space="preserve"> y </w:t>
            </w:r>
            <w:r w:rsidR="00B20F1E" w:rsidRPr="003D4C4E">
              <w:rPr>
                <w:rFonts w:eastAsia="Calibri"/>
                <w:b/>
                <w:bCs/>
                <w:lang w:val="es-ES"/>
              </w:rPr>
              <w:t>5.368</w:t>
            </w:r>
            <w:r w:rsidR="00B20F1E" w:rsidRPr="006A4727">
              <w:rPr>
                <w:rFonts w:eastAsia="Calibri"/>
                <w:lang w:val="es-ES"/>
              </w:rPr>
              <w:t xml:space="preserve"> del RR para aplicar el número </w:t>
            </w:r>
            <w:r w:rsidR="00B20F1E" w:rsidRPr="003D4C4E">
              <w:rPr>
                <w:rFonts w:eastAsia="Calibri"/>
                <w:b/>
                <w:bCs/>
                <w:lang w:val="es-ES"/>
              </w:rPr>
              <w:t>4.10</w:t>
            </w:r>
            <w:r w:rsidR="00B20F1E" w:rsidRPr="006A4727">
              <w:rPr>
                <w:rFonts w:eastAsia="Calibri"/>
                <w:lang w:val="es-ES"/>
              </w:rPr>
              <w:t xml:space="preserve"> del RR a las estaciones del SMSSM que funcionan en el SMMS (Tierra-espacio) en la banda de frecuencias 1 610,18-1 621,35 MHz, así como la modificación del número </w:t>
            </w:r>
            <w:r w:rsidR="00B20F1E" w:rsidRPr="003D4C4E">
              <w:rPr>
                <w:rFonts w:eastAsia="Calibri"/>
                <w:b/>
                <w:bCs/>
                <w:lang w:val="es-ES"/>
              </w:rPr>
              <w:t>5.368</w:t>
            </w:r>
            <w:r w:rsidR="00B20F1E" w:rsidRPr="006A4727">
              <w:rPr>
                <w:rFonts w:eastAsia="Calibri"/>
                <w:lang w:val="es-ES"/>
              </w:rPr>
              <w:t xml:space="preserve"> del RR para mantener el estado entre las estaciones del SMSSM que funcionan en el SMMS y el SMA(R)S en la banda de frecuencias 1 610,18</w:t>
            </w:r>
            <w:r w:rsidR="00427A31">
              <w:rPr>
                <w:rFonts w:eastAsia="Calibri"/>
                <w:lang w:val="es-ES"/>
              </w:rPr>
              <w:t>-</w:t>
            </w:r>
            <w:r w:rsidR="00B20F1E" w:rsidRPr="006A4727">
              <w:rPr>
                <w:rFonts w:eastAsia="Calibri"/>
                <w:lang w:val="es-ES"/>
              </w:rPr>
              <w:t>1 621,35 MHz;</w:t>
            </w:r>
          </w:p>
          <w:p w14:paraId="738CB8B3" w14:textId="28247DDD" w:rsidR="00B20F1E" w:rsidRPr="000D2717" w:rsidRDefault="003D4C4E" w:rsidP="003D4C4E">
            <w:pPr>
              <w:pStyle w:val="Tabletext"/>
              <w:ind w:left="284" w:hanging="284"/>
              <w:rPr>
                <w:rFonts w:eastAsia="Calibri"/>
                <w:lang w:val="es-ES"/>
              </w:rPr>
            </w:pPr>
            <w:r w:rsidRPr="009A4CB9">
              <w:rPr>
                <w:rFonts w:eastAsia="Calibri"/>
              </w:rPr>
              <w:t>–</w:t>
            </w:r>
            <w:r w:rsidRPr="009A4CB9">
              <w:rPr>
                <w:rFonts w:eastAsia="Calibri"/>
              </w:rPr>
              <w:tab/>
            </w:r>
            <w:r w:rsidR="00B20F1E" w:rsidRPr="006A4727">
              <w:rPr>
                <w:rFonts w:eastAsia="Calibri"/>
                <w:lang w:val="es-ES"/>
              </w:rPr>
              <w:t>una Resolución conexa con miras a abordar las necesidades de coordinación y la mitigación y eliminación de posibles interferencias perjudiciales</w:t>
            </w:r>
            <w:r w:rsidR="00B20F1E" w:rsidRPr="000D2717">
              <w:rPr>
                <w:rFonts w:eastAsia="Calibri"/>
                <w:lang w:val="es-ES"/>
              </w:rPr>
              <w:t>.</w:t>
            </w:r>
          </w:p>
          <w:p w14:paraId="7896AFDF" w14:textId="6174C3F1" w:rsidR="00B20F1E" w:rsidRPr="000D2717" w:rsidRDefault="00B20F1E" w:rsidP="003D4C4E">
            <w:pPr>
              <w:pStyle w:val="Tabletext"/>
              <w:rPr>
                <w:rFonts w:eastAsia="Calibri"/>
                <w:i/>
                <w:lang w:val="es-ES"/>
              </w:rPr>
            </w:pPr>
            <w:r w:rsidRPr="003D4C4E">
              <w:rPr>
                <w:rFonts w:eastAsia="Calibri"/>
                <w:b/>
                <w:bCs/>
                <w:lang w:val="es-ES"/>
              </w:rPr>
              <w:lastRenderedPageBreak/>
              <w:t>3.2</w:t>
            </w:r>
            <w:r w:rsidR="00427A31">
              <w:rPr>
                <w:rFonts w:eastAsia="Calibri"/>
                <w:b/>
                <w:bCs/>
                <w:lang w:val="es-ES"/>
              </w:rPr>
              <w:tab/>
            </w:r>
            <w:r w:rsidR="00427A31">
              <w:rPr>
                <w:rFonts w:eastAsia="Calibri"/>
                <w:b/>
                <w:bCs/>
                <w:lang w:val="es-ES"/>
              </w:rPr>
              <w:tab/>
            </w:r>
            <w:r w:rsidRPr="006A4727">
              <w:rPr>
                <w:rFonts w:eastAsia="Calibri"/>
                <w:lang w:val="es-ES"/>
              </w:rPr>
              <w:t xml:space="preserve">Algunas administraciones opinan que la conclusión de los procesos de coordinación y notificación del nuevo sistema del SMSSM propuesto, de conformidad con los Artículos </w:t>
            </w:r>
            <w:r w:rsidRPr="00413D41">
              <w:rPr>
                <w:rFonts w:eastAsia="Calibri"/>
                <w:b/>
                <w:bCs/>
                <w:lang w:val="es-ES"/>
              </w:rPr>
              <w:t>9</w:t>
            </w:r>
            <w:r w:rsidRPr="006A4727">
              <w:rPr>
                <w:rFonts w:eastAsia="Calibri"/>
                <w:lang w:val="es-ES"/>
              </w:rPr>
              <w:t xml:space="preserve"> y </w:t>
            </w:r>
            <w:r w:rsidRPr="00413D41">
              <w:rPr>
                <w:rFonts w:eastAsia="Calibri"/>
                <w:b/>
                <w:bCs/>
                <w:lang w:val="es-ES"/>
              </w:rPr>
              <w:t>11</w:t>
            </w:r>
            <w:r w:rsidRPr="006A4727">
              <w:rPr>
                <w:rFonts w:eastAsia="Calibri"/>
                <w:lang w:val="es-ES"/>
              </w:rPr>
              <w:t xml:space="preserve"> del RR, es condición necesaria para toda modificación del Reglamento de Radiocomunicaciones para su introducción. Sin estos procesos, el sistema del SMSSM no puede reclamar protección contra la interferencia perjudicial y podría no cumplir todos los requisitos de un sistema de seguridad. A este efecto, cabe destacar que las asignaciones inscritas con arreglo al número </w:t>
            </w:r>
            <w:r w:rsidRPr="00413D41">
              <w:rPr>
                <w:rFonts w:eastAsia="Calibri"/>
                <w:b/>
                <w:bCs/>
                <w:lang w:val="es-ES"/>
              </w:rPr>
              <w:t>11.41</w:t>
            </w:r>
            <w:r w:rsidRPr="006A4727">
              <w:rPr>
                <w:rFonts w:eastAsia="Calibri"/>
                <w:lang w:val="es-ES"/>
              </w:rPr>
              <w:t xml:space="preserve"> del RR no son adecuadas para su utilización en un sistema del SMSSM. El reconocimiento y la aprobación por parte de la OMI para que una red/un sistema de satélite OSG ofrezca funciones del SMSSM antes de la CMR-23 es también un factor determinante para la adopción de cualquier cambio en el Reglamento de Radiocomunicaciones</w:t>
            </w:r>
            <w:r w:rsidRPr="000D2717">
              <w:rPr>
                <w:rFonts w:eastAsia="Calibri"/>
                <w:lang w:val="es-ES"/>
              </w:rPr>
              <w:t>.</w:t>
            </w:r>
          </w:p>
          <w:p w14:paraId="47E60029" w14:textId="0D5621FF" w:rsidR="00B20F1E" w:rsidRPr="00BB3C36" w:rsidRDefault="00B20F1E" w:rsidP="003D4C4E">
            <w:pPr>
              <w:pStyle w:val="Tabletext"/>
              <w:rPr>
                <w:rFonts w:eastAsia="Calibri"/>
                <w:lang w:val="es-ES"/>
              </w:rPr>
            </w:pPr>
            <w:r w:rsidRPr="00413D41">
              <w:rPr>
                <w:rFonts w:eastAsia="Calibri"/>
                <w:b/>
                <w:bCs/>
                <w:lang w:val="es-ES"/>
              </w:rPr>
              <w:t>3.3</w:t>
            </w:r>
            <w:r w:rsidR="00413D41">
              <w:rPr>
                <w:rFonts w:eastAsia="Calibri"/>
                <w:lang w:val="es-ES"/>
              </w:rPr>
              <w:tab/>
            </w:r>
            <w:r w:rsidR="00413D41">
              <w:rPr>
                <w:rFonts w:eastAsia="Calibri"/>
                <w:lang w:val="es-ES"/>
              </w:rPr>
              <w:tab/>
            </w:r>
            <w:r w:rsidRPr="00BB3C36">
              <w:rPr>
                <w:rFonts w:eastAsia="Calibri"/>
                <w:lang w:val="es-ES"/>
              </w:rPr>
              <w:t>Otras administraciones opinan con firmeza que la afirmación anterior no es objetiva e induce a confusión por los motivos siguientes:</w:t>
            </w:r>
          </w:p>
          <w:p w14:paraId="5DA1125D" w14:textId="3C62F2CD" w:rsidR="00B20F1E" w:rsidRPr="00BB3C36" w:rsidRDefault="00413D41" w:rsidP="00413D41">
            <w:pPr>
              <w:pStyle w:val="Tabletext"/>
              <w:ind w:left="284" w:hanging="284"/>
              <w:rPr>
                <w:rFonts w:eastAsia="Calibri"/>
                <w:lang w:val="es-ES"/>
              </w:rPr>
            </w:pPr>
            <w:r w:rsidRPr="009A4CB9">
              <w:rPr>
                <w:rFonts w:eastAsia="Calibri"/>
              </w:rPr>
              <w:t>–</w:t>
            </w:r>
            <w:r w:rsidRPr="009A4CB9">
              <w:rPr>
                <w:rFonts w:eastAsia="Calibri"/>
              </w:rPr>
              <w:tab/>
            </w:r>
            <w:r w:rsidR="00B20F1E" w:rsidRPr="00BB3C36">
              <w:rPr>
                <w:rFonts w:eastAsia="Calibri"/>
                <w:lang w:val="es-ES"/>
              </w:rPr>
              <w:t>No hay relación entre el proceso de coordinación de las asignaciones y las decisiones de cualquier CMR, incluida la CMR-23, ya que la forma de proceder en lo que respecta a la coordinación se describe y explica claramente en el Reglamento de Radiocomunicaciones, por lo que no se requiere ninguna decisión adicional por la CMR-23.</w:t>
            </w:r>
          </w:p>
          <w:p w14:paraId="074A6217" w14:textId="79BA3B63" w:rsidR="00B20F1E" w:rsidRPr="00BB3C36" w:rsidRDefault="00413D41" w:rsidP="00413D41">
            <w:pPr>
              <w:pStyle w:val="Tabletext"/>
              <w:ind w:left="284" w:hanging="284"/>
              <w:rPr>
                <w:rFonts w:eastAsia="Calibri"/>
                <w:lang w:val="es-ES"/>
              </w:rPr>
            </w:pPr>
            <w:r w:rsidRPr="009A4CB9">
              <w:rPr>
                <w:rFonts w:eastAsia="Calibri"/>
              </w:rPr>
              <w:t>–</w:t>
            </w:r>
            <w:r w:rsidRPr="009A4CB9">
              <w:rPr>
                <w:rFonts w:eastAsia="Calibri"/>
              </w:rPr>
              <w:tab/>
            </w:r>
            <w:r w:rsidR="00B20F1E" w:rsidRPr="00BB3C36">
              <w:rPr>
                <w:rFonts w:eastAsia="Calibri"/>
                <w:lang w:val="es-ES"/>
              </w:rPr>
              <w:t xml:space="preserve">La referencia a la inclusión en el Reglamento de Radiocomunicaciones de determinadas asignaciones de frecuencias a una red de satélites OSG o un sistema de satélites no OSG es parte integrante del procedimiento de notificación e inscripción de dichas asignaciones, tal y como se estipula en el Artículo </w:t>
            </w:r>
            <w:r w:rsidR="00B20F1E" w:rsidRPr="00413D41">
              <w:rPr>
                <w:rFonts w:eastAsia="Calibri"/>
                <w:b/>
                <w:bCs/>
                <w:lang w:val="es-ES"/>
              </w:rPr>
              <w:t>11</w:t>
            </w:r>
            <w:r w:rsidR="00B20F1E" w:rsidRPr="00BB3C36">
              <w:rPr>
                <w:rFonts w:eastAsia="Calibri"/>
                <w:lang w:val="es-ES"/>
              </w:rPr>
              <w:t xml:space="preserve"> del Reglamento de Radiocomunicaciones, por lo que es completamente independiente de las decisiones de cualquier CMR, incluida la</w:t>
            </w:r>
            <w:r w:rsidR="00427A31">
              <w:rPr>
                <w:rFonts w:eastAsia="Calibri"/>
                <w:lang w:val="es-ES"/>
              </w:rPr>
              <w:t> </w:t>
            </w:r>
            <w:r w:rsidR="00B20F1E" w:rsidRPr="00BB3C36">
              <w:rPr>
                <w:rFonts w:eastAsia="Calibri"/>
                <w:lang w:val="es-ES"/>
              </w:rPr>
              <w:t>CMR-23.</w:t>
            </w:r>
          </w:p>
          <w:p w14:paraId="4BA1B9D6" w14:textId="6632E355" w:rsidR="00B20F1E" w:rsidRPr="000D2717" w:rsidRDefault="00413D41" w:rsidP="00413D41">
            <w:pPr>
              <w:pStyle w:val="Tabletext"/>
              <w:ind w:left="284" w:hanging="284"/>
              <w:rPr>
                <w:rFonts w:eastAsia="Calibri"/>
                <w:lang w:val="es-ES"/>
              </w:rPr>
            </w:pPr>
            <w:r w:rsidRPr="009A4CB9">
              <w:rPr>
                <w:rFonts w:eastAsia="Calibri"/>
              </w:rPr>
              <w:t>–</w:t>
            </w:r>
            <w:r w:rsidRPr="009A4CB9">
              <w:rPr>
                <w:rFonts w:eastAsia="Calibri"/>
              </w:rPr>
              <w:tab/>
            </w:r>
            <w:r w:rsidR="00B20F1E" w:rsidRPr="00BB3C36">
              <w:rPr>
                <w:rFonts w:eastAsia="Calibri"/>
                <w:lang w:val="es-ES"/>
              </w:rPr>
              <w:t>La cuestión del reconocimiento por parte de la OMI de una red de satélites OSG o un sistema de satélites no OSG para la posible prestación del SMSSM no tiene ninguna relación con las decisiones de cualquier CMR, incluida la CMR</w:t>
            </w:r>
            <w:r>
              <w:rPr>
                <w:rFonts w:eastAsia="Calibri"/>
                <w:lang w:val="es-ES"/>
              </w:rPr>
              <w:noBreakHyphen/>
            </w:r>
            <w:r w:rsidR="00B20F1E" w:rsidRPr="00BB3C36">
              <w:rPr>
                <w:rFonts w:eastAsia="Calibri"/>
                <w:lang w:val="es-ES"/>
              </w:rPr>
              <w:t>23, ya que tal reconocimiento es un asunto que atañe totalmente al mandato y la competencia de la OMI, y puede producirse antes o después de cualquier CMR, o no producirse en absoluto</w:t>
            </w:r>
            <w:r w:rsidR="00B20F1E" w:rsidRPr="000D2717">
              <w:rPr>
                <w:rFonts w:eastAsia="Calibri"/>
                <w:lang w:val="es-ES"/>
              </w:rPr>
              <w:t>.</w:t>
            </w:r>
          </w:p>
          <w:p w14:paraId="16632A66" w14:textId="77777777" w:rsidR="00B20F1E" w:rsidRPr="000D2717" w:rsidRDefault="00B20F1E" w:rsidP="003D4C4E">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755E54DB" w14:textId="77777777" w:rsidR="00B20F1E" w:rsidRPr="00413D41" w:rsidRDefault="00B20F1E" w:rsidP="003D4C4E">
            <w:pPr>
              <w:pStyle w:val="Tabletext"/>
              <w:rPr>
                <w:rFonts w:eastAsia="Calibri"/>
                <w:b/>
                <w:bCs/>
                <w:color w:val="000000"/>
                <w:lang w:val="es-ES"/>
              </w:rPr>
            </w:pPr>
            <w:r w:rsidRPr="00413D41">
              <w:rPr>
                <w:rFonts w:eastAsia="Calibri"/>
                <w:b/>
                <w:bCs/>
                <w:i/>
                <w:color w:val="000000"/>
                <w:lang w:val="es-ES"/>
              </w:rPr>
              <w:t>Solicitar a las administraciones de la UAT que:</w:t>
            </w:r>
          </w:p>
          <w:p w14:paraId="3EEA528A" w14:textId="77777777" w:rsidR="00B20F1E" w:rsidRPr="000D2717" w:rsidRDefault="00B20F1E" w:rsidP="003D4C4E">
            <w:pPr>
              <w:pStyle w:val="Tabletext"/>
              <w:rPr>
                <w:rFonts w:eastAsia="Calibri"/>
                <w:lang w:val="es-ES"/>
              </w:rPr>
            </w:pPr>
            <w:r w:rsidRPr="00413D41">
              <w:rPr>
                <w:rFonts w:eastAsia="Calibri"/>
                <w:b/>
                <w:bCs/>
                <w:color w:val="000000"/>
                <w:lang w:val="es-ES"/>
              </w:rPr>
              <w:t>Apoyen</w:t>
            </w:r>
            <w:r w:rsidRPr="000D2717">
              <w:rPr>
                <w:rFonts w:eastAsia="Calibri"/>
                <w:color w:val="000000"/>
                <w:lang w:val="es-ES"/>
              </w:rPr>
              <w:t xml:space="preserve"> la </w:t>
            </w:r>
            <w:r>
              <w:rPr>
                <w:rFonts w:eastAsia="Calibri"/>
                <w:color w:val="000000"/>
                <w:lang w:val="es-ES"/>
              </w:rPr>
              <w:t>AFCP</w:t>
            </w:r>
            <w:r w:rsidRPr="000D2717">
              <w:rPr>
                <w:rFonts w:eastAsia="Calibri"/>
                <w:color w:val="000000"/>
                <w:lang w:val="es-ES"/>
              </w:rPr>
              <w:t xml:space="preserve"> en </w:t>
            </w:r>
            <w:r>
              <w:rPr>
                <w:rFonts w:eastAsia="Calibri"/>
                <w:color w:val="000000"/>
                <w:lang w:val="es-ES"/>
              </w:rPr>
              <w:t>relación con este</w:t>
            </w:r>
            <w:r w:rsidRPr="000D2717">
              <w:rPr>
                <w:rFonts w:eastAsia="Calibri"/>
                <w:color w:val="000000"/>
                <w:lang w:val="es-ES"/>
              </w:rPr>
              <w:t xml:space="preserve"> punto del orden del día</w:t>
            </w:r>
            <w:r w:rsidRPr="000D2717">
              <w:rPr>
                <w:rFonts w:eastAsia="Calibri"/>
                <w:lang w:val="es-ES"/>
              </w:rPr>
              <w:t>.</w:t>
            </w:r>
          </w:p>
        </w:tc>
      </w:tr>
      <w:tr w:rsidR="00B20F1E" w:rsidRPr="00B707C8" w14:paraId="2A9B9F51" w14:textId="77777777" w:rsidTr="00DB48C6">
        <w:trPr>
          <w:jc w:val="center"/>
        </w:trPr>
        <w:tc>
          <w:tcPr>
            <w:tcW w:w="2340" w:type="dxa"/>
          </w:tcPr>
          <w:p w14:paraId="02CC10AF" w14:textId="77777777" w:rsidR="00B20F1E" w:rsidRPr="00413D41" w:rsidRDefault="00B20F1E" w:rsidP="00413D41">
            <w:pPr>
              <w:pStyle w:val="Tabletext"/>
              <w:rPr>
                <w:rFonts w:eastAsia="Calibri"/>
                <w:b/>
                <w:bCs/>
                <w:lang w:val="es-ES"/>
              </w:rPr>
            </w:pPr>
            <w:r w:rsidRPr="00413D41">
              <w:rPr>
                <w:rFonts w:eastAsia="Calibri"/>
                <w:b/>
                <w:bCs/>
                <w:lang w:val="es-ES"/>
              </w:rPr>
              <w:lastRenderedPageBreak/>
              <w:t>Punto 9.1 (Tema B)</w:t>
            </w:r>
          </w:p>
          <w:p w14:paraId="69A8C7B0" w14:textId="76E4D1F7" w:rsidR="00B20F1E" w:rsidRPr="000D2717" w:rsidRDefault="00B20F1E" w:rsidP="00413D41">
            <w:pPr>
              <w:pStyle w:val="Tabletext"/>
              <w:rPr>
                <w:rFonts w:eastAsia="Calibri"/>
                <w:lang w:val="es-ES"/>
              </w:rPr>
            </w:pPr>
            <w:r w:rsidRPr="00CD6622">
              <w:rPr>
                <w:rFonts w:eastAsia="Calibri"/>
                <w:color w:val="000000"/>
                <w:lang w:val="es-ES"/>
              </w:rPr>
              <w:t>Revisar las atribuciones al servicio de aficionados y al servicio de aficionados por satélite en la banda de frecuencias 1 240-1</w:t>
            </w:r>
            <w:r w:rsidR="00427A31">
              <w:rPr>
                <w:rFonts w:eastAsia="Calibri"/>
                <w:color w:val="000000"/>
                <w:lang w:val="es-ES"/>
              </w:rPr>
              <w:t> </w:t>
            </w:r>
            <w:r w:rsidRPr="00CD6622">
              <w:rPr>
                <w:rFonts w:eastAsia="Calibri"/>
                <w:color w:val="000000"/>
                <w:lang w:val="es-ES"/>
              </w:rPr>
              <w:t>300</w:t>
            </w:r>
            <w:r w:rsidR="00427A31">
              <w:rPr>
                <w:rFonts w:eastAsia="Calibri"/>
                <w:color w:val="000000"/>
                <w:lang w:val="es-ES"/>
              </w:rPr>
              <w:t> </w:t>
            </w:r>
            <w:r w:rsidRPr="00CD6622">
              <w:rPr>
                <w:rFonts w:eastAsia="Calibri"/>
                <w:color w:val="000000"/>
                <w:lang w:val="es-ES"/>
              </w:rPr>
              <w:t xml:space="preserve">MHz con el fin de determinar si son necesarias medidas adicionales para garantizar la protección del servicio de radionavegación por satélite (espacio-Tierra) que funciona en la misma banda, de conformidad con la Resolución </w:t>
            </w:r>
            <w:r w:rsidRPr="00413D41">
              <w:rPr>
                <w:rFonts w:eastAsia="Calibri"/>
                <w:b/>
                <w:color w:val="000000"/>
                <w:lang w:val="es-ES"/>
              </w:rPr>
              <w:t>774 (CMR-19)</w:t>
            </w:r>
            <w:r w:rsidRPr="00372BA5">
              <w:rPr>
                <w:rFonts w:eastAsia="Calibri"/>
                <w:bCs/>
                <w:color w:val="000000"/>
                <w:lang w:val="es-ES"/>
              </w:rPr>
              <w:t>.</w:t>
            </w:r>
          </w:p>
        </w:tc>
        <w:tc>
          <w:tcPr>
            <w:tcW w:w="6925" w:type="dxa"/>
          </w:tcPr>
          <w:p w14:paraId="0B019B09" w14:textId="77777777" w:rsidR="00B20F1E" w:rsidRPr="000D2717" w:rsidRDefault="00B20F1E" w:rsidP="00413D41">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57A5688F" w14:textId="5CD62714" w:rsidR="00B20F1E" w:rsidRPr="000D2717" w:rsidRDefault="00B20F1E" w:rsidP="00413D41">
            <w:pPr>
              <w:pStyle w:val="Tabletext"/>
              <w:rPr>
                <w:rFonts w:eastAsia="Calibri"/>
                <w:lang w:val="es-ES"/>
              </w:rPr>
            </w:pPr>
            <w:r w:rsidRPr="00413D41">
              <w:rPr>
                <w:rFonts w:eastAsia="Calibri"/>
                <w:b/>
                <w:bCs/>
                <w:lang w:val="es-ES"/>
              </w:rPr>
              <w:t>Apoyar</w:t>
            </w:r>
            <w:r w:rsidRPr="000D2717">
              <w:rPr>
                <w:rFonts w:eastAsia="Calibri"/>
                <w:lang w:val="es-ES"/>
              </w:rPr>
              <w:t xml:space="preserve"> el desarrollo de posibles medidas técnicas y </w:t>
            </w:r>
            <w:r>
              <w:rPr>
                <w:rFonts w:eastAsia="Calibri"/>
                <w:lang w:val="es-ES"/>
              </w:rPr>
              <w:t>operacionales</w:t>
            </w:r>
            <w:r w:rsidRPr="000D2717">
              <w:rPr>
                <w:rFonts w:eastAsia="Calibri"/>
                <w:lang w:val="es-ES"/>
              </w:rPr>
              <w:t xml:space="preserve"> para garantizar la protección de los receptores del SRNS (espacio-Tierra) </w:t>
            </w:r>
            <w:r>
              <w:rPr>
                <w:rFonts w:eastAsia="Calibri"/>
                <w:lang w:val="es-ES"/>
              </w:rPr>
              <w:t>frente a</w:t>
            </w:r>
            <w:r w:rsidRPr="000D2717">
              <w:rPr>
                <w:rFonts w:eastAsia="Calibri"/>
                <w:lang w:val="es-ES"/>
              </w:rPr>
              <w:t xml:space="preserve"> los servicios de aficionados y aficionados por satélite en la banda de frecuencias de 1</w:t>
            </w:r>
            <w:r w:rsidR="001D3B8D">
              <w:rPr>
                <w:rFonts w:eastAsia="Calibri"/>
                <w:lang w:val="es-ES"/>
              </w:rPr>
              <w:t> </w:t>
            </w:r>
            <w:r w:rsidRPr="000D2717">
              <w:rPr>
                <w:rFonts w:eastAsia="Calibri"/>
                <w:lang w:val="es-ES"/>
              </w:rPr>
              <w:t>240-1</w:t>
            </w:r>
            <w:r w:rsidR="001D3B8D">
              <w:rPr>
                <w:rFonts w:eastAsia="Calibri"/>
                <w:lang w:val="es-ES"/>
              </w:rPr>
              <w:t> </w:t>
            </w:r>
            <w:r w:rsidRPr="000D2717">
              <w:rPr>
                <w:rFonts w:eastAsia="Calibri"/>
                <w:lang w:val="es-ES"/>
              </w:rPr>
              <w:t>300</w:t>
            </w:r>
            <w:r w:rsidR="001D3B8D">
              <w:rPr>
                <w:rFonts w:eastAsia="Calibri"/>
                <w:lang w:val="es-ES"/>
              </w:rPr>
              <w:t> </w:t>
            </w:r>
            <w:r w:rsidRPr="000D2717">
              <w:rPr>
                <w:rFonts w:eastAsia="Calibri"/>
                <w:lang w:val="es-ES"/>
              </w:rPr>
              <w:t>MHz.</w:t>
            </w:r>
          </w:p>
          <w:p w14:paraId="7FA909F1" w14:textId="77777777" w:rsidR="00B20F1E" w:rsidRPr="000D2717" w:rsidRDefault="00B20F1E" w:rsidP="00413D41">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12EF5425" w14:textId="77777777" w:rsidR="00B20F1E" w:rsidRPr="00413D41" w:rsidRDefault="00B20F1E" w:rsidP="00413D41">
            <w:pPr>
              <w:pStyle w:val="Tabletext"/>
              <w:rPr>
                <w:rFonts w:eastAsia="Calibri"/>
                <w:b/>
                <w:bCs/>
                <w:i/>
                <w:color w:val="000000"/>
                <w:lang w:val="es-ES"/>
              </w:rPr>
            </w:pPr>
            <w:r w:rsidRPr="00413D41">
              <w:rPr>
                <w:rFonts w:eastAsia="Calibri"/>
                <w:b/>
                <w:bCs/>
                <w:i/>
                <w:color w:val="000000"/>
                <w:lang w:val="es-ES"/>
              </w:rPr>
              <w:t>Solicitar a las administraciones de la UAT que:</w:t>
            </w:r>
          </w:p>
          <w:p w14:paraId="027BD102" w14:textId="5A24D8AA" w:rsidR="00B20F1E" w:rsidRPr="000D2717" w:rsidRDefault="00413D41" w:rsidP="00413D41">
            <w:pPr>
              <w:pStyle w:val="Tabletext"/>
              <w:ind w:left="284" w:hanging="284"/>
              <w:rPr>
                <w:rFonts w:eastAsia="Calibri"/>
                <w:color w:val="000000"/>
                <w:lang w:val="es-ES"/>
              </w:rPr>
            </w:pPr>
            <w:r>
              <w:rPr>
                <w:rFonts w:eastAsia="Calibri"/>
                <w:color w:val="000000"/>
                <w:lang w:val="es-ES"/>
              </w:rPr>
              <w:t>1</w:t>
            </w:r>
            <w:r>
              <w:rPr>
                <w:rFonts w:eastAsia="Calibri"/>
                <w:color w:val="000000"/>
                <w:lang w:val="es-ES"/>
              </w:rPr>
              <w:tab/>
            </w:r>
            <w:r w:rsidR="00B20F1E" w:rsidRPr="001D3B8D">
              <w:rPr>
                <w:rFonts w:eastAsia="Calibri"/>
                <w:b/>
                <w:bCs/>
                <w:color w:val="000000"/>
                <w:lang w:val="es-ES"/>
              </w:rPr>
              <w:t>Observen</w:t>
            </w:r>
            <w:r w:rsidR="00B20F1E" w:rsidRPr="000D2717">
              <w:rPr>
                <w:rFonts w:eastAsia="Calibri"/>
                <w:color w:val="000000"/>
                <w:lang w:val="es-ES"/>
              </w:rPr>
              <w:t xml:space="preserve"> que </w:t>
            </w:r>
            <w:r w:rsidR="00B20F1E">
              <w:rPr>
                <w:rFonts w:eastAsia="Calibri"/>
                <w:color w:val="000000"/>
                <w:lang w:val="es-ES"/>
              </w:rPr>
              <w:t>e</w:t>
            </w:r>
            <w:r w:rsidR="00B20F1E" w:rsidRPr="00920254">
              <w:rPr>
                <w:rFonts w:eastAsia="Calibri"/>
                <w:color w:val="000000"/>
                <w:lang w:val="es-ES"/>
              </w:rPr>
              <w:t xml:space="preserve">n dos países se han observado, documentado y notificado algunos casos de interferencia perjudicial causada por transmisiones de estaciones del servicio de aficionados que </w:t>
            </w:r>
            <w:r w:rsidR="00B20F1E">
              <w:rPr>
                <w:rFonts w:eastAsia="Calibri"/>
                <w:color w:val="000000"/>
                <w:lang w:val="es-ES"/>
              </w:rPr>
              <w:t>funcionan</w:t>
            </w:r>
            <w:r w:rsidR="00B20F1E" w:rsidRPr="00920254">
              <w:rPr>
                <w:rFonts w:eastAsia="Calibri"/>
                <w:color w:val="000000"/>
                <w:lang w:val="es-ES"/>
              </w:rPr>
              <w:t xml:space="preserve"> a título secundario en receptores del SRNS (espacio-Tierra) que funcionan a título primario.</w:t>
            </w:r>
            <w:r w:rsidR="00B20F1E">
              <w:rPr>
                <w:rFonts w:eastAsia="Calibri"/>
                <w:color w:val="000000"/>
                <w:lang w:val="es-ES"/>
              </w:rPr>
              <w:t xml:space="preserve"> En el </w:t>
            </w:r>
            <w:r w:rsidR="00B20F1E" w:rsidRPr="000D2717">
              <w:rPr>
                <w:rFonts w:eastAsia="Calibri"/>
                <w:color w:val="000000"/>
                <w:lang w:val="es-ES"/>
              </w:rPr>
              <w:t>Informe UIT-R M.2513</w:t>
            </w:r>
            <w:r w:rsidR="00B20F1E">
              <w:rPr>
                <w:rFonts w:eastAsia="Calibri"/>
                <w:color w:val="000000"/>
                <w:lang w:val="es-ES"/>
              </w:rPr>
              <w:t xml:space="preserve"> se amplía información al respecto</w:t>
            </w:r>
            <w:r w:rsidR="00B20F1E" w:rsidRPr="000D2717">
              <w:rPr>
                <w:rFonts w:eastAsia="Calibri"/>
                <w:color w:val="000000"/>
                <w:lang w:val="es-ES"/>
              </w:rPr>
              <w:t>.</w:t>
            </w:r>
          </w:p>
          <w:p w14:paraId="630DEABA" w14:textId="1079A35B" w:rsidR="00B20F1E" w:rsidRPr="0093534B" w:rsidRDefault="00413D41" w:rsidP="00413D41">
            <w:pPr>
              <w:pStyle w:val="Tabletext"/>
              <w:ind w:left="284" w:hanging="284"/>
              <w:rPr>
                <w:rFonts w:eastAsia="Calibri"/>
                <w:color w:val="000000"/>
                <w:lang w:val="es-ES"/>
              </w:rPr>
            </w:pPr>
            <w:r>
              <w:rPr>
                <w:rFonts w:eastAsia="Calibri"/>
                <w:color w:val="000000"/>
                <w:lang w:val="es-ES"/>
              </w:rPr>
              <w:t>2</w:t>
            </w:r>
            <w:r>
              <w:rPr>
                <w:rFonts w:eastAsia="Calibri"/>
                <w:color w:val="000000"/>
                <w:lang w:val="es-ES"/>
              </w:rPr>
              <w:tab/>
            </w:r>
            <w:r w:rsidR="00B20F1E" w:rsidRPr="001D3B8D">
              <w:rPr>
                <w:rFonts w:eastAsia="Calibri"/>
                <w:b/>
                <w:bCs/>
                <w:color w:val="000000"/>
                <w:lang w:val="es-ES"/>
              </w:rPr>
              <w:t>Observen</w:t>
            </w:r>
            <w:r w:rsidR="00B20F1E" w:rsidRPr="0093534B">
              <w:rPr>
                <w:rFonts w:eastAsia="Calibri"/>
                <w:color w:val="000000"/>
                <w:lang w:val="es-ES"/>
              </w:rPr>
              <w:t xml:space="preserve"> que el UIT-R está elaborando una Recomendación UIT-R M.[AS.GUIDANCE] en la que se ofrecen directrices para evitar en el futuro estos casos de interferencia perjudicial para los receptores del SRNS (espacio-Tierra). Esta Recomendación podría incluir el fomento de la utilización por los servicios de aficionados y de aficionados por satélite de </w:t>
            </w:r>
            <w:proofErr w:type="spellStart"/>
            <w:r w:rsidR="00B20F1E" w:rsidRPr="0093534B">
              <w:rPr>
                <w:rFonts w:eastAsia="Calibri"/>
                <w:color w:val="000000"/>
                <w:lang w:val="es-ES"/>
              </w:rPr>
              <w:t>subbandas</w:t>
            </w:r>
            <w:proofErr w:type="spellEnd"/>
            <w:r w:rsidR="00B20F1E" w:rsidRPr="0093534B">
              <w:rPr>
                <w:rFonts w:eastAsia="Calibri"/>
                <w:color w:val="000000"/>
                <w:lang w:val="es-ES"/>
              </w:rPr>
              <w:t xml:space="preserve"> específicas con suficientes desplazamientos de frecuencia respecto a los lóbulos principales del espectro de las señales del SRNS, el nivel máximo de la potencia de transmisión y restricciones del ancho de banda de emisión para mejorar la protección de los receptores del SRNS (espacio-Tierra) en las bandas consideradas. Estas directrices están destinadas a ayudar a las administraciones y al servicio de aficionados y de aficionados por satélite a garantizar la </w:t>
            </w:r>
            <w:r w:rsidR="00B20F1E" w:rsidRPr="0093534B">
              <w:rPr>
                <w:rFonts w:eastAsia="Calibri"/>
                <w:color w:val="000000"/>
                <w:lang w:val="es-ES"/>
              </w:rPr>
              <w:lastRenderedPageBreak/>
              <w:t>protección del SRNS (espacio-tierra) en la banda de frecuencias 1 240-1</w:t>
            </w:r>
            <w:r w:rsidR="001D3B8D">
              <w:rPr>
                <w:rFonts w:eastAsia="Calibri"/>
                <w:color w:val="000000"/>
                <w:lang w:val="es-ES"/>
              </w:rPr>
              <w:t> </w:t>
            </w:r>
            <w:r w:rsidR="00B20F1E" w:rsidRPr="0093534B">
              <w:rPr>
                <w:rFonts w:eastAsia="Calibri"/>
                <w:color w:val="000000"/>
                <w:lang w:val="es-ES"/>
              </w:rPr>
              <w:t>300</w:t>
            </w:r>
            <w:r w:rsidR="001D3B8D">
              <w:rPr>
                <w:rFonts w:eastAsia="Calibri"/>
                <w:color w:val="000000"/>
                <w:lang w:val="es-ES"/>
              </w:rPr>
              <w:t> </w:t>
            </w:r>
            <w:r w:rsidR="00B20F1E" w:rsidRPr="0093534B">
              <w:rPr>
                <w:rFonts w:eastAsia="Calibri"/>
                <w:color w:val="000000"/>
                <w:lang w:val="es-ES"/>
              </w:rPr>
              <w:t>MHz.</w:t>
            </w:r>
          </w:p>
          <w:p w14:paraId="27F2D9D6" w14:textId="68CB765C" w:rsidR="00B20F1E" w:rsidRPr="000D2717" w:rsidRDefault="00413D41" w:rsidP="00413D41">
            <w:pPr>
              <w:pStyle w:val="Tabletext"/>
              <w:ind w:left="284" w:hanging="284"/>
              <w:rPr>
                <w:rFonts w:eastAsia="Calibri"/>
                <w:lang w:val="es-ES"/>
              </w:rPr>
            </w:pPr>
            <w:r>
              <w:rPr>
                <w:rFonts w:eastAsia="Calibri"/>
                <w:color w:val="000000"/>
                <w:lang w:val="es-ES"/>
              </w:rPr>
              <w:t>3</w:t>
            </w:r>
            <w:r>
              <w:rPr>
                <w:rFonts w:eastAsia="Calibri"/>
                <w:color w:val="000000"/>
                <w:lang w:val="es-ES"/>
              </w:rPr>
              <w:tab/>
            </w:r>
            <w:r w:rsidR="00B20F1E" w:rsidRPr="00413D41">
              <w:rPr>
                <w:rFonts w:eastAsia="Calibri"/>
                <w:b/>
                <w:bCs/>
                <w:color w:val="000000"/>
                <w:lang w:val="es-ES"/>
              </w:rPr>
              <w:t>Continúen</w:t>
            </w:r>
            <w:r w:rsidR="00B20F1E" w:rsidRPr="000D2717">
              <w:rPr>
                <w:rFonts w:eastAsia="Calibri"/>
                <w:color w:val="000000"/>
                <w:lang w:val="es-ES"/>
              </w:rPr>
              <w:t xml:space="preserve"> </w:t>
            </w:r>
            <w:r w:rsidR="00B20F1E">
              <w:rPr>
                <w:rFonts w:eastAsia="Calibri"/>
                <w:color w:val="000000"/>
                <w:lang w:val="es-ES"/>
              </w:rPr>
              <w:t>realizando</w:t>
            </w:r>
            <w:r w:rsidR="00B20F1E" w:rsidRPr="000D2717">
              <w:rPr>
                <w:rFonts w:eastAsia="Calibri"/>
                <w:color w:val="000000"/>
                <w:lang w:val="es-ES"/>
              </w:rPr>
              <w:t xml:space="preserve"> un seguimiento del desarrollo del </w:t>
            </w:r>
            <w:r w:rsidR="00B20F1E">
              <w:rPr>
                <w:rFonts w:eastAsia="Calibri"/>
                <w:color w:val="000000"/>
                <w:lang w:val="es-ES"/>
              </w:rPr>
              <w:t>a</w:t>
            </w:r>
            <w:r w:rsidR="00B20F1E" w:rsidRPr="000D2717">
              <w:rPr>
                <w:rFonts w:eastAsia="Calibri"/>
                <w:color w:val="000000"/>
                <w:lang w:val="es-ES"/>
              </w:rPr>
              <w:t xml:space="preserve">nteproyecto de </w:t>
            </w:r>
            <w:r w:rsidR="00B20F1E">
              <w:rPr>
                <w:rFonts w:eastAsia="Calibri"/>
                <w:color w:val="000000"/>
                <w:lang w:val="es-ES"/>
              </w:rPr>
              <w:t>n</w:t>
            </w:r>
            <w:r w:rsidR="00B20F1E" w:rsidRPr="000D2717">
              <w:rPr>
                <w:rFonts w:eastAsia="Calibri"/>
                <w:color w:val="000000"/>
                <w:lang w:val="es-ES"/>
              </w:rPr>
              <w:t xml:space="preserve">ueva Recomendación UIT-R M. [AS GUIDANCE] y </w:t>
            </w:r>
            <w:r w:rsidR="00B20F1E">
              <w:rPr>
                <w:rFonts w:eastAsia="Calibri"/>
                <w:color w:val="000000"/>
                <w:lang w:val="es-ES"/>
              </w:rPr>
              <w:t>del a</w:t>
            </w:r>
            <w:r w:rsidR="00B20F1E" w:rsidRPr="000D2717">
              <w:rPr>
                <w:rFonts w:eastAsia="Calibri"/>
                <w:color w:val="000000"/>
                <w:lang w:val="es-ES"/>
              </w:rPr>
              <w:t xml:space="preserve">nteproyecto de </w:t>
            </w:r>
            <w:r w:rsidR="00B20F1E">
              <w:rPr>
                <w:rFonts w:eastAsia="Calibri"/>
                <w:color w:val="000000"/>
                <w:lang w:val="es-ES"/>
              </w:rPr>
              <w:t>n</w:t>
            </w:r>
            <w:r w:rsidR="00B20F1E" w:rsidRPr="000D2717">
              <w:rPr>
                <w:rFonts w:eastAsia="Calibri"/>
                <w:color w:val="000000"/>
                <w:lang w:val="es-ES"/>
              </w:rPr>
              <w:t>uevo Informe UIT-R M. [AMATEUR.CHARACTERISTICS].</w:t>
            </w:r>
          </w:p>
        </w:tc>
      </w:tr>
    </w:tbl>
    <w:p w14:paraId="2F3B9F39" w14:textId="77777777" w:rsidR="00B20F1E" w:rsidRPr="000D2717" w:rsidRDefault="00B20F1E" w:rsidP="00B20F1E">
      <w:pPr>
        <w:pBdr>
          <w:top w:val="nil"/>
          <w:left w:val="nil"/>
          <w:bottom w:val="nil"/>
          <w:right w:val="nil"/>
          <w:between w:val="nil"/>
        </w:pBdr>
        <w:shd w:val="clear" w:color="auto" w:fill="FFFFFF"/>
        <w:spacing w:after="120"/>
        <w:ind w:left="720" w:hanging="360"/>
        <w:jc w:val="both"/>
        <w:rPr>
          <w:rFonts w:eastAsia="Calibri"/>
          <w:color w:val="000000"/>
          <w:lang w:val="es-ES"/>
        </w:rPr>
      </w:pPr>
    </w:p>
    <w:p w14:paraId="1D581B69" w14:textId="77777777" w:rsidR="00B20F1E" w:rsidRPr="000D2717" w:rsidRDefault="00B20F1E" w:rsidP="00B20F1E">
      <w:pPr>
        <w:overflowPunct/>
        <w:autoSpaceDE/>
        <w:autoSpaceDN/>
        <w:adjustRightInd/>
        <w:textAlignment w:val="auto"/>
        <w:rPr>
          <w:rFonts w:eastAsia="Calibri"/>
          <w:color w:val="000000"/>
          <w:lang w:val="es-ES"/>
        </w:rPr>
      </w:pPr>
      <w:r w:rsidRPr="000D2717">
        <w:rPr>
          <w:rFonts w:eastAsia="Calibri"/>
          <w:color w:val="000000"/>
          <w:lang w:val="es-ES"/>
        </w:rPr>
        <w:br w:type="page"/>
      </w:r>
    </w:p>
    <w:p w14:paraId="58204C7B" w14:textId="77777777" w:rsidR="00B20F1E" w:rsidRPr="000D2717" w:rsidRDefault="00B20F1E" w:rsidP="00B20F1E">
      <w:pPr>
        <w:pStyle w:val="Tabletitle"/>
        <w:rPr>
          <w:rFonts w:eastAsia="Calibri"/>
          <w:lang w:val="es-ES"/>
        </w:rPr>
      </w:pPr>
      <w:bookmarkStart w:id="11" w:name="_heading=h.44sinio" w:colFirst="0" w:colLast="0"/>
      <w:bookmarkEnd w:id="11"/>
      <w:r w:rsidRPr="00417318">
        <w:rPr>
          <w:rFonts w:eastAsia="Calibri"/>
          <w:lang w:val="es-ES"/>
        </w:rPr>
        <w:lastRenderedPageBreak/>
        <w:t xml:space="preserve">Puntos del orden del día del capítulo </w:t>
      </w:r>
      <w:r w:rsidRPr="000D2717">
        <w:rPr>
          <w:rFonts w:eastAsia="Calibri"/>
          <w:lang w:val="es-ES"/>
        </w:rPr>
        <w:t>3: Temas científicos</w:t>
      </w:r>
      <w:r w:rsidRPr="000D2717">
        <w:rPr>
          <w:rFonts w:eastAsia="Calibri"/>
          <w:lang w:val="es-ES"/>
        </w:rPr>
        <w:br/>
      </w:r>
      <w:r w:rsidRPr="000D2717">
        <w:rPr>
          <w:lang w:val="es-ES"/>
        </w:rPr>
        <w:t>(Puntos 1.12, 1.13, 1.14 y 9.1</w:t>
      </w:r>
      <w:r>
        <w:rPr>
          <w:lang w:val="es-ES"/>
        </w:rPr>
        <w:t xml:space="preserve">, </w:t>
      </w:r>
      <w:r w:rsidRPr="000D2717">
        <w:rPr>
          <w:lang w:val="es-ES"/>
        </w:rPr>
        <w:t>Temas A y D</w:t>
      </w:r>
      <w:r>
        <w:rPr>
          <w:lang w:val="es-ES"/>
        </w:rPr>
        <w:t>,</w:t>
      </w:r>
      <w:r w:rsidRPr="000D2717">
        <w:rPr>
          <w:lang w:val="es-ES"/>
        </w:rPr>
        <w:t xml:space="preserve"> del orden del día)</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151"/>
      </w:tblGrid>
      <w:tr w:rsidR="00B20F1E" w:rsidRPr="00B707C8" w14:paraId="32EDA238" w14:textId="77777777" w:rsidTr="00DB48C6">
        <w:trPr>
          <w:jc w:val="center"/>
        </w:trPr>
        <w:tc>
          <w:tcPr>
            <w:tcW w:w="3114" w:type="dxa"/>
            <w:vAlign w:val="center"/>
          </w:tcPr>
          <w:p w14:paraId="6A22F382" w14:textId="77777777" w:rsidR="00B20F1E" w:rsidRPr="000D2717" w:rsidRDefault="00B20F1E" w:rsidP="00413D41">
            <w:pPr>
              <w:pStyle w:val="Tablehead"/>
              <w:rPr>
                <w:rFonts w:eastAsia="Calibri"/>
                <w:lang w:val="es-ES"/>
              </w:rPr>
            </w:pPr>
            <w:r w:rsidRPr="000D2717">
              <w:rPr>
                <w:rFonts w:eastAsia="Calibri"/>
                <w:lang w:val="es-ES"/>
              </w:rPr>
              <w:t xml:space="preserve">Punto del orden del día </w:t>
            </w:r>
          </w:p>
        </w:tc>
        <w:tc>
          <w:tcPr>
            <w:tcW w:w="6151" w:type="dxa"/>
            <w:vAlign w:val="center"/>
          </w:tcPr>
          <w:p w14:paraId="59E4A07C" w14:textId="77777777" w:rsidR="00B20F1E" w:rsidRPr="000D2717" w:rsidRDefault="00B20F1E" w:rsidP="00413D41">
            <w:pPr>
              <w:pStyle w:val="Tablehead"/>
              <w:rPr>
                <w:rFonts w:eastAsia="Calibri"/>
                <w:lang w:val="es-ES"/>
              </w:rPr>
            </w:pPr>
            <w:r w:rsidRPr="000D2717">
              <w:rPr>
                <w:rFonts w:eastAsia="Calibri"/>
                <w:lang w:val="es-ES"/>
              </w:rPr>
              <w:t>Posición común/propuesta africana (</w:t>
            </w:r>
            <w:r>
              <w:rPr>
                <w:rFonts w:eastAsia="Calibri"/>
                <w:lang w:val="es-ES"/>
              </w:rPr>
              <w:t>AFCP</w:t>
            </w:r>
            <w:r w:rsidRPr="000D2717">
              <w:rPr>
                <w:rFonts w:eastAsia="Calibri"/>
                <w:lang w:val="es-ES"/>
              </w:rPr>
              <w:t>)</w:t>
            </w:r>
          </w:p>
        </w:tc>
      </w:tr>
      <w:tr w:rsidR="00B20F1E" w:rsidRPr="00B707C8" w14:paraId="6431B7CC" w14:textId="77777777" w:rsidTr="00DB48C6">
        <w:trPr>
          <w:jc w:val="center"/>
        </w:trPr>
        <w:tc>
          <w:tcPr>
            <w:tcW w:w="3114" w:type="dxa"/>
          </w:tcPr>
          <w:p w14:paraId="61750AC5" w14:textId="77777777" w:rsidR="00B20F1E" w:rsidRPr="00413D41" w:rsidRDefault="00B20F1E" w:rsidP="00413D41">
            <w:pPr>
              <w:pStyle w:val="Tabletext"/>
              <w:rPr>
                <w:rFonts w:eastAsia="Calibri"/>
                <w:b/>
                <w:bCs/>
                <w:lang w:val="es-ES"/>
              </w:rPr>
            </w:pPr>
            <w:r w:rsidRPr="00413D41">
              <w:rPr>
                <w:rFonts w:eastAsia="Calibri"/>
                <w:b/>
                <w:bCs/>
                <w:lang w:val="es-ES"/>
              </w:rPr>
              <w:t>Punto 1.12</w:t>
            </w:r>
          </w:p>
          <w:p w14:paraId="622B0BE5" w14:textId="77777777" w:rsidR="00B20F1E" w:rsidRPr="00B50683" w:rsidRDefault="00B20F1E" w:rsidP="00413D41">
            <w:pPr>
              <w:pStyle w:val="Tabletext"/>
              <w:rPr>
                <w:rFonts w:eastAsia="Calibri"/>
                <w:bCs/>
                <w:lang w:val="es-ES"/>
              </w:rPr>
            </w:pPr>
            <w:r>
              <w:rPr>
                <w:rFonts w:eastAsia="Calibri"/>
                <w:lang w:val="es-ES"/>
              </w:rPr>
              <w:t>Considerar la posibilidad de</w:t>
            </w:r>
            <w:r w:rsidRPr="00B50683">
              <w:rPr>
                <w:rFonts w:eastAsia="Calibri"/>
                <w:lang w:val="es-ES"/>
              </w:rPr>
              <w:t xml:space="preserve"> una nueva atribución </w:t>
            </w:r>
            <w:r>
              <w:rPr>
                <w:rFonts w:eastAsia="Calibri"/>
                <w:lang w:val="es-ES"/>
              </w:rPr>
              <w:t>a título secundario</w:t>
            </w:r>
            <w:r w:rsidRPr="00B50683">
              <w:rPr>
                <w:rFonts w:eastAsia="Calibri"/>
                <w:lang w:val="es-ES"/>
              </w:rPr>
              <w:t xml:space="preserve"> al servicio de exploración de la Tierra por satélite (activo) para sondas radar </w:t>
            </w:r>
            <w:r>
              <w:rPr>
                <w:rFonts w:eastAsia="Calibri"/>
                <w:lang w:val="es-ES"/>
              </w:rPr>
              <w:t>a bordo de vehículos espaciales</w:t>
            </w:r>
            <w:r w:rsidRPr="00B50683">
              <w:rPr>
                <w:rFonts w:eastAsia="Calibri"/>
                <w:lang w:val="es-ES"/>
              </w:rPr>
              <w:t xml:space="preserve"> en la gama de frecuencias alrededor de 45 MHz, de conformidad con la Resolución </w:t>
            </w:r>
            <w:r w:rsidRPr="00413D41">
              <w:rPr>
                <w:rFonts w:eastAsia="Calibri"/>
                <w:b/>
                <w:lang w:val="es-ES"/>
              </w:rPr>
              <w:t>656 (Rev.CMR-19)</w:t>
            </w:r>
            <w:r>
              <w:rPr>
                <w:rFonts w:eastAsia="Calibri"/>
                <w:bCs/>
                <w:lang w:val="es-ES"/>
              </w:rPr>
              <w:t>.</w:t>
            </w:r>
          </w:p>
        </w:tc>
        <w:tc>
          <w:tcPr>
            <w:tcW w:w="6151" w:type="dxa"/>
          </w:tcPr>
          <w:p w14:paraId="28743259" w14:textId="77777777" w:rsidR="00B20F1E" w:rsidRPr="000D2717" w:rsidRDefault="00B20F1E" w:rsidP="00413D41">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0CBC583A" w14:textId="7CD0F271" w:rsidR="00B20F1E" w:rsidRPr="000D2717" w:rsidRDefault="00413D41" w:rsidP="00413D41">
            <w:pPr>
              <w:pStyle w:val="Tabletext"/>
              <w:ind w:left="284" w:hanging="284"/>
              <w:rPr>
                <w:rFonts w:eastAsia="Calibri"/>
                <w:color w:val="000000"/>
                <w:lang w:val="es-ES"/>
              </w:rPr>
            </w:pPr>
            <w:r>
              <w:rPr>
                <w:rFonts w:eastAsia="Calibri"/>
                <w:color w:val="000000"/>
                <w:lang w:val="es-ES"/>
              </w:rPr>
              <w:t>1</w:t>
            </w:r>
            <w:r>
              <w:rPr>
                <w:rFonts w:eastAsia="Calibri"/>
                <w:color w:val="000000"/>
                <w:lang w:val="es-ES"/>
              </w:rPr>
              <w:tab/>
            </w:r>
            <w:r w:rsidR="00B20F1E" w:rsidRPr="00413D41">
              <w:rPr>
                <w:rFonts w:eastAsia="Calibri"/>
                <w:b/>
                <w:bCs/>
                <w:color w:val="000000"/>
                <w:lang w:val="es-ES"/>
              </w:rPr>
              <w:t>Apoyar el método D</w:t>
            </w:r>
            <w:r w:rsidR="00B20F1E" w:rsidRPr="000D2717">
              <w:rPr>
                <w:rFonts w:eastAsia="Calibri"/>
                <w:color w:val="000000"/>
                <w:lang w:val="es-ES"/>
              </w:rPr>
              <w:t xml:space="preserve"> (</w:t>
            </w:r>
            <w:r w:rsidR="00B20F1E">
              <w:rPr>
                <w:rFonts w:eastAsia="Calibri"/>
                <w:color w:val="000000"/>
                <w:lang w:val="es-ES"/>
              </w:rPr>
              <w:t>s</w:t>
            </w:r>
            <w:r w:rsidR="00B20F1E" w:rsidRPr="000D2717">
              <w:rPr>
                <w:rFonts w:eastAsia="Calibri"/>
                <w:color w:val="000000"/>
                <w:lang w:val="es-ES"/>
              </w:rPr>
              <w:t xml:space="preserve">in </w:t>
            </w:r>
            <w:r w:rsidR="00B20F1E">
              <w:rPr>
                <w:rFonts w:eastAsia="Calibri"/>
                <w:color w:val="000000"/>
                <w:lang w:val="es-ES"/>
              </w:rPr>
              <w:t>modificaciones</w:t>
            </w:r>
            <w:r w:rsidR="00B20F1E" w:rsidRPr="000D2717">
              <w:rPr>
                <w:rFonts w:eastAsia="Calibri"/>
                <w:color w:val="000000"/>
                <w:lang w:val="es-ES"/>
              </w:rPr>
              <w:t xml:space="preserve">) porque aún no se ha establecido </w:t>
            </w:r>
            <w:r w:rsidR="00B20F1E">
              <w:rPr>
                <w:rFonts w:eastAsia="Calibri"/>
                <w:color w:val="000000"/>
                <w:lang w:val="es-ES"/>
              </w:rPr>
              <w:t>ningún</w:t>
            </w:r>
            <w:r w:rsidR="00B20F1E" w:rsidRPr="000D2717">
              <w:rPr>
                <w:rFonts w:eastAsia="Calibri"/>
                <w:color w:val="000000"/>
                <w:lang w:val="es-ES"/>
              </w:rPr>
              <w:t xml:space="preserve"> límite de </w:t>
            </w:r>
            <w:proofErr w:type="spellStart"/>
            <w:r w:rsidR="00B20F1E" w:rsidRPr="001D3B8D">
              <w:rPr>
                <w:rFonts w:eastAsia="Calibri"/>
                <w:b/>
                <w:bCs/>
                <w:color w:val="000000"/>
                <w:lang w:val="es-ES"/>
              </w:rPr>
              <w:t>dfp</w:t>
            </w:r>
            <w:proofErr w:type="spellEnd"/>
            <w:r w:rsidR="00B20F1E" w:rsidRPr="000D2717">
              <w:rPr>
                <w:rFonts w:eastAsia="Calibri"/>
                <w:color w:val="000000"/>
                <w:lang w:val="es-ES"/>
              </w:rPr>
              <w:t xml:space="preserve"> </w:t>
            </w:r>
            <w:r w:rsidR="00B20F1E">
              <w:rPr>
                <w:rFonts w:eastAsia="Calibri"/>
                <w:color w:val="000000"/>
                <w:lang w:val="es-ES"/>
              </w:rPr>
              <w:t>adecuado</w:t>
            </w:r>
            <w:r w:rsidR="00B20F1E" w:rsidRPr="000D2717">
              <w:rPr>
                <w:rFonts w:eastAsia="Calibri"/>
                <w:color w:val="000000"/>
                <w:lang w:val="es-ES"/>
              </w:rPr>
              <w:t xml:space="preserve"> para garantizar la protección de todos los servicios </w:t>
            </w:r>
            <w:r w:rsidR="00B20F1E">
              <w:rPr>
                <w:rFonts w:eastAsia="Calibri"/>
                <w:color w:val="000000"/>
                <w:lang w:val="es-ES"/>
              </w:rPr>
              <w:t>existentes frente a la</w:t>
            </w:r>
            <w:r w:rsidR="00B20F1E" w:rsidRPr="000D2717">
              <w:rPr>
                <w:rFonts w:eastAsia="Calibri"/>
                <w:color w:val="000000"/>
                <w:lang w:val="es-ES"/>
              </w:rPr>
              <w:t xml:space="preserve"> interferencia.</w:t>
            </w:r>
          </w:p>
          <w:p w14:paraId="30915F05" w14:textId="09AAF6D0" w:rsidR="00B20F1E" w:rsidRPr="000D2717" w:rsidRDefault="00413D41" w:rsidP="00413D41">
            <w:pPr>
              <w:pStyle w:val="Tabletext"/>
              <w:ind w:left="284" w:hanging="284"/>
              <w:rPr>
                <w:rFonts w:eastAsia="Calibri"/>
                <w:color w:val="000000"/>
                <w:lang w:val="es-ES"/>
              </w:rPr>
            </w:pPr>
            <w:r>
              <w:rPr>
                <w:rFonts w:eastAsia="Calibri"/>
                <w:color w:val="000000"/>
                <w:lang w:val="es-ES"/>
              </w:rPr>
              <w:t>2</w:t>
            </w:r>
            <w:r>
              <w:rPr>
                <w:rFonts w:eastAsia="Calibri"/>
                <w:color w:val="000000"/>
                <w:lang w:val="es-ES"/>
              </w:rPr>
              <w:tab/>
            </w:r>
            <w:r w:rsidR="00B20F1E" w:rsidRPr="001D3B8D">
              <w:rPr>
                <w:rFonts w:eastAsia="Calibri"/>
                <w:b/>
                <w:bCs/>
                <w:color w:val="000000"/>
                <w:lang w:val="es-ES"/>
              </w:rPr>
              <w:t>Observar</w:t>
            </w:r>
            <w:r w:rsidR="00B20F1E" w:rsidRPr="000D2717">
              <w:rPr>
                <w:rFonts w:eastAsia="Calibri"/>
                <w:color w:val="000000"/>
                <w:lang w:val="es-ES"/>
              </w:rPr>
              <w:t xml:space="preserve"> que la Administración de Túnez</w:t>
            </w:r>
            <w:r w:rsidR="00B20F1E">
              <w:rPr>
                <w:rFonts w:eastAsia="Calibri"/>
                <w:color w:val="000000"/>
                <w:lang w:val="es-ES"/>
              </w:rPr>
              <w:t>,</w:t>
            </w:r>
            <w:r w:rsidR="00B20F1E" w:rsidRPr="000D2717">
              <w:rPr>
                <w:rFonts w:eastAsia="Calibri"/>
                <w:color w:val="000000"/>
                <w:lang w:val="es-ES"/>
              </w:rPr>
              <w:t xml:space="preserve"> </w:t>
            </w:r>
            <w:r w:rsidR="00B20F1E">
              <w:rPr>
                <w:rFonts w:eastAsia="Calibri"/>
                <w:color w:val="000000"/>
                <w:lang w:val="es-ES"/>
              </w:rPr>
              <w:t>en relación con el punto</w:t>
            </w:r>
            <w:r w:rsidR="00B20F1E" w:rsidRPr="000D2717">
              <w:rPr>
                <w:rFonts w:eastAsia="Calibri"/>
                <w:color w:val="000000"/>
                <w:lang w:val="es-ES"/>
              </w:rPr>
              <w:t xml:space="preserve"> 1.12</w:t>
            </w:r>
            <w:r w:rsidR="00B20F1E">
              <w:rPr>
                <w:rFonts w:eastAsia="Calibri"/>
                <w:color w:val="000000"/>
                <w:lang w:val="es-ES"/>
              </w:rPr>
              <w:t xml:space="preserve"> del orden del día,</w:t>
            </w:r>
            <w:r w:rsidR="00B20F1E" w:rsidRPr="000D2717">
              <w:rPr>
                <w:rFonts w:eastAsia="Calibri"/>
                <w:color w:val="000000"/>
                <w:lang w:val="es-ES"/>
              </w:rPr>
              <w:t xml:space="preserve"> adopta un </w:t>
            </w:r>
            <w:r w:rsidR="00B20F1E">
              <w:rPr>
                <w:rFonts w:eastAsia="Calibri"/>
                <w:color w:val="000000"/>
                <w:lang w:val="es-ES"/>
              </w:rPr>
              <w:t>m</w:t>
            </w:r>
            <w:r w:rsidR="00B20F1E" w:rsidRPr="000D2717">
              <w:rPr>
                <w:rFonts w:eastAsia="Calibri"/>
                <w:color w:val="000000"/>
                <w:lang w:val="es-ES"/>
              </w:rPr>
              <w:t xml:space="preserve">étodo </w:t>
            </w:r>
            <w:r w:rsidR="00B20F1E">
              <w:rPr>
                <w:rFonts w:eastAsia="Calibri"/>
                <w:color w:val="000000"/>
                <w:lang w:val="es-ES"/>
              </w:rPr>
              <w:t>diferente del de la</w:t>
            </w:r>
            <w:r w:rsidR="00B20F1E" w:rsidRPr="000D2717">
              <w:rPr>
                <w:rFonts w:eastAsia="Calibri"/>
                <w:color w:val="000000"/>
                <w:lang w:val="es-ES"/>
              </w:rPr>
              <w:t xml:space="preserve"> </w:t>
            </w:r>
            <w:r w:rsidR="00B20F1E" w:rsidRPr="006C3400">
              <w:rPr>
                <w:rFonts w:eastAsia="Calibri"/>
                <w:color w:val="000000"/>
                <w:lang w:val="es-ES"/>
              </w:rPr>
              <w:t>AFCP</w:t>
            </w:r>
            <w:r w:rsidR="00B20F1E">
              <w:rPr>
                <w:rFonts w:eastAsia="Calibri"/>
                <w:color w:val="000000"/>
                <w:lang w:val="es-ES"/>
              </w:rPr>
              <w:t>,</w:t>
            </w:r>
            <w:r w:rsidR="00B20F1E" w:rsidRPr="006C3400">
              <w:rPr>
                <w:rFonts w:eastAsia="Calibri"/>
                <w:color w:val="000000"/>
                <w:lang w:val="es-ES"/>
              </w:rPr>
              <w:t xml:space="preserve"> </w:t>
            </w:r>
            <w:r w:rsidR="00B20F1E">
              <w:rPr>
                <w:rFonts w:eastAsia="Calibri"/>
                <w:color w:val="000000"/>
                <w:lang w:val="es-ES"/>
              </w:rPr>
              <w:t>pero compatible con éste</w:t>
            </w:r>
            <w:r w:rsidR="00B20F1E" w:rsidRPr="000D2717">
              <w:rPr>
                <w:rFonts w:eastAsia="Calibri"/>
                <w:color w:val="000000"/>
                <w:lang w:val="es-ES"/>
              </w:rPr>
              <w:t>.</w:t>
            </w:r>
          </w:p>
          <w:p w14:paraId="53F71443" w14:textId="77777777" w:rsidR="00B20F1E" w:rsidRPr="000D2717" w:rsidRDefault="00B20F1E" w:rsidP="00413D41">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48D13930" w14:textId="77777777" w:rsidR="00B20F1E" w:rsidRPr="00413D41" w:rsidRDefault="00B20F1E" w:rsidP="00413D41">
            <w:pPr>
              <w:pStyle w:val="Tabletext"/>
              <w:rPr>
                <w:rFonts w:eastAsia="Calibri"/>
                <w:b/>
                <w:bCs/>
                <w:i/>
                <w:color w:val="000000"/>
                <w:lang w:val="es-ES"/>
              </w:rPr>
            </w:pPr>
            <w:r w:rsidRPr="00413D41">
              <w:rPr>
                <w:rFonts w:eastAsia="Calibri"/>
                <w:b/>
                <w:bCs/>
                <w:i/>
                <w:color w:val="000000"/>
                <w:lang w:val="es-ES"/>
              </w:rPr>
              <w:t>Solicitar a las administraciones de la UAT que:</w:t>
            </w:r>
          </w:p>
          <w:p w14:paraId="1D8BC107" w14:textId="5744AB0B" w:rsidR="00B20F1E" w:rsidRPr="000D2717" w:rsidRDefault="00413D41" w:rsidP="00413D41">
            <w:pPr>
              <w:pStyle w:val="Tabletext"/>
              <w:ind w:left="284" w:hanging="284"/>
              <w:rPr>
                <w:rFonts w:eastAsia="Calibri"/>
                <w:color w:val="000000"/>
                <w:lang w:val="es-ES"/>
              </w:rPr>
            </w:pPr>
            <w:r>
              <w:rPr>
                <w:rFonts w:eastAsia="Calibri"/>
                <w:color w:val="000000"/>
                <w:lang w:val="es-ES"/>
              </w:rPr>
              <w:t>1</w:t>
            </w:r>
            <w:r>
              <w:rPr>
                <w:rFonts w:eastAsia="Calibri"/>
                <w:color w:val="000000"/>
                <w:lang w:val="es-ES"/>
              </w:rPr>
              <w:tab/>
            </w:r>
            <w:r w:rsidR="00B20F1E" w:rsidRPr="00413D41">
              <w:rPr>
                <w:rFonts w:eastAsia="Calibri"/>
                <w:b/>
                <w:bCs/>
                <w:color w:val="000000"/>
                <w:lang w:val="es-ES"/>
              </w:rPr>
              <w:t>Inviten</w:t>
            </w:r>
            <w:r w:rsidR="00B20F1E" w:rsidRPr="000D2717">
              <w:rPr>
                <w:rFonts w:eastAsia="Calibri"/>
                <w:color w:val="000000"/>
                <w:lang w:val="es-ES"/>
              </w:rPr>
              <w:t xml:space="preserve"> </w:t>
            </w:r>
            <w:r w:rsidR="00B20F1E" w:rsidRPr="00B14AAC">
              <w:rPr>
                <w:rFonts w:eastAsia="Calibri"/>
                <w:bCs/>
                <w:color w:val="000000"/>
                <w:lang w:val="es-ES"/>
              </w:rPr>
              <w:t>al sector industrial</w:t>
            </w:r>
            <w:r w:rsidR="00B20F1E" w:rsidRPr="000D2717">
              <w:rPr>
                <w:rFonts w:eastAsia="Calibri"/>
                <w:color w:val="000000"/>
                <w:lang w:val="es-ES"/>
              </w:rPr>
              <w:t xml:space="preserve"> a aportar </w:t>
            </w:r>
            <w:r w:rsidR="00B20F1E">
              <w:rPr>
                <w:rFonts w:eastAsia="Calibri"/>
                <w:color w:val="000000"/>
                <w:lang w:val="es-ES"/>
              </w:rPr>
              <w:t>resultados de pruebas</w:t>
            </w:r>
            <w:r w:rsidR="00B20F1E" w:rsidRPr="000D2717">
              <w:rPr>
                <w:rFonts w:eastAsia="Calibri"/>
                <w:color w:val="000000"/>
                <w:lang w:val="es-ES"/>
              </w:rPr>
              <w:t xml:space="preserve"> y parámetros reales </w:t>
            </w:r>
            <w:r w:rsidR="00B20F1E">
              <w:rPr>
                <w:rFonts w:eastAsia="Calibri"/>
                <w:color w:val="000000"/>
                <w:lang w:val="es-ES"/>
              </w:rPr>
              <w:t>sobre</w:t>
            </w:r>
            <w:r w:rsidR="00B20F1E" w:rsidRPr="000D2717">
              <w:rPr>
                <w:rFonts w:eastAsia="Calibri"/>
                <w:color w:val="000000"/>
                <w:lang w:val="es-ES"/>
              </w:rPr>
              <w:t xml:space="preserve"> ciencia espacial,</w:t>
            </w:r>
          </w:p>
          <w:p w14:paraId="1578F42D" w14:textId="644034B8" w:rsidR="00B20F1E" w:rsidRPr="000D2717" w:rsidRDefault="00413D41" w:rsidP="00413D41">
            <w:pPr>
              <w:pStyle w:val="Tabletext"/>
              <w:ind w:left="284" w:hanging="284"/>
              <w:rPr>
                <w:rFonts w:eastAsia="Calibri"/>
                <w:color w:val="000000"/>
                <w:lang w:val="es-ES"/>
              </w:rPr>
            </w:pPr>
            <w:r>
              <w:rPr>
                <w:rFonts w:eastAsia="Calibri"/>
                <w:color w:val="000000"/>
                <w:lang w:val="es-ES"/>
              </w:rPr>
              <w:t>2</w:t>
            </w:r>
            <w:r>
              <w:rPr>
                <w:rFonts w:eastAsia="Calibri"/>
                <w:color w:val="000000"/>
                <w:lang w:val="es-ES"/>
              </w:rPr>
              <w:tab/>
            </w:r>
            <w:r w:rsidR="00B20F1E" w:rsidRPr="00413D41">
              <w:rPr>
                <w:rFonts w:eastAsia="Calibri"/>
                <w:b/>
                <w:bCs/>
                <w:color w:val="000000"/>
                <w:lang w:val="es-ES"/>
              </w:rPr>
              <w:t>Sigan</w:t>
            </w:r>
            <w:r w:rsidR="00B20F1E" w:rsidRPr="000D2717">
              <w:rPr>
                <w:rFonts w:eastAsia="Calibri"/>
                <w:color w:val="000000"/>
                <w:lang w:val="es-ES"/>
              </w:rPr>
              <w:t xml:space="preserve"> participando en </w:t>
            </w:r>
            <w:r w:rsidR="00B20F1E">
              <w:rPr>
                <w:rFonts w:eastAsia="Calibri"/>
                <w:color w:val="000000"/>
                <w:lang w:val="es-ES"/>
              </w:rPr>
              <w:t>nuevos</w:t>
            </w:r>
            <w:r w:rsidR="00B20F1E" w:rsidRPr="000D2717">
              <w:rPr>
                <w:rFonts w:eastAsia="Calibri"/>
                <w:color w:val="000000"/>
                <w:lang w:val="es-ES"/>
              </w:rPr>
              <w:t xml:space="preserve"> debate</w:t>
            </w:r>
            <w:r w:rsidR="00B20F1E">
              <w:rPr>
                <w:rFonts w:eastAsia="Calibri"/>
                <w:color w:val="000000"/>
                <w:lang w:val="es-ES"/>
              </w:rPr>
              <w:t>s</w:t>
            </w:r>
            <w:r w:rsidR="00B20F1E" w:rsidRPr="000D2717">
              <w:rPr>
                <w:rFonts w:eastAsia="Calibri"/>
                <w:color w:val="000000"/>
                <w:lang w:val="es-ES"/>
              </w:rPr>
              <w:t xml:space="preserve"> relacionado</w:t>
            </w:r>
            <w:r w:rsidR="00B20F1E">
              <w:rPr>
                <w:rFonts w:eastAsia="Calibri"/>
                <w:color w:val="000000"/>
                <w:lang w:val="es-ES"/>
              </w:rPr>
              <w:t>s</w:t>
            </w:r>
            <w:r w:rsidR="00B20F1E" w:rsidRPr="000D2717">
              <w:rPr>
                <w:rFonts w:eastAsia="Calibri"/>
                <w:color w:val="000000"/>
                <w:lang w:val="es-ES"/>
              </w:rPr>
              <w:t xml:space="preserve"> con </w:t>
            </w:r>
            <w:r w:rsidR="00B20F1E">
              <w:rPr>
                <w:rFonts w:eastAsia="Calibri"/>
                <w:color w:val="000000"/>
                <w:lang w:val="es-ES"/>
              </w:rPr>
              <w:t>este</w:t>
            </w:r>
            <w:r w:rsidR="00B20F1E" w:rsidRPr="000D2717">
              <w:rPr>
                <w:rFonts w:eastAsia="Calibri"/>
                <w:color w:val="000000"/>
                <w:lang w:val="es-ES"/>
              </w:rPr>
              <w:t xml:space="preserve"> punto del orden del día,</w:t>
            </w:r>
          </w:p>
          <w:p w14:paraId="5C3C1286" w14:textId="6645B49B" w:rsidR="00B20F1E" w:rsidRPr="000D2717" w:rsidRDefault="00413D41" w:rsidP="00413D41">
            <w:pPr>
              <w:pStyle w:val="Tabletext"/>
              <w:ind w:left="284" w:hanging="284"/>
              <w:rPr>
                <w:rFonts w:eastAsia="Calibri"/>
                <w:color w:val="000000"/>
                <w:lang w:val="es-ES"/>
              </w:rPr>
            </w:pPr>
            <w:r>
              <w:rPr>
                <w:rFonts w:eastAsia="Calibri"/>
                <w:color w:val="000000"/>
                <w:lang w:val="es-ES"/>
              </w:rPr>
              <w:t>3</w:t>
            </w:r>
            <w:r>
              <w:rPr>
                <w:rFonts w:eastAsia="Calibri"/>
                <w:color w:val="000000"/>
                <w:lang w:val="es-ES"/>
              </w:rPr>
              <w:tab/>
            </w:r>
            <w:r w:rsidR="00B20F1E" w:rsidRPr="00413D41">
              <w:rPr>
                <w:rFonts w:eastAsia="Calibri"/>
                <w:b/>
                <w:bCs/>
                <w:color w:val="000000"/>
                <w:lang w:val="es-ES"/>
              </w:rPr>
              <w:t>Sigan</w:t>
            </w:r>
            <w:r w:rsidR="00B20F1E" w:rsidRPr="000D2717">
              <w:rPr>
                <w:rFonts w:eastAsia="Calibri"/>
                <w:color w:val="000000"/>
                <w:lang w:val="es-ES"/>
              </w:rPr>
              <w:t xml:space="preserve"> la evolución </w:t>
            </w:r>
            <w:r w:rsidR="00B20F1E">
              <w:rPr>
                <w:rFonts w:eastAsia="Calibri"/>
                <w:color w:val="000000"/>
                <w:lang w:val="es-ES"/>
              </w:rPr>
              <w:t xml:space="preserve">de los aspectos relativos a dicho punto, en particular </w:t>
            </w:r>
            <w:r w:rsidR="00B20F1E" w:rsidRPr="000D2717">
              <w:rPr>
                <w:rFonts w:eastAsia="Calibri"/>
                <w:color w:val="000000"/>
                <w:lang w:val="es-ES"/>
              </w:rPr>
              <w:t>el Método A2</w:t>
            </w:r>
            <w:r w:rsidR="00B20F1E">
              <w:rPr>
                <w:rFonts w:eastAsia="Calibri"/>
                <w:color w:val="000000"/>
                <w:lang w:val="es-ES"/>
              </w:rPr>
              <w:t>,</w:t>
            </w:r>
            <w:r w:rsidR="00B20F1E" w:rsidRPr="000D2717">
              <w:rPr>
                <w:rFonts w:eastAsia="Calibri"/>
                <w:color w:val="000000"/>
                <w:lang w:val="es-ES"/>
              </w:rPr>
              <w:t xml:space="preserve"> Opción 2</w:t>
            </w:r>
            <w:r w:rsidR="00B20F1E">
              <w:rPr>
                <w:rFonts w:eastAsia="Calibri"/>
                <w:color w:val="000000"/>
                <w:lang w:val="es-ES"/>
              </w:rPr>
              <w:t>,</w:t>
            </w:r>
            <w:r w:rsidR="00B20F1E" w:rsidRPr="000D2717">
              <w:rPr>
                <w:rFonts w:eastAsia="Calibri"/>
                <w:color w:val="000000"/>
                <w:lang w:val="es-ES"/>
              </w:rPr>
              <w:t xml:space="preserve"> como </w:t>
            </w:r>
            <w:r w:rsidR="00B20F1E">
              <w:rPr>
                <w:rFonts w:eastAsia="Calibri"/>
                <w:color w:val="000000"/>
                <w:lang w:val="es-ES"/>
              </w:rPr>
              <w:t xml:space="preserve">un </w:t>
            </w:r>
            <w:r w:rsidR="00B20F1E" w:rsidRPr="000D2717">
              <w:rPr>
                <w:rFonts w:eastAsia="Calibri"/>
                <w:color w:val="000000"/>
                <w:lang w:val="es-ES"/>
              </w:rPr>
              <w:t xml:space="preserve">compromiso favorable </w:t>
            </w:r>
            <w:proofErr w:type="gramStart"/>
            <w:r w:rsidR="00B20F1E" w:rsidRPr="000D2717">
              <w:rPr>
                <w:rFonts w:eastAsia="Calibri"/>
                <w:color w:val="000000"/>
                <w:lang w:val="es-ES"/>
              </w:rPr>
              <w:t>porque</w:t>
            </w:r>
            <w:proofErr w:type="gramEnd"/>
            <w:r w:rsidR="00B20F1E" w:rsidRPr="000D2717">
              <w:rPr>
                <w:rFonts w:eastAsia="Calibri"/>
                <w:color w:val="000000"/>
                <w:lang w:val="es-ES"/>
              </w:rPr>
              <w:t>;</w:t>
            </w:r>
          </w:p>
          <w:p w14:paraId="079F9705" w14:textId="6478D981" w:rsidR="00B20F1E" w:rsidRPr="000D2717" w:rsidRDefault="00413D41" w:rsidP="00413D41">
            <w:pPr>
              <w:pStyle w:val="Tabletext"/>
              <w:ind w:left="567" w:hanging="567"/>
              <w:rPr>
                <w:rFonts w:eastAsia="Calibri"/>
                <w:color w:val="000000"/>
                <w:lang w:val="es-ES"/>
              </w:rPr>
            </w:pPr>
            <w:r>
              <w:rPr>
                <w:rFonts w:eastAsia="Calibri"/>
                <w:color w:val="000000"/>
                <w:lang w:val="es-ES"/>
              </w:rPr>
              <w:tab/>
              <w:t>a)</w:t>
            </w:r>
            <w:r>
              <w:rPr>
                <w:rFonts w:eastAsia="Calibri"/>
                <w:color w:val="000000"/>
                <w:lang w:val="es-ES"/>
              </w:rPr>
              <w:tab/>
            </w:r>
            <w:r w:rsidR="00B20F1E" w:rsidRPr="000D2717">
              <w:rPr>
                <w:rFonts w:eastAsia="Calibri"/>
                <w:color w:val="000000"/>
                <w:lang w:val="es-ES"/>
              </w:rPr>
              <w:t xml:space="preserve">permite determinar un límite de </w:t>
            </w:r>
            <w:proofErr w:type="spellStart"/>
            <w:r w:rsidR="00B20F1E" w:rsidRPr="00413D41">
              <w:rPr>
                <w:rFonts w:eastAsia="Calibri"/>
                <w:b/>
                <w:bCs/>
                <w:color w:val="000000"/>
                <w:lang w:val="es-ES"/>
              </w:rPr>
              <w:t>dfp</w:t>
            </w:r>
            <w:proofErr w:type="spellEnd"/>
            <w:r w:rsidR="00B20F1E" w:rsidRPr="000D2717">
              <w:rPr>
                <w:rFonts w:eastAsia="Calibri"/>
                <w:color w:val="000000"/>
                <w:lang w:val="es-ES"/>
              </w:rPr>
              <w:t xml:space="preserve"> adecuado para evitar </w:t>
            </w:r>
            <w:r w:rsidR="00B20F1E">
              <w:rPr>
                <w:rFonts w:eastAsia="Calibri"/>
                <w:color w:val="000000"/>
                <w:lang w:val="es-ES"/>
              </w:rPr>
              <w:t>la</w:t>
            </w:r>
            <w:r w:rsidR="00B20F1E" w:rsidRPr="000D2717">
              <w:rPr>
                <w:rFonts w:eastAsia="Calibri"/>
                <w:color w:val="000000"/>
                <w:lang w:val="es-ES"/>
              </w:rPr>
              <w:t xml:space="preserve"> interferencia perjudicial </w:t>
            </w:r>
            <w:r w:rsidR="00B20F1E">
              <w:rPr>
                <w:rFonts w:eastAsia="Calibri"/>
                <w:color w:val="000000"/>
                <w:lang w:val="es-ES"/>
              </w:rPr>
              <w:t>a</w:t>
            </w:r>
            <w:r w:rsidR="00B20F1E" w:rsidRPr="000D2717">
              <w:rPr>
                <w:rFonts w:eastAsia="Calibri"/>
                <w:color w:val="000000"/>
                <w:lang w:val="es-ES"/>
              </w:rPr>
              <w:t xml:space="preserve">l servicio </w:t>
            </w:r>
            <w:r w:rsidR="00B20F1E">
              <w:rPr>
                <w:rFonts w:eastAsia="Calibri"/>
                <w:color w:val="000000"/>
                <w:lang w:val="es-ES"/>
              </w:rPr>
              <w:t>existente de que se trate</w:t>
            </w:r>
            <w:r w:rsidR="00B20F1E" w:rsidRPr="000D2717">
              <w:rPr>
                <w:rFonts w:eastAsia="Calibri"/>
                <w:color w:val="000000"/>
                <w:lang w:val="es-ES"/>
              </w:rPr>
              <w:t xml:space="preserve">. </w:t>
            </w:r>
            <w:r w:rsidR="00B20F1E">
              <w:rPr>
                <w:rFonts w:eastAsia="Calibri"/>
                <w:color w:val="000000"/>
                <w:lang w:val="es-ES"/>
              </w:rPr>
              <w:t>Conviene</w:t>
            </w:r>
            <w:r w:rsidR="00B20F1E" w:rsidRPr="000D2717">
              <w:rPr>
                <w:rFonts w:eastAsia="Calibri"/>
                <w:color w:val="000000"/>
                <w:lang w:val="es-ES"/>
              </w:rPr>
              <w:t xml:space="preserve"> calcular la densidad de flujo de potencia (</w:t>
            </w:r>
            <w:proofErr w:type="spellStart"/>
            <w:r w:rsidR="00B20F1E" w:rsidRPr="000D2717">
              <w:rPr>
                <w:rFonts w:eastAsia="Calibri"/>
                <w:color w:val="000000"/>
                <w:lang w:val="es-ES"/>
              </w:rPr>
              <w:t>dfp</w:t>
            </w:r>
            <w:proofErr w:type="spellEnd"/>
            <w:r w:rsidR="00B20F1E" w:rsidRPr="000D2717">
              <w:rPr>
                <w:rFonts w:eastAsia="Calibri"/>
                <w:color w:val="000000"/>
                <w:lang w:val="es-ES"/>
              </w:rPr>
              <w:t xml:space="preserve">) que puede proteger </w:t>
            </w:r>
            <w:r w:rsidR="00B20F1E">
              <w:rPr>
                <w:rFonts w:eastAsia="Calibri"/>
                <w:color w:val="000000"/>
                <w:lang w:val="es-ES"/>
              </w:rPr>
              <w:t>íntegramente</w:t>
            </w:r>
            <w:r w:rsidR="00B20F1E" w:rsidRPr="000D2717">
              <w:rPr>
                <w:rFonts w:eastAsia="Calibri"/>
                <w:color w:val="000000"/>
                <w:lang w:val="es-ES"/>
              </w:rPr>
              <w:t xml:space="preserve"> el servicio </w:t>
            </w:r>
            <w:r w:rsidR="00B20F1E">
              <w:rPr>
                <w:rFonts w:eastAsia="Calibri"/>
                <w:color w:val="000000"/>
                <w:lang w:val="es-ES"/>
              </w:rPr>
              <w:t>existente</w:t>
            </w:r>
            <w:r w:rsidR="00B20F1E" w:rsidRPr="000D2717">
              <w:rPr>
                <w:rFonts w:eastAsia="Calibri"/>
                <w:color w:val="000000"/>
                <w:lang w:val="es-ES"/>
              </w:rPr>
              <w:t xml:space="preserve"> </w:t>
            </w:r>
            <w:r w:rsidR="00B20F1E">
              <w:rPr>
                <w:rFonts w:eastAsia="Calibri"/>
                <w:color w:val="000000"/>
                <w:lang w:val="es-ES"/>
              </w:rPr>
              <w:t>de forma</w:t>
            </w:r>
            <w:r w:rsidR="00B20F1E" w:rsidRPr="000D2717">
              <w:rPr>
                <w:rFonts w:eastAsia="Calibri"/>
                <w:color w:val="000000"/>
                <w:lang w:val="es-ES"/>
              </w:rPr>
              <w:t xml:space="preserve"> satisfactori</w:t>
            </w:r>
            <w:r w:rsidR="00B20F1E">
              <w:rPr>
                <w:rFonts w:eastAsia="Calibri"/>
                <w:color w:val="000000"/>
                <w:lang w:val="es-ES"/>
              </w:rPr>
              <w:t>a</w:t>
            </w:r>
            <w:r w:rsidR="00B20F1E" w:rsidRPr="000D2717">
              <w:rPr>
                <w:rFonts w:eastAsia="Calibri"/>
                <w:color w:val="000000"/>
                <w:lang w:val="es-ES"/>
              </w:rPr>
              <w:t>.</w:t>
            </w:r>
          </w:p>
          <w:p w14:paraId="1071435B" w14:textId="3A8B763A" w:rsidR="00B20F1E" w:rsidRPr="000D2717" w:rsidRDefault="00413D41" w:rsidP="00413D41">
            <w:pPr>
              <w:pStyle w:val="Tabletext"/>
              <w:ind w:left="567" w:hanging="567"/>
              <w:rPr>
                <w:rFonts w:eastAsia="Calibri"/>
                <w:lang w:val="es-ES"/>
              </w:rPr>
            </w:pPr>
            <w:r>
              <w:rPr>
                <w:rFonts w:eastAsia="Calibri"/>
                <w:color w:val="000000"/>
                <w:lang w:val="es-ES"/>
              </w:rPr>
              <w:tab/>
              <w:t>b)</w:t>
            </w:r>
            <w:r>
              <w:rPr>
                <w:rFonts w:eastAsia="Calibri"/>
                <w:color w:val="000000"/>
                <w:lang w:val="es-ES"/>
              </w:rPr>
              <w:tab/>
            </w:r>
            <w:r w:rsidR="00B20F1E" w:rsidRPr="000D2717">
              <w:rPr>
                <w:rFonts w:eastAsia="Calibri"/>
                <w:color w:val="000000"/>
                <w:lang w:val="es-ES"/>
              </w:rPr>
              <w:t xml:space="preserve">no se </w:t>
            </w:r>
            <w:r w:rsidR="00B20F1E">
              <w:rPr>
                <w:rFonts w:eastAsia="Calibri"/>
                <w:color w:val="000000"/>
                <w:lang w:val="es-ES"/>
              </w:rPr>
              <w:t>ha alcanzado ningún</w:t>
            </w:r>
            <w:r w:rsidR="00B20F1E" w:rsidRPr="000D2717">
              <w:rPr>
                <w:rFonts w:eastAsia="Calibri"/>
                <w:color w:val="000000"/>
                <w:lang w:val="es-ES"/>
              </w:rPr>
              <w:t xml:space="preserve"> acuerdo sobre tiempo de exposición a la interferencia de </w:t>
            </w:r>
            <w:r w:rsidR="00B20F1E">
              <w:rPr>
                <w:rFonts w:eastAsia="Calibri"/>
                <w:color w:val="000000"/>
                <w:lang w:val="es-ES"/>
              </w:rPr>
              <w:t>sondas radar</w:t>
            </w:r>
            <w:r w:rsidR="00B20F1E" w:rsidRPr="000D2717">
              <w:rPr>
                <w:rFonts w:eastAsia="Calibri"/>
                <w:color w:val="000000"/>
                <w:lang w:val="es-ES"/>
              </w:rPr>
              <w:t xml:space="preserve"> a los servicios </w:t>
            </w:r>
            <w:r w:rsidR="00B20F1E">
              <w:rPr>
                <w:rFonts w:eastAsia="Calibri"/>
                <w:color w:val="000000"/>
                <w:lang w:val="es-ES"/>
              </w:rPr>
              <w:t>interferidos</w:t>
            </w:r>
            <w:r w:rsidR="00B20F1E" w:rsidRPr="000D2717">
              <w:rPr>
                <w:rFonts w:eastAsia="Calibri"/>
                <w:color w:val="000000"/>
                <w:lang w:val="es-ES"/>
              </w:rPr>
              <w:t>.</w:t>
            </w:r>
          </w:p>
        </w:tc>
      </w:tr>
      <w:tr w:rsidR="00B20F1E" w:rsidRPr="00B707C8" w14:paraId="66ACD5B3" w14:textId="77777777" w:rsidTr="00DB48C6">
        <w:trPr>
          <w:jc w:val="center"/>
        </w:trPr>
        <w:tc>
          <w:tcPr>
            <w:tcW w:w="3114" w:type="dxa"/>
          </w:tcPr>
          <w:p w14:paraId="626500B9" w14:textId="77777777" w:rsidR="00B20F1E" w:rsidRPr="00413D41" w:rsidRDefault="00B20F1E" w:rsidP="00413D41">
            <w:pPr>
              <w:pStyle w:val="Tabletext"/>
              <w:rPr>
                <w:rFonts w:eastAsia="Calibri"/>
                <w:b/>
                <w:bCs/>
                <w:lang w:val="es-ES"/>
              </w:rPr>
            </w:pPr>
            <w:r w:rsidRPr="00413D41">
              <w:rPr>
                <w:rFonts w:eastAsia="Calibri"/>
                <w:b/>
                <w:bCs/>
                <w:lang w:val="es-ES"/>
              </w:rPr>
              <w:t>Punto 1.13</w:t>
            </w:r>
          </w:p>
          <w:p w14:paraId="57D99D76" w14:textId="39006BC2" w:rsidR="00B20F1E" w:rsidRPr="000D2717" w:rsidRDefault="00193D1C" w:rsidP="00413D41">
            <w:pPr>
              <w:pStyle w:val="Tabletext"/>
              <w:rPr>
                <w:rFonts w:eastAsia="Calibri"/>
                <w:lang w:val="es-ES"/>
              </w:rPr>
            </w:pPr>
            <w:r>
              <w:rPr>
                <w:rFonts w:eastAsia="Calibri"/>
                <w:lang w:val="es-ES"/>
              </w:rPr>
              <w:t>C</w:t>
            </w:r>
            <w:r w:rsidR="00B20F1E" w:rsidRPr="004B24FE">
              <w:rPr>
                <w:rFonts w:eastAsia="Calibri"/>
                <w:lang w:val="es-ES"/>
              </w:rPr>
              <w:t xml:space="preserve">onsiderar la posible elevación de la categoría de atribución al servicio de investigación espacial en la banda de frecuencias 14,8-15,35 GHz, de conformidad con la Resolución </w:t>
            </w:r>
            <w:r w:rsidR="00B20F1E" w:rsidRPr="00413D41">
              <w:rPr>
                <w:rFonts w:eastAsia="Calibri"/>
                <w:b/>
                <w:lang w:val="es-ES"/>
              </w:rPr>
              <w:t>661 (CMR 19)</w:t>
            </w:r>
          </w:p>
        </w:tc>
        <w:tc>
          <w:tcPr>
            <w:tcW w:w="6151" w:type="dxa"/>
          </w:tcPr>
          <w:p w14:paraId="527A930E" w14:textId="77777777" w:rsidR="00B20F1E" w:rsidRPr="000D2717" w:rsidRDefault="00B20F1E" w:rsidP="00413D41">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43685C19" w14:textId="116554F6" w:rsidR="00B20F1E" w:rsidRPr="000D2717" w:rsidRDefault="00413D41" w:rsidP="00413D41">
            <w:pPr>
              <w:pStyle w:val="Tabletext"/>
              <w:ind w:left="284" w:hanging="284"/>
              <w:rPr>
                <w:rFonts w:eastAsia="Calibri"/>
                <w:color w:val="000000"/>
                <w:lang w:val="es-ES"/>
              </w:rPr>
            </w:pPr>
            <w:r>
              <w:rPr>
                <w:rFonts w:eastAsia="Calibri"/>
                <w:color w:val="000000"/>
                <w:lang w:val="es-ES"/>
              </w:rPr>
              <w:t>1</w:t>
            </w:r>
            <w:r>
              <w:rPr>
                <w:rFonts w:eastAsia="Calibri"/>
                <w:color w:val="000000"/>
                <w:lang w:val="es-ES"/>
              </w:rPr>
              <w:tab/>
            </w:r>
            <w:r w:rsidR="00B20F1E" w:rsidRPr="00413D41">
              <w:rPr>
                <w:rFonts w:eastAsia="Calibri"/>
                <w:b/>
                <w:bCs/>
                <w:color w:val="000000"/>
                <w:lang w:val="es-ES"/>
              </w:rPr>
              <w:t>Apoyar que no se modifique el Reglamento de Radiocomunicaciones.</w:t>
            </w:r>
            <w:r w:rsidR="00B20F1E" w:rsidRPr="000D2717">
              <w:rPr>
                <w:rFonts w:eastAsia="Calibri"/>
                <w:color w:val="000000"/>
                <w:lang w:val="es-ES"/>
              </w:rPr>
              <w:t xml:space="preserve"> </w:t>
            </w:r>
            <w:r w:rsidR="00B20F1E" w:rsidRPr="00F804E5">
              <w:rPr>
                <w:rFonts w:eastAsia="Calibri"/>
                <w:color w:val="000000"/>
                <w:lang w:val="es-ES"/>
              </w:rPr>
              <w:t xml:space="preserve">Si los métodos propuestos no evitan que los servicios existentes </w:t>
            </w:r>
            <w:r w:rsidR="00B20F1E">
              <w:rPr>
                <w:rFonts w:eastAsia="Calibri"/>
                <w:color w:val="000000"/>
                <w:lang w:val="es-ES"/>
              </w:rPr>
              <w:t>sean objeto de</w:t>
            </w:r>
            <w:r w:rsidR="00B20F1E" w:rsidRPr="00F804E5">
              <w:rPr>
                <w:rFonts w:eastAsia="Calibri"/>
                <w:color w:val="000000"/>
                <w:lang w:val="es-ES"/>
              </w:rPr>
              <w:t xml:space="preserve"> interferencia perjudicial, ni protegen los sistemas de los servicios </w:t>
            </w:r>
            <w:r w:rsidR="00B20F1E">
              <w:rPr>
                <w:rFonts w:eastAsia="Calibri"/>
                <w:color w:val="000000"/>
                <w:lang w:val="es-ES"/>
              </w:rPr>
              <w:t>atribuidos a título primario</w:t>
            </w:r>
            <w:r w:rsidR="00B20F1E" w:rsidRPr="00F804E5">
              <w:rPr>
                <w:rFonts w:eastAsia="Calibri"/>
                <w:color w:val="000000"/>
                <w:lang w:val="es-ES"/>
              </w:rPr>
              <w:t xml:space="preserve"> en la banda de frecuencias 14,8</w:t>
            </w:r>
            <w:r w:rsidR="00ED738F">
              <w:rPr>
                <w:rFonts w:eastAsia="Calibri"/>
                <w:color w:val="000000"/>
                <w:lang w:val="es-ES"/>
              </w:rPr>
              <w:t>-</w:t>
            </w:r>
            <w:r w:rsidR="00B20F1E" w:rsidRPr="00F804E5">
              <w:rPr>
                <w:rFonts w:eastAsia="Calibri"/>
                <w:color w:val="000000"/>
                <w:lang w:val="es-ES"/>
              </w:rPr>
              <w:t xml:space="preserve">15,35 GHz, no </w:t>
            </w:r>
            <w:r w:rsidR="00B20F1E">
              <w:rPr>
                <w:rFonts w:eastAsia="Calibri"/>
                <w:color w:val="000000"/>
                <w:lang w:val="es-ES"/>
              </w:rPr>
              <w:t>conviene</w:t>
            </w:r>
            <w:r w:rsidR="00B20F1E" w:rsidRPr="00F804E5">
              <w:rPr>
                <w:rFonts w:eastAsia="Calibri"/>
                <w:color w:val="000000"/>
                <w:lang w:val="es-ES"/>
              </w:rPr>
              <w:t xml:space="preserve"> </w:t>
            </w:r>
            <w:r w:rsidR="00B20F1E">
              <w:rPr>
                <w:rFonts w:eastAsia="Calibri"/>
                <w:color w:val="000000"/>
                <w:lang w:val="es-ES"/>
              </w:rPr>
              <w:t xml:space="preserve">modificar </w:t>
            </w:r>
            <w:r w:rsidR="00B20F1E" w:rsidRPr="00F804E5">
              <w:rPr>
                <w:rFonts w:eastAsia="Calibri"/>
                <w:color w:val="000000"/>
                <w:lang w:val="es-ES"/>
              </w:rPr>
              <w:t>el Reglamento de Radiocomunicaciones</w:t>
            </w:r>
            <w:r w:rsidR="00B20F1E" w:rsidRPr="000D2717">
              <w:rPr>
                <w:rFonts w:eastAsia="Calibri"/>
                <w:color w:val="000000"/>
                <w:lang w:val="es-ES"/>
              </w:rPr>
              <w:t>.</w:t>
            </w:r>
          </w:p>
          <w:p w14:paraId="15A20706" w14:textId="11CE6DEC" w:rsidR="00B20F1E" w:rsidRPr="000D2717" w:rsidRDefault="00413D41" w:rsidP="00413D41">
            <w:pPr>
              <w:pStyle w:val="Tabletext"/>
              <w:ind w:left="284" w:hanging="284"/>
              <w:rPr>
                <w:rFonts w:eastAsia="Calibri"/>
                <w:color w:val="000000"/>
                <w:lang w:val="es-ES"/>
              </w:rPr>
            </w:pPr>
            <w:r>
              <w:rPr>
                <w:rFonts w:eastAsia="Calibri"/>
                <w:color w:val="000000"/>
                <w:lang w:val="es-ES"/>
              </w:rPr>
              <w:t>2</w:t>
            </w:r>
            <w:r>
              <w:rPr>
                <w:rFonts w:eastAsia="Calibri"/>
                <w:color w:val="000000"/>
                <w:lang w:val="es-ES"/>
              </w:rPr>
              <w:tab/>
            </w:r>
            <w:r w:rsidR="00B20F1E" w:rsidRPr="00413D41">
              <w:rPr>
                <w:rFonts w:eastAsia="Calibri"/>
                <w:b/>
                <w:bCs/>
                <w:color w:val="000000"/>
                <w:lang w:val="es-ES"/>
              </w:rPr>
              <w:t>Observar</w:t>
            </w:r>
            <w:r w:rsidR="00B20F1E" w:rsidRPr="000D2717">
              <w:rPr>
                <w:rFonts w:eastAsia="Calibri"/>
                <w:color w:val="000000"/>
                <w:lang w:val="es-ES"/>
              </w:rPr>
              <w:t xml:space="preserve"> que la Administración de Túnez</w:t>
            </w:r>
            <w:r w:rsidR="00B20F1E">
              <w:rPr>
                <w:rFonts w:eastAsia="Calibri"/>
                <w:color w:val="000000"/>
                <w:lang w:val="es-ES"/>
              </w:rPr>
              <w:t>,</w:t>
            </w:r>
            <w:r w:rsidR="00B20F1E" w:rsidRPr="000D2717">
              <w:rPr>
                <w:rFonts w:eastAsia="Calibri"/>
                <w:color w:val="000000"/>
                <w:lang w:val="es-ES"/>
              </w:rPr>
              <w:t xml:space="preserve"> </w:t>
            </w:r>
            <w:r w:rsidR="00B20F1E">
              <w:rPr>
                <w:rFonts w:eastAsia="Calibri"/>
                <w:color w:val="000000"/>
                <w:lang w:val="es-ES"/>
              </w:rPr>
              <w:t>en relación con el punto</w:t>
            </w:r>
            <w:r w:rsidR="00B20F1E" w:rsidRPr="000D2717">
              <w:rPr>
                <w:rFonts w:eastAsia="Calibri"/>
                <w:color w:val="000000"/>
                <w:lang w:val="es-ES"/>
              </w:rPr>
              <w:t xml:space="preserve"> 1.1</w:t>
            </w:r>
            <w:r w:rsidR="00B20F1E">
              <w:rPr>
                <w:rFonts w:eastAsia="Calibri"/>
                <w:color w:val="000000"/>
                <w:lang w:val="es-ES"/>
              </w:rPr>
              <w:t>3 del orden del día,</w:t>
            </w:r>
            <w:r w:rsidR="00B20F1E" w:rsidRPr="000D2717">
              <w:rPr>
                <w:rFonts w:eastAsia="Calibri"/>
                <w:color w:val="000000"/>
                <w:lang w:val="es-ES"/>
              </w:rPr>
              <w:t xml:space="preserve"> adopta un </w:t>
            </w:r>
            <w:r w:rsidR="00B20F1E">
              <w:rPr>
                <w:rFonts w:eastAsia="Calibri"/>
                <w:color w:val="000000"/>
                <w:lang w:val="es-ES"/>
              </w:rPr>
              <w:t>m</w:t>
            </w:r>
            <w:r w:rsidR="00B20F1E" w:rsidRPr="000D2717">
              <w:rPr>
                <w:rFonts w:eastAsia="Calibri"/>
                <w:color w:val="000000"/>
                <w:lang w:val="es-ES"/>
              </w:rPr>
              <w:t xml:space="preserve">étodo </w:t>
            </w:r>
            <w:r w:rsidR="00B20F1E">
              <w:rPr>
                <w:rFonts w:eastAsia="Calibri"/>
                <w:color w:val="000000"/>
                <w:lang w:val="es-ES"/>
              </w:rPr>
              <w:t>diferente del de la</w:t>
            </w:r>
            <w:r w:rsidR="00B20F1E" w:rsidRPr="000D2717">
              <w:rPr>
                <w:rFonts w:eastAsia="Calibri"/>
                <w:color w:val="000000"/>
                <w:lang w:val="es-ES"/>
              </w:rPr>
              <w:t xml:space="preserve"> </w:t>
            </w:r>
            <w:r w:rsidR="00B20F1E" w:rsidRPr="006C3400">
              <w:rPr>
                <w:rFonts w:eastAsia="Calibri"/>
                <w:color w:val="000000"/>
                <w:lang w:val="es-ES"/>
              </w:rPr>
              <w:t>AFCP</w:t>
            </w:r>
            <w:r w:rsidR="00B20F1E">
              <w:rPr>
                <w:rFonts w:eastAsia="Calibri"/>
                <w:color w:val="000000"/>
                <w:lang w:val="es-ES"/>
              </w:rPr>
              <w:t>,</w:t>
            </w:r>
            <w:r w:rsidR="00B20F1E" w:rsidRPr="006C3400">
              <w:rPr>
                <w:rFonts w:eastAsia="Calibri"/>
                <w:color w:val="000000"/>
                <w:lang w:val="es-ES"/>
              </w:rPr>
              <w:t xml:space="preserve"> </w:t>
            </w:r>
            <w:r w:rsidR="00B20F1E">
              <w:rPr>
                <w:rFonts w:eastAsia="Calibri"/>
                <w:color w:val="000000"/>
                <w:lang w:val="es-ES"/>
              </w:rPr>
              <w:t>pero compatible con éste</w:t>
            </w:r>
            <w:r w:rsidR="00B20F1E" w:rsidRPr="000D2717">
              <w:rPr>
                <w:rFonts w:eastAsia="Calibri"/>
                <w:color w:val="000000"/>
                <w:lang w:val="es-ES"/>
              </w:rPr>
              <w:t>.</w:t>
            </w:r>
          </w:p>
          <w:p w14:paraId="03F41FCA" w14:textId="77777777" w:rsidR="00B20F1E" w:rsidRPr="000D2717" w:rsidRDefault="00B20F1E" w:rsidP="00413D41">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47743B1C" w14:textId="77777777" w:rsidR="00B20F1E" w:rsidRPr="00413D41" w:rsidRDefault="00B20F1E" w:rsidP="00413D41">
            <w:pPr>
              <w:pStyle w:val="Tabletext"/>
              <w:rPr>
                <w:rFonts w:eastAsia="Calibri"/>
                <w:b/>
                <w:bCs/>
                <w:i/>
                <w:color w:val="000000"/>
                <w:lang w:val="es-ES"/>
              </w:rPr>
            </w:pPr>
            <w:r w:rsidRPr="00413D41">
              <w:rPr>
                <w:rFonts w:eastAsia="Calibri"/>
                <w:b/>
                <w:bCs/>
                <w:i/>
                <w:color w:val="000000"/>
                <w:lang w:val="es-ES"/>
              </w:rPr>
              <w:t>Solicitar a las administraciones de la UAT que:</w:t>
            </w:r>
          </w:p>
          <w:p w14:paraId="510C79E3" w14:textId="7690FD84" w:rsidR="00B20F1E" w:rsidRPr="000D2717" w:rsidRDefault="00B20F1E" w:rsidP="00413D41">
            <w:pPr>
              <w:pStyle w:val="Tabletext"/>
              <w:rPr>
                <w:rFonts w:eastAsia="Calibri"/>
                <w:color w:val="000000"/>
                <w:lang w:val="es-ES"/>
              </w:rPr>
            </w:pPr>
            <w:r w:rsidRPr="00413D41">
              <w:rPr>
                <w:rFonts w:eastAsia="Calibri"/>
                <w:b/>
                <w:bCs/>
                <w:color w:val="000000"/>
                <w:lang w:val="es-ES"/>
              </w:rPr>
              <w:t>Sigan</w:t>
            </w:r>
            <w:r w:rsidRPr="000D2717">
              <w:rPr>
                <w:rFonts w:eastAsia="Calibri"/>
                <w:color w:val="000000"/>
                <w:lang w:val="es-ES"/>
              </w:rPr>
              <w:t xml:space="preserve"> participando en los estudios del UIT-R en </w:t>
            </w:r>
            <w:r>
              <w:rPr>
                <w:rFonts w:eastAsia="Calibri"/>
                <w:color w:val="000000"/>
                <w:lang w:val="es-ES"/>
              </w:rPr>
              <w:t>relación con este</w:t>
            </w:r>
            <w:r w:rsidRPr="000D2717">
              <w:rPr>
                <w:rFonts w:eastAsia="Calibri"/>
                <w:color w:val="000000"/>
                <w:lang w:val="es-ES"/>
              </w:rPr>
              <w:t xml:space="preserve"> punto del orden del día </w:t>
            </w:r>
            <w:r>
              <w:rPr>
                <w:rFonts w:eastAsia="Calibri"/>
                <w:color w:val="000000"/>
                <w:lang w:val="es-ES"/>
              </w:rPr>
              <w:t>hasta</w:t>
            </w:r>
            <w:r w:rsidRPr="000D2717">
              <w:rPr>
                <w:rFonts w:eastAsia="Calibri"/>
                <w:color w:val="000000"/>
                <w:lang w:val="es-ES"/>
              </w:rPr>
              <w:t xml:space="preserve"> la CMR-23, </w:t>
            </w:r>
            <w:r>
              <w:rPr>
                <w:rFonts w:eastAsia="Calibri"/>
                <w:color w:val="000000"/>
                <w:lang w:val="es-ES"/>
              </w:rPr>
              <w:t>a fin de</w:t>
            </w:r>
            <w:r w:rsidRPr="000D2717">
              <w:rPr>
                <w:rFonts w:eastAsia="Calibri"/>
                <w:color w:val="000000"/>
                <w:lang w:val="es-ES"/>
              </w:rPr>
              <w:t xml:space="preserve"> examinar la posible </w:t>
            </w:r>
            <w:r>
              <w:rPr>
                <w:rFonts w:eastAsia="Calibri"/>
                <w:color w:val="000000"/>
                <w:lang w:val="es-ES"/>
              </w:rPr>
              <w:t>elevación de categoría</w:t>
            </w:r>
            <w:r w:rsidRPr="000D2717">
              <w:rPr>
                <w:rFonts w:eastAsia="Calibri"/>
                <w:color w:val="000000"/>
                <w:lang w:val="es-ES"/>
              </w:rPr>
              <w:t xml:space="preserve"> de los servicios </w:t>
            </w:r>
            <w:r>
              <w:rPr>
                <w:rFonts w:eastAsia="Calibri"/>
                <w:color w:val="000000"/>
                <w:lang w:val="es-ES"/>
              </w:rPr>
              <w:t xml:space="preserve">del </w:t>
            </w:r>
            <w:r w:rsidRPr="000D2717">
              <w:rPr>
                <w:rFonts w:eastAsia="Calibri"/>
                <w:color w:val="000000"/>
                <w:lang w:val="es-ES"/>
              </w:rPr>
              <w:t>SRS en la banda 14,8</w:t>
            </w:r>
            <w:r w:rsidR="007D7EC9">
              <w:rPr>
                <w:rFonts w:eastAsia="Calibri"/>
                <w:color w:val="000000"/>
                <w:lang w:val="es-ES"/>
              </w:rPr>
              <w:t>-</w:t>
            </w:r>
            <w:r w:rsidRPr="000D2717">
              <w:rPr>
                <w:rFonts w:eastAsia="Calibri"/>
                <w:color w:val="000000"/>
                <w:lang w:val="es-ES"/>
              </w:rPr>
              <w:t xml:space="preserve">15,35 GHz, </w:t>
            </w:r>
            <w:r>
              <w:rPr>
                <w:rFonts w:eastAsia="Calibri"/>
                <w:color w:val="000000"/>
                <w:lang w:val="es-ES"/>
              </w:rPr>
              <w:t>al tiempo que se protegen los</w:t>
            </w:r>
            <w:r w:rsidRPr="000D2717">
              <w:rPr>
                <w:rFonts w:eastAsia="Calibri"/>
                <w:color w:val="000000"/>
                <w:lang w:val="es-ES"/>
              </w:rPr>
              <w:t xml:space="preserve"> servicios </w:t>
            </w:r>
            <w:r>
              <w:rPr>
                <w:rFonts w:eastAsia="Calibri"/>
                <w:color w:val="000000"/>
                <w:lang w:val="es-ES"/>
              </w:rPr>
              <w:t xml:space="preserve">atribuidos a título </w:t>
            </w:r>
            <w:r w:rsidRPr="000D2717">
              <w:rPr>
                <w:rFonts w:eastAsia="Calibri"/>
                <w:color w:val="000000"/>
                <w:lang w:val="es-ES"/>
              </w:rPr>
              <w:t xml:space="preserve">primario en esta banda, con </w:t>
            </w:r>
            <w:r>
              <w:rPr>
                <w:rFonts w:eastAsia="Calibri"/>
                <w:color w:val="000000"/>
                <w:lang w:val="es-ES"/>
              </w:rPr>
              <w:t>miras</w:t>
            </w:r>
            <w:r w:rsidRPr="000D2717">
              <w:rPr>
                <w:rFonts w:eastAsia="Calibri"/>
                <w:color w:val="000000"/>
                <w:lang w:val="es-ES"/>
              </w:rPr>
              <w:t xml:space="preserve"> a apoyar posiblemente el </w:t>
            </w:r>
            <w:r w:rsidRPr="00413D41">
              <w:rPr>
                <w:rFonts w:eastAsia="Calibri"/>
                <w:b/>
                <w:bCs/>
                <w:color w:val="000000"/>
                <w:lang w:val="es-ES"/>
              </w:rPr>
              <w:t>método E1 o E2</w:t>
            </w:r>
            <w:r w:rsidRPr="000D2717">
              <w:rPr>
                <w:rFonts w:eastAsia="Calibri"/>
                <w:color w:val="000000"/>
                <w:lang w:val="es-ES"/>
              </w:rPr>
              <w:t xml:space="preserve"> </w:t>
            </w:r>
            <w:r>
              <w:rPr>
                <w:rFonts w:eastAsia="Calibri"/>
                <w:color w:val="000000"/>
                <w:lang w:val="es-ES"/>
              </w:rPr>
              <w:t>y</w:t>
            </w:r>
            <w:r w:rsidRPr="000D2717">
              <w:rPr>
                <w:rFonts w:eastAsia="Calibri"/>
                <w:color w:val="000000"/>
                <w:lang w:val="es-ES"/>
              </w:rPr>
              <w:t xml:space="preserve"> satisfacer el requisito de protección de los servicios fijos y móviles, así como los servicios de radioastronomía.</w:t>
            </w:r>
          </w:p>
        </w:tc>
      </w:tr>
      <w:tr w:rsidR="00B20F1E" w:rsidRPr="00B707C8" w14:paraId="5776EEDF" w14:textId="77777777" w:rsidTr="00DB48C6">
        <w:trPr>
          <w:jc w:val="center"/>
        </w:trPr>
        <w:tc>
          <w:tcPr>
            <w:tcW w:w="3114" w:type="dxa"/>
          </w:tcPr>
          <w:p w14:paraId="0F8F24DF" w14:textId="77777777" w:rsidR="00B20F1E" w:rsidRPr="00413D41" w:rsidRDefault="00B20F1E" w:rsidP="00413D41">
            <w:pPr>
              <w:pStyle w:val="Tabletext"/>
              <w:rPr>
                <w:rFonts w:eastAsia="Calibri"/>
                <w:b/>
                <w:bCs/>
                <w:lang w:val="es-ES"/>
              </w:rPr>
            </w:pPr>
            <w:r w:rsidRPr="00413D41">
              <w:rPr>
                <w:rFonts w:eastAsia="Calibri"/>
                <w:b/>
                <w:bCs/>
                <w:lang w:val="es-ES"/>
              </w:rPr>
              <w:t>Punto 1.14</w:t>
            </w:r>
          </w:p>
          <w:p w14:paraId="0186479F" w14:textId="53F4FCB1" w:rsidR="00B20F1E" w:rsidRPr="000D2717" w:rsidRDefault="00B20F1E" w:rsidP="00413D41">
            <w:pPr>
              <w:pStyle w:val="Tabletext"/>
              <w:rPr>
                <w:rFonts w:eastAsia="Calibri"/>
                <w:lang w:val="es-ES"/>
              </w:rPr>
            </w:pPr>
            <w:r>
              <w:rPr>
                <w:rFonts w:eastAsia="Calibri"/>
                <w:lang w:val="es-ES"/>
              </w:rPr>
              <w:t>Considerar la posibilidad de ajustar</w:t>
            </w:r>
            <w:r w:rsidRPr="0093627C">
              <w:rPr>
                <w:rFonts w:eastAsia="Calibri"/>
                <w:lang w:val="es-ES"/>
              </w:rPr>
              <w:t xml:space="preserve"> las atribuciones de frecuencias existentes o posibles nuevas atribuciones de frecuencias a título primario al </w:t>
            </w:r>
            <w:r>
              <w:rPr>
                <w:rFonts w:eastAsia="Calibri"/>
                <w:lang w:val="es-ES"/>
              </w:rPr>
              <w:t>SETS</w:t>
            </w:r>
            <w:r w:rsidRPr="0093627C">
              <w:rPr>
                <w:rFonts w:eastAsia="Calibri"/>
                <w:lang w:val="es-ES"/>
              </w:rPr>
              <w:t xml:space="preserve"> (pasivo) en la gama de frecuencias 231,5-252</w:t>
            </w:r>
            <w:r w:rsidR="00413D41">
              <w:rPr>
                <w:rFonts w:eastAsia="Calibri"/>
                <w:lang w:val="es-ES"/>
              </w:rPr>
              <w:t> </w:t>
            </w:r>
            <w:r w:rsidRPr="0093627C">
              <w:rPr>
                <w:rFonts w:eastAsia="Calibri"/>
                <w:lang w:val="es-ES"/>
              </w:rPr>
              <w:t xml:space="preserve">GHz, con el fin de garantizar la armonización de los requisitos más recientes para la observación por </w:t>
            </w:r>
            <w:r w:rsidRPr="0093627C">
              <w:rPr>
                <w:rFonts w:eastAsia="Calibri"/>
                <w:lang w:val="es-ES"/>
              </w:rPr>
              <w:lastRenderedPageBreak/>
              <w:t xml:space="preserve">teledetección, de conformidad con la Resolución </w:t>
            </w:r>
            <w:r w:rsidRPr="00413D41">
              <w:rPr>
                <w:rFonts w:eastAsia="Calibri"/>
                <w:b/>
                <w:lang w:val="es-ES"/>
              </w:rPr>
              <w:t>662 (CMR-19)</w:t>
            </w:r>
            <w:r>
              <w:rPr>
                <w:rFonts w:eastAsia="Calibri"/>
                <w:bCs/>
                <w:lang w:val="es-ES"/>
              </w:rPr>
              <w:t>.</w:t>
            </w:r>
          </w:p>
        </w:tc>
        <w:tc>
          <w:tcPr>
            <w:tcW w:w="6151" w:type="dxa"/>
          </w:tcPr>
          <w:p w14:paraId="1776529D" w14:textId="77777777" w:rsidR="00B20F1E" w:rsidRPr="000D2717" w:rsidRDefault="00B20F1E" w:rsidP="00413D41">
            <w:pPr>
              <w:pStyle w:val="Tabletext"/>
              <w:rPr>
                <w:rFonts w:eastAsia="Calibri"/>
                <w:i/>
                <w:u w:val="single"/>
                <w:lang w:val="es-ES"/>
              </w:rPr>
            </w:pPr>
            <w:r>
              <w:rPr>
                <w:rFonts w:eastAsia="Calibri"/>
                <w:i/>
                <w:u w:val="single"/>
                <w:lang w:val="es-ES"/>
              </w:rPr>
              <w:lastRenderedPageBreak/>
              <w:t>Parte 1</w:t>
            </w:r>
            <w:r w:rsidRPr="000D2717">
              <w:rPr>
                <w:rFonts w:eastAsia="Calibri"/>
                <w:i/>
                <w:u w:val="single"/>
                <w:lang w:val="es-ES"/>
              </w:rPr>
              <w:t>: Posición común:</w:t>
            </w:r>
          </w:p>
          <w:p w14:paraId="314C1F30" w14:textId="77777777" w:rsidR="00B20F1E" w:rsidRPr="000D2717" w:rsidRDefault="00B20F1E" w:rsidP="00413D41">
            <w:pPr>
              <w:pStyle w:val="Tabletext"/>
              <w:rPr>
                <w:rFonts w:eastAsia="Calibri"/>
                <w:color w:val="000000"/>
                <w:lang w:val="es-ES"/>
              </w:rPr>
            </w:pPr>
            <w:r w:rsidRPr="00413D41">
              <w:rPr>
                <w:rFonts w:eastAsia="Calibri"/>
                <w:b/>
                <w:bCs/>
                <w:color w:val="000000"/>
                <w:lang w:val="es-ES"/>
              </w:rPr>
              <w:t>Apoyar la Opción 3 del Método B</w:t>
            </w:r>
            <w:r w:rsidRPr="000D2717">
              <w:rPr>
                <w:rFonts w:eastAsia="Calibri"/>
                <w:color w:val="000000"/>
                <w:lang w:val="es-ES"/>
              </w:rPr>
              <w:t xml:space="preserve"> (que prevé, entre otras cosas, la supresión de la Resolución </w:t>
            </w:r>
            <w:r w:rsidRPr="00413D41">
              <w:rPr>
                <w:rFonts w:eastAsia="Calibri"/>
                <w:b/>
                <w:bCs/>
                <w:color w:val="000000"/>
                <w:lang w:val="es-ES"/>
              </w:rPr>
              <w:t>662</w:t>
            </w:r>
            <w:r w:rsidRPr="000D2717">
              <w:rPr>
                <w:rFonts w:eastAsia="Calibri"/>
                <w:color w:val="000000"/>
                <w:lang w:val="es-ES"/>
              </w:rPr>
              <w:t>).</w:t>
            </w:r>
          </w:p>
          <w:p w14:paraId="505544B9" w14:textId="77777777" w:rsidR="00B20F1E" w:rsidRPr="00413D41" w:rsidRDefault="00B20F1E" w:rsidP="00413D41">
            <w:pPr>
              <w:pStyle w:val="Tabletext"/>
              <w:rPr>
                <w:rFonts w:eastAsia="Calibri"/>
                <w:b/>
                <w:bCs/>
                <w:color w:val="000000"/>
                <w:lang w:val="es-ES"/>
              </w:rPr>
            </w:pPr>
            <w:r w:rsidRPr="00413D41">
              <w:rPr>
                <w:rFonts w:eastAsia="Calibri"/>
                <w:b/>
                <w:bCs/>
                <w:color w:val="000000"/>
                <w:lang w:val="es-ES"/>
              </w:rPr>
              <w:t>Motivos:</w:t>
            </w:r>
          </w:p>
          <w:p w14:paraId="723A4BF3" w14:textId="4B8B60CD" w:rsidR="00B20F1E" w:rsidRPr="000D2717" w:rsidRDefault="00B75820" w:rsidP="00413D41">
            <w:pPr>
              <w:pStyle w:val="Tabletext"/>
              <w:rPr>
                <w:rFonts w:eastAsia="Calibri"/>
                <w:color w:val="000000"/>
                <w:lang w:val="es-ES"/>
              </w:rPr>
            </w:pPr>
            <w:r>
              <w:rPr>
                <w:rFonts w:eastAsia="Calibri"/>
                <w:color w:val="000000"/>
                <w:lang w:val="es-ES"/>
              </w:rPr>
              <w:t>1</w:t>
            </w:r>
            <w:r>
              <w:rPr>
                <w:rFonts w:eastAsia="Calibri"/>
                <w:color w:val="000000"/>
                <w:lang w:val="es-ES"/>
              </w:rPr>
              <w:tab/>
            </w:r>
            <w:r w:rsidR="00B20F1E" w:rsidRPr="000D2717">
              <w:rPr>
                <w:rFonts w:eastAsia="Calibri"/>
                <w:color w:val="000000"/>
                <w:lang w:val="es-ES"/>
              </w:rPr>
              <w:t xml:space="preserve">El método </w:t>
            </w:r>
            <w:r w:rsidR="00B20F1E">
              <w:rPr>
                <w:rFonts w:eastAsia="Calibri"/>
                <w:color w:val="000000"/>
                <w:lang w:val="es-ES"/>
              </w:rPr>
              <w:t>se ajusta</w:t>
            </w:r>
            <w:r w:rsidR="00B20F1E" w:rsidRPr="000D2717">
              <w:rPr>
                <w:rFonts w:eastAsia="Calibri"/>
                <w:color w:val="000000"/>
                <w:lang w:val="es-ES"/>
              </w:rPr>
              <w:t xml:space="preserve"> </w:t>
            </w:r>
            <w:r w:rsidR="00B20F1E">
              <w:rPr>
                <w:rFonts w:eastAsia="Calibri"/>
                <w:color w:val="000000"/>
                <w:lang w:val="es-ES"/>
              </w:rPr>
              <w:t xml:space="preserve">al </w:t>
            </w:r>
            <w:r w:rsidR="00B20F1E" w:rsidRPr="0093627C">
              <w:rPr>
                <w:rFonts w:eastAsia="Calibri"/>
                <w:i/>
                <w:iCs/>
                <w:color w:val="000000"/>
                <w:lang w:val="es-ES"/>
              </w:rPr>
              <w:t>invita</w:t>
            </w:r>
            <w:r w:rsidR="00B20F1E" w:rsidRPr="000D2717">
              <w:rPr>
                <w:rFonts w:eastAsia="Calibri"/>
                <w:color w:val="000000"/>
                <w:lang w:val="es-ES"/>
              </w:rPr>
              <w:t xml:space="preserve"> de la </w:t>
            </w:r>
            <w:r w:rsidR="00B20F1E" w:rsidRPr="000D2717">
              <w:rPr>
                <w:rFonts w:eastAsia="Calibri"/>
                <w:i/>
                <w:color w:val="000000"/>
                <w:lang w:val="es-ES"/>
              </w:rPr>
              <w:t xml:space="preserve">Resolución 662, </w:t>
            </w:r>
          </w:p>
          <w:p w14:paraId="4180B099" w14:textId="7EE468D0" w:rsidR="00B20F1E" w:rsidRPr="000D2717" w:rsidRDefault="00B75820" w:rsidP="00B75820">
            <w:pPr>
              <w:pStyle w:val="Tabletext"/>
              <w:ind w:left="284" w:hanging="284"/>
              <w:rPr>
                <w:rFonts w:eastAsia="Calibri"/>
                <w:color w:val="000000"/>
                <w:lang w:val="es-ES"/>
              </w:rPr>
            </w:pPr>
            <w:r>
              <w:rPr>
                <w:rFonts w:eastAsia="Calibri"/>
                <w:color w:val="000000"/>
                <w:lang w:val="es-ES"/>
              </w:rPr>
              <w:t>2</w:t>
            </w:r>
            <w:r>
              <w:rPr>
                <w:rFonts w:eastAsia="Calibri"/>
                <w:color w:val="000000"/>
                <w:lang w:val="es-ES"/>
              </w:rPr>
              <w:tab/>
            </w:r>
            <w:r w:rsidR="00B20F1E" w:rsidRPr="000D2717">
              <w:rPr>
                <w:rFonts w:eastAsia="Calibri"/>
                <w:color w:val="000000"/>
                <w:lang w:val="es-ES"/>
              </w:rPr>
              <w:t xml:space="preserve">El ajuste dará lugar </w:t>
            </w:r>
            <w:r w:rsidR="00B20F1E">
              <w:rPr>
                <w:rFonts w:eastAsia="Calibri"/>
                <w:color w:val="000000"/>
                <w:lang w:val="es-ES"/>
              </w:rPr>
              <w:t>al</w:t>
            </w:r>
            <w:r w:rsidR="00B20F1E" w:rsidRPr="000D2717">
              <w:rPr>
                <w:rFonts w:eastAsia="Calibri"/>
                <w:color w:val="000000"/>
                <w:lang w:val="es-ES"/>
              </w:rPr>
              <w:t xml:space="preserve"> bloque contiguo</w:t>
            </w:r>
            <w:r w:rsidR="00B20F1E">
              <w:rPr>
                <w:rFonts w:eastAsia="Calibri"/>
                <w:color w:val="000000"/>
                <w:lang w:val="es-ES"/>
              </w:rPr>
              <w:t xml:space="preserve"> de frecuencias</w:t>
            </w:r>
            <w:r w:rsidR="00B20F1E" w:rsidRPr="000D2717">
              <w:rPr>
                <w:rFonts w:eastAsia="Calibri"/>
                <w:color w:val="000000"/>
                <w:lang w:val="es-ES"/>
              </w:rPr>
              <w:t xml:space="preserve"> 231,5GHz-239,2GHz (para </w:t>
            </w:r>
            <w:r w:rsidR="00B20F1E">
              <w:rPr>
                <w:rFonts w:eastAsia="Calibri"/>
                <w:color w:val="000000"/>
                <w:lang w:val="es-ES"/>
              </w:rPr>
              <w:t xml:space="preserve">los </w:t>
            </w:r>
            <w:r w:rsidR="00B20F1E" w:rsidRPr="000D2717">
              <w:rPr>
                <w:rFonts w:eastAsia="Calibri"/>
                <w:color w:val="000000"/>
                <w:lang w:val="es-ES"/>
              </w:rPr>
              <w:t xml:space="preserve">servicios fijo y móvil) </w:t>
            </w:r>
            <w:r w:rsidR="00B20F1E">
              <w:rPr>
                <w:rFonts w:eastAsia="Calibri"/>
                <w:color w:val="000000"/>
                <w:lang w:val="es-ES"/>
              </w:rPr>
              <w:t>a raíz de</w:t>
            </w:r>
            <w:r w:rsidR="00B20F1E" w:rsidRPr="000D2717">
              <w:rPr>
                <w:rFonts w:eastAsia="Calibri"/>
                <w:color w:val="000000"/>
                <w:lang w:val="es-ES"/>
              </w:rPr>
              <w:t xml:space="preserve"> la consolidación de</w:t>
            </w:r>
            <w:r w:rsidR="00B20F1E">
              <w:rPr>
                <w:rFonts w:eastAsia="Calibri"/>
                <w:color w:val="000000"/>
                <w:lang w:val="es-ES"/>
              </w:rPr>
              <w:t xml:space="preserve"> la gama</w:t>
            </w:r>
            <w:r w:rsidR="00B20F1E" w:rsidRPr="000D2717">
              <w:rPr>
                <w:rFonts w:eastAsia="Calibri"/>
                <w:color w:val="000000"/>
                <w:lang w:val="es-ES"/>
              </w:rPr>
              <w:t xml:space="preserve"> 231,5-235GHz y 238-241GHz,</w:t>
            </w:r>
          </w:p>
          <w:p w14:paraId="0103B939" w14:textId="5DEE5B3F" w:rsidR="00B20F1E" w:rsidRPr="000D2717" w:rsidRDefault="00B75820" w:rsidP="00413D41">
            <w:pPr>
              <w:pStyle w:val="Tabletext"/>
              <w:rPr>
                <w:rFonts w:eastAsia="Calibri"/>
                <w:color w:val="000000"/>
                <w:lang w:val="es-ES"/>
              </w:rPr>
            </w:pPr>
            <w:r>
              <w:rPr>
                <w:rFonts w:eastAsia="Calibri"/>
                <w:color w:val="000000"/>
                <w:lang w:val="es-ES"/>
              </w:rPr>
              <w:t>3</w:t>
            </w:r>
            <w:r>
              <w:rPr>
                <w:rFonts w:eastAsia="Calibri"/>
                <w:color w:val="000000"/>
                <w:lang w:val="es-ES"/>
              </w:rPr>
              <w:tab/>
            </w:r>
            <w:r w:rsidR="00B20F1E" w:rsidRPr="000D2717">
              <w:rPr>
                <w:rFonts w:eastAsia="Calibri"/>
                <w:color w:val="000000"/>
                <w:lang w:val="es-ES"/>
              </w:rPr>
              <w:t xml:space="preserve">Garantiza la protección de los servicios </w:t>
            </w:r>
            <w:r w:rsidR="00B20F1E">
              <w:rPr>
                <w:rFonts w:eastAsia="Calibri"/>
                <w:color w:val="000000"/>
                <w:lang w:val="es-ES"/>
              </w:rPr>
              <w:t>existentes</w:t>
            </w:r>
            <w:r w:rsidR="00B20F1E" w:rsidRPr="000D2717">
              <w:rPr>
                <w:rFonts w:eastAsia="Calibri"/>
                <w:color w:val="000000"/>
                <w:lang w:val="es-ES"/>
              </w:rPr>
              <w:t>.</w:t>
            </w:r>
          </w:p>
          <w:p w14:paraId="06E578CE" w14:textId="77777777" w:rsidR="00B20F1E" w:rsidRPr="000D2717" w:rsidRDefault="00B20F1E" w:rsidP="00413D41">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2C583A0D" w14:textId="77777777" w:rsidR="00B20F1E" w:rsidRPr="00B75820" w:rsidRDefault="00B20F1E" w:rsidP="00413D41">
            <w:pPr>
              <w:pStyle w:val="Tabletext"/>
              <w:rPr>
                <w:rFonts w:eastAsia="Calibri"/>
                <w:b/>
                <w:bCs/>
                <w:color w:val="000000"/>
                <w:lang w:val="es-ES"/>
              </w:rPr>
            </w:pPr>
            <w:r w:rsidRPr="00B75820">
              <w:rPr>
                <w:rFonts w:eastAsia="Calibri"/>
                <w:b/>
                <w:bCs/>
                <w:i/>
                <w:color w:val="000000"/>
                <w:lang w:val="es-ES"/>
              </w:rPr>
              <w:lastRenderedPageBreak/>
              <w:t>Solicitar a las administraciones de la UAT que:</w:t>
            </w:r>
          </w:p>
          <w:p w14:paraId="4FB7C114" w14:textId="77777777" w:rsidR="00B20F1E" w:rsidRPr="000D2717" w:rsidRDefault="00B20F1E" w:rsidP="00413D41">
            <w:pPr>
              <w:pStyle w:val="Tabletext"/>
              <w:rPr>
                <w:rFonts w:eastAsia="Calibri"/>
                <w:color w:val="000000"/>
                <w:lang w:val="es-ES"/>
              </w:rPr>
            </w:pPr>
            <w:r w:rsidRPr="00B75820">
              <w:rPr>
                <w:rFonts w:eastAsia="Calibri"/>
                <w:b/>
                <w:bCs/>
                <w:lang w:val="es-ES"/>
              </w:rPr>
              <w:t>Apoyen</w:t>
            </w:r>
            <w:r w:rsidRPr="000D2717">
              <w:rPr>
                <w:rFonts w:eastAsia="Calibri"/>
                <w:lang w:val="es-ES"/>
              </w:rPr>
              <w:t xml:space="preserve"> la</w:t>
            </w:r>
            <w:r>
              <w:rPr>
                <w:rFonts w:eastAsia="Calibri"/>
                <w:lang w:val="es-ES"/>
              </w:rPr>
              <w:t xml:space="preserve"> </w:t>
            </w:r>
            <w:r w:rsidRPr="00DB5622">
              <w:rPr>
                <w:rFonts w:eastAsia="Calibri"/>
                <w:lang w:val="es-ES"/>
              </w:rPr>
              <w:t xml:space="preserve">AFCP </w:t>
            </w:r>
            <w:r>
              <w:rPr>
                <w:rFonts w:eastAsia="Calibri"/>
                <w:lang w:val="es-ES"/>
              </w:rPr>
              <w:t>en relación con este</w:t>
            </w:r>
            <w:r w:rsidRPr="000D2717">
              <w:rPr>
                <w:rFonts w:eastAsia="Calibri"/>
                <w:lang w:val="es-ES"/>
              </w:rPr>
              <w:t xml:space="preserve"> punto del orden del día</w:t>
            </w:r>
            <w:r w:rsidRPr="000D2717">
              <w:rPr>
                <w:rFonts w:eastAsia="Calibri"/>
                <w:color w:val="000000"/>
                <w:lang w:val="es-ES"/>
              </w:rPr>
              <w:t xml:space="preserve"> (Método B</w:t>
            </w:r>
            <w:r>
              <w:rPr>
                <w:rFonts w:eastAsia="Calibri"/>
                <w:color w:val="000000"/>
                <w:lang w:val="es-ES"/>
              </w:rPr>
              <w:t>,</w:t>
            </w:r>
            <w:r w:rsidRPr="000D2717">
              <w:rPr>
                <w:rFonts w:eastAsia="Calibri"/>
                <w:color w:val="000000"/>
                <w:lang w:val="es-ES"/>
              </w:rPr>
              <w:t xml:space="preserve"> Opción 3).</w:t>
            </w:r>
          </w:p>
        </w:tc>
      </w:tr>
      <w:tr w:rsidR="00B20F1E" w:rsidRPr="00B707C8" w14:paraId="7C29BF08" w14:textId="77777777" w:rsidTr="00DB48C6">
        <w:trPr>
          <w:jc w:val="center"/>
        </w:trPr>
        <w:tc>
          <w:tcPr>
            <w:tcW w:w="3114" w:type="dxa"/>
          </w:tcPr>
          <w:p w14:paraId="08B6D800" w14:textId="77777777" w:rsidR="00B20F1E" w:rsidRPr="00B75820" w:rsidRDefault="00B20F1E" w:rsidP="00B75820">
            <w:pPr>
              <w:pStyle w:val="Tabletext"/>
              <w:rPr>
                <w:rFonts w:eastAsia="Calibri"/>
                <w:b/>
                <w:bCs/>
                <w:lang w:val="es-ES"/>
              </w:rPr>
            </w:pPr>
            <w:r w:rsidRPr="00B75820">
              <w:rPr>
                <w:rFonts w:eastAsia="Calibri"/>
                <w:b/>
                <w:bCs/>
                <w:lang w:val="es-ES"/>
              </w:rPr>
              <w:lastRenderedPageBreak/>
              <w:t>Punto 9.1, Tema A</w:t>
            </w:r>
          </w:p>
          <w:p w14:paraId="69893C8F" w14:textId="77777777" w:rsidR="00B20F1E" w:rsidRPr="000D2717" w:rsidRDefault="00B20F1E" w:rsidP="00B75820">
            <w:pPr>
              <w:pStyle w:val="Tabletext"/>
              <w:rPr>
                <w:rFonts w:eastAsia="Calibri"/>
                <w:lang w:val="es-ES"/>
              </w:rPr>
            </w:pPr>
            <w:r>
              <w:rPr>
                <w:rFonts w:eastAsia="Calibri"/>
                <w:lang w:val="es-ES"/>
              </w:rPr>
              <w:t>E</w:t>
            </w:r>
            <w:r w:rsidRPr="00A76414">
              <w:rPr>
                <w:rFonts w:eastAsia="Calibri"/>
                <w:lang w:val="es-ES"/>
              </w:rPr>
              <w:t xml:space="preserve">xaminar, de conformidad con la Resolución </w:t>
            </w:r>
            <w:r w:rsidRPr="00B75820">
              <w:rPr>
                <w:rFonts w:eastAsia="Calibri"/>
                <w:b/>
                <w:lang w:val="es-ES"/>
              </w:rPr>
              <w:t>657 (Rev.CMR-19)</w:t>
            </w:r>
            <w:r w:rsidRPr="00A76414">
              <w:rPr>
                <w:rFonts w:eastAsia="Calibri"/>
                <w:lang w:val="es-ES"/>
              </w:rPr>
              <w:t>, los resultados de los estudios relativos a las características técnicas y operativas, las necesidades de espectro y las adecuadas designaciones de servicio radioeléctrico para los sensores meteorológicos espaciales</w:t>
            </w:r>
            <w:r>
              <w:rPr>
                <w:rFonts w:eastAsia="Calibri"/>
                <w:lang w:val="es-ES"/>
              </w:rPr>
              <w:t>.</w:t>
            </w:r>
          </w:p>
        </w:tc>
        <w:tc>
          <w:tcPr>
            <w:tcW w:w="6151" w:type="dxa"/>
          </w:tcPr>
          <w:p w14:paraId="50E51B81" w14:textId="77777777" w:rsidR="00B20F1E" w:rsidRPr="000D2717" w:rsidRDefault="00B20F1E" w:rsidP="00B75820">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005D10BD" w14:textId="69BF1A1F" w:rsidR="00B20F1E" w:rsidRPr="000D2717" w:rsidRDefault="00B75820" w:rsidP="00B75820">
            <w:pPr>
              <w:pStyle w:val="Tabletext"/>
              <w:ind w:left="284" w:hanging="284"/>
              <w:rPr>
                <w:rFonts w:eastAsia="Calibri"/>
                <w:color w:val="000000"/>
                <w:lang w:val="es-ES"/>
              </w:rPr>
            </w:pPr>
            <w:r>
              <w:rPr>
                <w:rFonts w:eastAsia="Calibri"/>
                <w:bCs/>
                <w:color w:val="000000"/>
                <w:lang w:val="es-ES"/>
              </w:rPr>
              <w:t>1</w:t>
            </w:r>
            <w:r>
              <w:rPr>
                <w:rFonts w:eastAsia="Calibri"/>
                <w:bCs/>
                <w:color w:val="000000"/>
                <w:lang w:val="es-ES"/>
              </w:rPr>
              <w:tab/>
            </w:r>
            <w:r w:rsidR="00B20F1E" w:rsidRPr="00B75820">
              <w:rPr>
                <w:rFonts w:eastAsia="Calibri"/>
                <w:b/>
                <w:color w:val="000000"/>
                <w:lang w:val="es-ES"/>
              </w:rPr>
              <w:t>Apoyar</w:t>
            </w:r>
            <w:r w:rsidR="00B20F1E" w:rsidRPr="000D2717">
              <w:rPr>
                <w:rFonts w:eastAsia="Calibri"/>
                <w:color w:val="000000"/>
                <w:lang w:val="es-ES"/>
              </w:rPr>
              <w:t xml:space="preserve"> el reconocimiento y la protección de los sensores meteorológicos espaciales mediante </w:t>
            </w:r>
            <w:r w:rsidR="00B20F1E">
              <w:rPr>
                <w:rFonts w:eastAsia="Calibri"/>
                <w:color w:val="000000"/>
                <w:lang w:val="es-ES"/>
              </w:rPr>
              <w:t>la</w:t>
            </w:r>
            <w:r w:rsidR="00B20F1E" w:rsidRPr="000D2717">
              <w:rPr>
                <w:rFonts w:eastAsia="Calibri"/>
                <w:color w:val="000000"/>
                <w:lang w:val="es-ES"/>
              </w:rPr>
              <w:t xml:space="preserve"> posible modificación de los </w:t>
            </w:r>
            <w:r w:rsidR="00B20F1E">
              <w:rPr>
                <w:rFonts w:eastAsia="Calibri"/>
                <w:color w:val="000000"/>
                <w:lang w:val="es-ES"/>
              </w:rPr>
              <w:t>A</w:t>
            </w:r>
            <w:r w:rsidR="00B20F1E" w:rsidRPr="000D2717">
              <w:rPr>
                <w:rFonts w:eastAsia="Calibri"/>
                <w:color w:val="000000"/>
                <w:lang w:val="es-ES"/>
              </w:rPr>
              <w:t xml:space="preserve">rtículos </w:t>
            </w:r>
            <w:r w:rsidR="00B20F1E" w:rsidRPr="00B75820">
              <w:rPr>
                <w:rFonts w:eastAsia="Calibri"/>
                <w:b/>
                <w:bCs/>
                <w:color w:val="000000"/>
                <w:lang w:val="es-ES"/>
              </w:rPr>
              <w:t>1</w:t>
            </w:r>
            <w:r w:rsidR="00B20F1E" w:rsidRPr="000D2717">
              <w:rPr>
                <w:rFonts w:eastAsia="Calibri"/>
                <w:color w:val="000000"/>
                <w:lang w:val="es-ES"/>
              </w:rPr>
              <w:t xml:space="preserve"> y </w:t>
            </w:r>
            <w:r w:rsidR="00B20F1E" w:rsidRPr="00B75820">
              <w:rPr>
                <w:rFonts w:eastAsia="Calibri"/>
                <w:b/>
                <w:bCs/>
                <w:color w:val="000000"/>
                <w:lang w:val="es-ES"/>
              </w:rPr>
              <w:t>4</w:t>
            </w:r>
            <w:r w:rsidR="00B20F1E" w:rsidRPr="000D2717">
              <w:rPr>
                <w:rFonts w:eastAsia="Calibri"/>
                <w:color w:val="000000"/>
                <w:lang w:val="es-ES"/>
              </w:rPr>
              <w:t xml:space="preserve"> del RR, como se </w:t>
            </w:r>
            <w:r w:rsidR="00B20F1E">
              <w:rPr>
                <w:rFonts w:eastAsia="Calibri"/>
                <w:color w:val="000000"/>
                <w:lang w:val="es-ES"/>
              </w:rPr>
              <w:t>señala</w:t>
            </w:r>
            <w:r w:rsidR="00B20F1E" w:rsidRPr="000D2717">
              <w:rPr>
                <w:rFonts w:eastAsia="Calibri"/>
                <w:color w:val="000000"/>
                <w:lang w:val="es-ES"/>
              </w:rPr>
              <w:t xml:space="preserve"> en los puntos </w:t>
            </w:r>
            <w:r w:rsidR="00B20F1E" w:rsidRPr="00B75820">
              <w:rPr>
                <w:rFonts w:eastAsia="Calibri"/>
                <w:b/>
                <w:bCs/>
                <w:color w:val="000000"/>
                <w:lang w:val="es-ES"/>
              </w:rPr>
              <w:t>1.XXX</w:t>
            </w:r>
            <w:r w:rsidR="00B20F1E" w:rsidRPr="000D2717">
              <w:rPr>
                <w:rFonts w:eastAsia="Calibri"/>
                <w:color w:val="000000"/>
                <w:lang w:val="es-ES"/>
              </w:rPr>
              <w:t xml:space="preserve"> y </w:t>
            </w:r>
            <w:r w:rsidR="00B20F1E" w:rsidRPr="00B75820">
              <w:rPr>
                <w:rFonts w:eastAsia="Calibri"/>
                <w:b/>
                <w:bCs/>
                <w:color w:val="000000"/>
                <w:lang w:val="es-ES"/>
              </w:rPr>
              <w:t>4.XXX</w:t>
            </w:r>
            <w:r w:rsidR="00B20F1E" w:rsidRPr="000D2717">
              <w:rPr>
                <w:rFonts w:eastAsia="Calibri"/>
                <w:color w:val="000000"/>
                <w:lang w:val="es-ES"/>
              </w:rPr>
              <w:t xml:space="preserve"> anteriores. </w:t>
            </w:r>
          </w:p>
          <w:p w14:paraId="0D57D338" w14:textId="0F9CA06D" w:rsidR="00B20F1E" w:rsidRPr="000D2717" w:rsidRDefault="00B75820" w:rsidP="00B75820">
            <w:pPr>
              <w:pStyle w:val="Tabletext"/>
              <w:ind w:left="284" w:hanging="284"/>
              <w:rPr>
                <w:rFonts w:eastAsia="Calibri"/>
                <w:lang w:val="es-ES"/>
              </w:rPr>
            </w:pPr>
            <w:r>
              <w:rPr>
                <w:rFonts w:eastAsia="Calibri"/>
                <w:lang w:val="es-ES"/>
              </w:rPr>
              <w:t>2</w:t>
            </w:r>
            <w:r>
              <w:rPr>
                <w:rFonts w:eastAsia="Calibri"/>
                <w:lang w:val="es-ES"/>
              </w:rPr>
              <w:tab/>
            </w:r>
            <w:r w:rsidR="00B20F1E" w:rsidRPr="00B75820">
              <w:rPr>
                <w:rFonts w:eastAsia="Calibri"/>
                <w:b/>
                <w:bCs/>
                <w:lang w:val="es-ES"/>
              </w:rPr>
              <w:t>Apoyar</w:t>
            </w:r>
            <w:r w:rsidR="00B20F1E" w:rsidRPr="000D2717">
              <w:rPr>
                <w:rFonts w:eastAsia="Calibri"/>
                <w:lang w:val="es-ES"/>
              </w:rPr>
              <w:t xml:space="preserve"> el nuevo proyecto de </w:t>
            </w:r>
            <w:r w:rsidR="00B20F1E">
              <w:rPr>
                <w:rFonts w:eastAsia="Calibri"/>
                <w:lang w:val="es-ES"/>
              </w:rPr>
              <w:t>R</w:t>
            </w:r>
            <w:r w:rsidR="00B20F1E" w:rsidRPr="000D2717">
              <w:rPr>
                <w:rFonts w:eastAsia="Calibri"/>
                <w:lang w:val="es-ES"/>
              </w:rPr>
              <w:t xml:space="preserve">esolución de la CMR sobre la </w:t>
            </w:r>
            <w:r w:rsidR="00B20F1E" w:rsidRPr="00B75820">
              <w:rPr>
                <w:rFonts w:eastAsia="Calibri"/>
                <w:b/>
                <w:bCs/>
                <w:lang w:val="es-ES"/>
              </w:rPr>
              <w:t xml:space="preserve">importancia de la aplicación del servicio </w:t>
            </w:r>
            <w:proofErr w:type="spellStart"/>
            <w:r w:rsidR="00B20F1E" w:rsidRPr="00B75820">
              <w:rPr>
                <w:rFonts w:eastAsia="Calibri"/>
                <w:b/>
                <w:bCs/>
                <w:lang w:val="es-ES"/>
              </w:rPr>
              <w:t>MetAids</w:t>
            </w:r>
            <w:proofErr w:type="spellEnd"/>
            <w:r w:rsidR="00B20F1E" w:rsidRPr="000D2717">
              <w:rPr>
                <w:rFonts w:eastAsia="Calibri"/>
                <w:lang w:val="es-ES"/>
              </w:rPr>
              <w:t xml:space="preserve"> (meteorología espacial) para facilitar los estudios sobre la definición de las características técnicas y operativas, así como, la identificación de </w:t>
            </w:r>
            <w:r w:rsidR="00B20F1E">
              <w:rPr>
                <w:rFonts w:eastAsia="Calibri"/>
                <w:lang w:val="es-ES"/>
              </w:rPr>
              <w:t>las necesidades</w:t>
            </w:r>
            <w:r w:rsidR="00B20F1E" w:rsidRPr="000D2717">
              <w:rPr>
                <w:rFonts w:eastAsia="Calibri"/>
                <w:lang w:val="es-ES"/>
              </w:rPr>
              <w:t xml:space="preserve"> </w:t>
            </w:r>
            <w:r w:rsidR="00B20F1E">
              <w:rPr>
                <w:rFonts w:eastAsia="Calibri"/>
                <w:lang w:val="es-ES"/>
              </w:rPr>
              <w:t>de</w:t>
            </w:r>
            <w:r w:rsidR="00B20F1E" w:rsidRPr="000D2717">
              <w:rPr>
                <w:rFonts w:eastAsia="Calibri"/>
                <w:lang w:val="es-ES"/>
              </w:rPr>
              <w:t xml:space="preserve"> espectro</w:t>
            </w:r>
            <w:r w:rsidR="00B20F1E">
              <w:rPr>
                <w:rFonts w:eastAsia="Calibri"/>
                <w:lang w:val="es-ES"/>
              </w:rPr>
              <w:t>; ello</w:t>
            </w:r>
            <w:r w:rsidR="00B20F1E" w:rsidRPr="000D2717">
              <w:rPr>
                <w:rFonts w:eastAsia="Calibri"/>
                <w:lang w:val="es-ES"/>
              </w:rPr>
              <w:t xml:space="preserve"> podría facultar a la CMR-27 para </w:t>
            </w:r>
            <w:r w:rsidR="00B20F1E">
              <w:rPr>
                <w:rFonts w:eastAsia="Calibri"/>
                <w:lang w:val="es-ES"/>
              </w:rPr>
              <w:t>adoptar</w:t>
            </w:r>
            <w:r w:rsidR="00B20F1E" w:rsidRPr="000D2717">
              <w:rPr>
                <w:rFonts w:eastAsia="Calibri"/>
                <w:lang w:val="es-ES"/>
              </w:rPr>
              <w:t xml:space="preserve"> decisiones sobre este importante </w:t>
            </w:r>
            <w:r w:rsidR="00B20F1E">
              <w:rPr>
                <w:rFonts w:eastAsia="Calibri"/>
                <w:lang w:val="es-ES"/>
              </w:rPr>
              <w:t>aspecto</w:t>
            </w:r>
            <w:r w:rsidR="00B20F1E" w:rsidRPr="000D2717">
              <w:rPr>
                <w:rFonts w:eastAsia="Calibri"/>
                <w:lang w:val="es-ES"/>
              </w:rPr>
              <w:t xml:space="preserve"> </w:t>
            </w:r>
            <w:r w:rsidR="00B20F1E">
              <w:rPr>
                <w:rFonts w:eastAsia="Calibri"/>
                <w:lang w:val="es-ES"/>
              </w:rPr>
              <w:t>de los sistemas</w:t>
            </w:r>
            <w:r w:rsidR="00B20F1E" w:rsidRPr="000D2717">
              <w:rPr>
                <w:rFonts w:eastAsia="Calibri"/>
                <w:lang w:val="es-ES"/>
              </w:rPr>
              <w:t xml:space="preserve"> SWS;</w:t>
            </w:r>
          </w:p>
          <w:p w14:paraId="7D4EB36E" w14:textId="09FFB913" w:rsidR="00B20F1E" w:rsidRPr="000D2717" w:rsidRDefault="00B75820" w:rsidP="00B75820">
            <w:pPr>
              <w:pStyle w:val="Tabletext"/>
              <w:ind w:left="284" w:hanging="284"/>
              <w:rPr>
                <w:rFonts w:eastAsia="Calibri"/>
                <w:color w:val="000000"/>
                <w:lang w:val="es-ES"/>
              </w:rPr>
            </w:pPr>
            <w:r>
              <w:rPr>
                <w:rFonts w:eastAsia="Calibri"/>
                <w:lang w:val="es-ES"/>
              </w:rPr>
              <w:t>3</w:t>
            </w:r>
            <w:r>
              <w:rPr>
                <w:rFonts w:eastAsia="Calibri"/>
                <w:lang w:val="es-ES"/>
              </w:rPr>
              <w:tab/>
            </w:r>
            <w:r w:rsidR="00B20F1E" w:rsidRPr="00B75820">
              <w:rPr>
                <w:rFonts w:eastAsia="Calibri"/>
                <w:b/>
                <w:bCs/>
                <w:lang w:val="es-ES"/>
              </w:rPr>
              <w:t>Apoyar</w:t>
            </w:r>
            <w:r w:rsidR="00B20F1E" w:rsidRPr="000D2717">
              <w:rPr>
                <w:rFonts w:eastAsia="Calibri"/>
                <w:lang w:val="es-ES"/>
              </w:rPr>
              <w:t xml:space="preserve"> </w:t>
            </w:r>
            <w:r w:rsidR="00B20F1E" w:rsidRPr="000D2717">
              <w:rPr>
                <w:rFonts w:eastAsia="Calibri"/>
                <w:color w:val="000000"/>
                <w:lang w:val="es-ES"/>
              </w:rPr>
              <w:t xml:space="preserve">la </w:t>
            </w:r>
            <w:r w:rsidR="00B20F1E" w:rsidRPr="000D2717">
              <w:rPr>
                <w:rFonts w:eastAsia="Calibri"/>
                <w:lang w:val="es-ES"/>
              </w:rPr>
              <w:t xml:space="preserve">consecuente </w:t>
            </w:r>
            <w:r w:rsidR="00B20F1E" w:rsidRPr="000D2717">
              <w:rPr>
                <w:rFonts w:eastAsia="Calibri"/>
                <w:color w:val="000000"/>
                <w:lang w:val="es-ES"/>
              </w:rPr>
              <w:t xml:space="preserve">supresión de la Resolución </w:t>
            </w:r>
            <w:r w:rsidR="00B20F1E" w:rsidRPr="00B75820">
              <w:rPr>
                <w:rFonts w:eastAsia="Calibri"/>
                <w:b/>
                <w:bCs/>
                <w:color w:val="000000"/>
                <w:lang w:val="es-ES"/>
              </w:rPr>
              <w:t>657 (Rev.CMR-19) en la CMR-23</w:t>
            </w:r>
            <w:r w:rsidR="00B20F1E" w:rsidRPr="000D2717">
              <w:rPr>
                <w:rFonts w:eastAsia="Calibri"/>
                <w:color w:val="000000"/>
                <w:lang w:val="es-ES"/>
              </w:rPr>
              <w:t>.</w:t>
            </w:r>
          </w:p>
          <w:p w14:paraId="4F4671FF" w14:textId="77777777" w:rsidR="00B20F1E" w:rsidRPr="000D2717" w:rsidRDefault="00B20F1E" w:rsidP="00B75820">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5C9015AF" w14:textId="77777777" w:rsidR="00B20F1E" w:rsidRPr="00B75820" w:rsidRDefault="00B20F1E" w:rsidP="00B75820">
            <w:pPr>
              <w:pStyle w:val="Tabletext"/>
              <w:rPr>
                <w:rFonts w:eastAsia="Calibri"/>
                <w:b/>
                <w:bCs/>
                <w:color w:val="000000"/>
                <w:lang w:val="es-ES"/>
              </w:rPr>
            </w:pPr>
            <w:r w:rsidRPr="00B75820">
              <w:rPr>
                <w:rFonts w:eastAsia="Calibri"/>
                <w:b/>
                <w:bCs/>
                <w:i/>
                <w:color w:val="000000"/>
                <w:lang w:val="es-ES"/>
              </w:rPr>
              <w:t xml:space="preserve">Solicitar a las administraciones de las UAT que: </w:t>
            </w:r>
          </w:p>
          <w:p w14:paraId="1E9CB072" w14:textId="77777777" w:rsidR="00B20F1E" w:rsidRPr="000D2717" w:rsidRDefault="00B20F1E" w:rsidP="00B75820">
            <w:pPr>
              <w:pStyle w:val="Tabletext"/>
              <w:rPr>
                <w:rFonts w:eastAsia="Calibri"/>
                <w:i/>
                <w:lang w:val="es-ES"/>
              </w:rPr>
            </w:pPr>
            <w:r w:rsidRPr="00B75820">
              <w:rPr>
                <w:rFonts w:eastAsia="Calibri"/>
                <w:b/>
                <w:bCs/>
                <w:lang w:val="es-ES"/>
              </w:rPr>
              <w:t>Apoyen</w:t>
            </w:r>
            <w:r w:rsidRPr="000D2717">
              <w:rPr>
                <w:rFonts w:eastAsia="Calibri"/>
                <w:lang w:val="es-ES"/>
              </w:rPr>
              <w:t xml:space="preserve"> la</w:t>
            </w:r>
            <w:r>
              <w:rPr>
                <w:rFonts w:eastAsia="Calibri"/>
                <w:lang w:val="es-ES"/>
              </w:rPr>
              <w:t xml:space="preserve"> </w:t>
            </w:r>
            <w:r w:rsidRPr="00DB5622">
              <w:rPr>
                <w:rFonts w:eastAsia="Calibri"/>
                <w:lang w:val="es-ES"/>
              </w:rPr>
              <w:t xml:space="preserve">AFCP </w:t>
            </w:r>
            <w:r w:rsidRPr="000D2717">
              <w:rPr>
                <w:rFonts w:eastAsia="Calibri"/>
                <w:lang w:val="es-ES"/>
              </w:rPr>
              <w:t>(</w:t>
            </w:r>
            <w:r>
              <w:rPr>
                <w:rFonts w:eastAsia="Calibri"/>
                <w:lang w:val="es-ES"/>
              </w:rPr>
              <w:t>con arreglo a lo señalado</w:t>
            </w:r>
            <w:r w:rsidRPr="000D2717">
              <w:rPr>
                <w:rFonts w:eastAsia="Calibri"/>
                <w:lang w:val="es-ES"/>
              </w:rPr>
              <w:t xml:space="preserve"> anteriormente), </w:t>
            </w:r>
            <w:r>
              <w:rPr>
                <w:rFonts w:eastAsia="Calibri"/>
                <w:lang w:val="es-ES"/>
              </w:rPr>
              <w:t>habida cuenta de la importancia que reviste el tema en el marco de la</w:t>
            </w:r>
            <w:r w:rsidRPr="000D2717">
              <w:rPr>
                <w:rFonts w:eastAsia="Calibri"/>
                <w:lang w:val="es-ES"/>
              </w:rPr>
              <w:t xml:space="preserve"> agenda</w:t>
            </w:r>
            <w:r>
              <w:rPr>
                <w:rFonts w:eastAsia="Calibri"/>
                <w:lang w:val="es-ES"/>
              </w:rPr>
              <w:t xml:space="preserve"> internacional</w:t>
            </w:r>
            <w:r w:rsidRPr="000D2717">
              <w:rPr>
                <w:rFonts w:eastAsia="Calibri"/>
                <w:lang w:val="es-ES"/>
              </w:rPr>
              <w:t xml:space="preserve"> sobre cambio climático.</w:t>
            </w:r>
          </w:p>
        </w:tc>
      </w:tr>
      <w:tr w:rsidR="00B20F1E" w:rsidRPr="00B707C8" w14:paraId="6C9A5770" w14:textId="77777777" w:rsidTr="00DB48C6">
        <w:trPr>
          <w:jc w:val="center"/>
        </w:trPr>
        <w:tc>
          <w:tcPr>
            <w:tcW w:w="3114" w:type="dxa"/>
          </w:tcPr>
          <w:p w14:paraId="689289E5" w14:textId="77777777" w:rsidR="00B20F1E" w:rsidRPr="00B75820" w:rsidRDefault="00B20F1E" w:rsidP="00B75820">
            <w:pPr>
              <w:pStyle w:val="Tabletext"/>
              <w:rPr>
                <w:rFonts w:eastAsia="Calibri"/>
                <w:b/>
                <w:bCs/>
                <w:lang w:val="es-ES"/>
              </w:rPr>
            </w:pPr>
            <w:r w:rsidRPr="00B75820">
              <w:rPr>
                <w:rFonts w:eastAsia="Calibri"/>
                <w:b/>
                <w:bCs/>
                <w:lang w:val="es-ES"/>
              </w:rPr>
              <w:t>Punto 9.1, Tema D</w:t>
            </w:r>
          </w:p>
          <w:p w14:paraId="58C0F6EC" w14:textId="77777777" w:rsidR="00B20F1E" w:rsidRPr="000D2717" w:rsidRDefault="00B20F1E" w:rsidP="00B75820">
            <w:pPr>
              <w:pStyle w:val="Tabletext"/>
              <w:rPr>
                <w:rFonts w:eastAsia="Calibri"/>
                <w:lang w:val="es-ES"/>
              </w:rPr>
            </w:pPr>
            <w:r w:rsidRPr="000D2717">
              <w:rPr>
                <w:rFonts w:eastAsia="Calibri"/>
                <w:lang w:val="es-ES"/>
              </w:rPr>
              <w:t xml:space="preserve">Protección del SETS (pasivo) en la banda de frecuencias 36-37 GHz </w:t>
            </w:r>
            <w:r>
              <w:rPr>
                <w:rFonts w:eastAsia="Calibri"/>
                <w:lang w:val="es-ES"/>
              </w:rPr>
              <w:t>contra las</w:t>
            </w:r>
            <w:r w:rsidRPr="000D2717">
              <w:rPr>
                <w:rFonts w:eastAsia="Calibri"/>
                <w:lang w:val="es-ES"/>
              </w:rPr>
              <w:t xml:space="preserve"> estaciones espaciales del SFS no OSG;</w:t>
            </w:r>
          </w:p>
        </w:tc>
        <w:tc>
          <w:tcPr>
            <w:tcW w:w="6151" w:type="dxa"/>
          </w:tcPr>
          <w:p w14:paraId="7DCDA8AD" w14:textId="77777777" w:rsidR="00B20F1E" w:rsidRPr="000D2717" w:rsidRDefault="00B20F1E" w:rsidP="00B75820">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55CCF918" w14:textId="77777777" w:rsidR="00B20F1E" w:rsidRPr="000D2717" w:rsidRDefault="00B20F1E" w:rsidP="00B75820">
            <w:pPr>
              <w:pStyle w:val="Tabletext"/>
              <w:rPr>
                <w:rFonts w:eastAsia="Calibri"/>
                <w:lang w:val="es-ES"/>
              </w:rPr>
            </w:pPr>
            <w:r w:rsidRPr="00B75820">
              <w:rPr>
                <w:rFonts w:eastAsia="Calibri"/>
                <w:b/>
                <w:bCs/>
                <w:lang w:val="es-ES"/>
              </w:rPr>
              <w:t>Apoyar</w:t>
            </w:r>
            <w:r w:rsidRPr="000D2717">
              <w:rPr>
                <w:rFonts w:eastAsia="Calibri"/>
                <w:lang w:val="es-ES"/>
              </w:rPr>
              <w:t xml:space="preserve"> </w:t>
            </w:r>
            <w:r w:rsidRPr="000C1F67">
              <w:rPr>
                <w:rFonts w:eastAsia="Calibri"/>
                <w:bCs/>
                <w:lang w:val="es-ES"/>
              </w:rPr>
              <w:t>los</w:t>
            </w:r>
            <w:r w:rsidRPr="000D2717">
              <w:rPr>
                <w:rFonts w:eastAsia="Calibri"/>
                <w:lang w:val="es-ES"/>
              </w:rPr>
              <w:t xml:space="preserve"> estudios del UIT-R relacionados con la protección de los sensores </w:t>
            </w:r>
            <w:r>
              <w:rPr>
                <w:rFonts w:eastAsia="Calibri"/>
                <w:lang w:val="es-ES"/>
              </w:rPr>
              <w:t xml:space="preserve">del SETS </w:t>
            </w:r>
            <w:r w:rsidRPr="000D2717">
              <w:rPr>
                <w:rFonts w:eastAsia="Calibri"/>
                <w:lang w:val="es-ES"/>
              </w:rPr>
              <w:t xml:space="preserve">(pasivo) que funcionan en la banda 36-37 GHz contra los sistemas </w:t>
            </w:r>
            <w:r>
              <w:rPr>
                <w:rFonts w:eastAsia="Calibri"/>
                <w:lang w:val="es-ES"/>
              </w:rPr>
              <w:t xml:space="preserve">del </w:t>
            </w:r>
            <w:r w:rsidRPr="000D2717">
              <w:rPr>
                <w:rFonts w:eastAsia="Calibri"/>
                <w:lang w:val="es-ES"/>
              </w:rPr>
              <w:t xml:space="preserve">SFS no OSG en la banda 37,5-38 GHz, </w:t>
            </w:r>
            <w:r>
              <w:rPr>
                <w:rFonts w:eastAsia="Calibri"/>
                <w:lang w:val="es-ES"/>
              </w:rPr>
              <w:t>habida cuenta de</w:t>
            </w:r>
            <w:r w:rsidRPr="000D2717">
              <w:rPr>
                <w:rFonts w:eastAsia="Calibri"/>
                <w:lang w:val="es-ES"/>
              </w:rPr>
              <w:t xml:space="preserve"> los aspectos operativos de los sistemas </w:t>
            </w:r>
            <w:r>
              <w:rPr>
                <w:rFonts w:eastAsia="Calibri"/>
                <w:lang w:val="es-ES"/>
              </w:rPr>
              <w:t xml:space="preserve">del </w:t>
            </w:r>
            <w:r w:rsidRPr="000D2717">
              <w:rPr>
                <w:rFonts w:eastAsia="Calibri"/>
                <w:lang w:val="es-ES"/>
              </w:rPr>
              <w:t xml:space="preserve">SFS no OSG, y </w:t>
            </w:r>
            <w:r>
              <w:rPr>
                <w:rFonts w:eastAsia="Calibri"/>
                <w:lang w:val="es-ES"/>
              </w:rPr>
              <w:t>formular</w:t>
            </w:r>
            <w:r w:rsidRPr="000D2717">
              <w:rPr>
                <w:rFonts w:eastAsia="Calibri"/>
                <w:lang w:val="es-ES"/>
              </w:rPr>
              <w:t xml:space="preserve"> recomendaciones y/o informes, según proceda.</w:t>
            </w:r>
          </w:p>
          <w:p w14:paraId="337CFE7D" w14:textId="77777777" w:rsidR="00B20F1E" w:rsidRPr="000D2717" w:rsidRDefault="00B20F1E" w:rsidP="00B75820">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5D3BC30C" w14:textId="4E29D0B7" w:rsidR="00B20F1E" w:rsidRPr="00B75820" w:rsidRDefault="00B20F1E" w:rsidP="00B75820">
            <w:pPr>
              <w:pStyle w:val="Tabletext"/>
              <w:rPr>
                <w:rFonts w:eastAsia="Calibri"/>
                <w:b/>
                <w:bCs/>
                <w:i/>
                <w:iCs/>
                <w:lang w:val="es-ES"/>
              </w:rPr>
            </w:pPr>
            <w:r w:rsidRPr="00B75820">
              <w:rPr>
                <w:rFonts w:eastAsia="Calibri"/>
                <w:b/>
                <w:bCs/>
                <w:i/>
                <w:iCs/>
                <w:lang w:val="es-ES"/>
              </w:rPr>
              <w:t>Solicitar a las administraciones de la UAT que:</w:t>
            </w:r>
          </w:p>
          <w:p w14:paraId="58B681B1" w14:textId="77777777" w:rsidR="00B20F1E" w:rsidRPr="000D2717" w:rsidRDefault="00B20F1E" w:rsidP="00B75820">
            <w:pPr>
              <w:pStyle w:val="Tabletext"/>
              <w:rPr>
                <w:rFonts w:eastAsia="Calibri"/>
                <w:lang w:val="es-ES"/>
              </w:rPr>
            </w:pPr>
            <w:r w:rsidRPr="00B75820">
              <w:rPr>
                <w:rFonts w:eastAsia="Calibri"/>
                <w:b/>
                <w:bCs/>
                <w:lang w:val="es-ES"/>
              </w:rPr>
              <w:t>Sigan participando de forma significativa</w:t>
            </w:r>
            <w:r w:rsidRPr="000D2717">
              <w:rPr>
                <w:rFonts w:eastAsia="Calibri"/>
                <w:lang w:val="es-ES"/>
              </w:rPr>
              <w:t xml:space="preserve"> en los estudios del UIT-R relacionados con </w:t>
            </w:r>
            <w:r>
              <w:rPr>
                <w:rFonts w:eastAsia="Calibri"/>
                <w:lang w:val="es-ES"/>
              </w:rPr>
              <w:t>este tema</w:t>
            </w:r>
            <w:r w:rsidRPr="000D2717">
              <w:rPr>
                <w:rFonts w:eastAsia="Calibri"/>
                <w:lang w:val="es-ES"/>
              </w:rPr>
              <w:t xml:space="preserve"> para garantizar que se tengan en cuenta las opiniones africanas.</w:t>
            </w:r>
          </w:p>
        </w:tc>
      </w:tr>
    </w:tbl>
    <w:p w14:paraId="7819525A" w14:textId="77777777" w:rsidR="00B20F1E" w:rsidRPr="000D2717" w:rsidRDefault="00B20F1E" w:rsidP="00B20F1E">
      <w:pPr>
        <w:pStyle w:val="Heading2"/>
        <w:keepLines w:val="0"/>
        <w:tabs>
          <w:tab w:val="clear" w:pos="1134"/>
          <w:tab w:val="clear" w:pos="1871"/>
          <w:tab w:val="clear" w:pos="2268"/>
        </w:tabs>
        <w:overflowPunct/>
        <w:autoSpaceDE/>
        <w:autoSpaceDN/>
        <w:adjustRightInd/>
        <w:spacing w:before="120" w:after="120"/>
        <w:jc w:val="both"/>
        <w:textAlignment w:val="auto"/>
        <w:rPr>
          <w:lang w:val="es-ES"/>
        </w:rPr>
      </w:pPr>
      <w:bookmarkStart w:id="12" w:name="_heading=h.2jxsxqh" w:colFirst="0" w:colLast="0"/>
      <w:bookmarkEnd w:id="12"/>
    </w:p>
    <w:p w14:paraId="7E7951D5" w14:textId="77777777" w:rsidR="00B20F1E" w:rsidRPr="000D2717" w:rsidRDefault="00B20F1E" w:rsidP="00B20F1E">
      <w:pPr>
        <w:overflowPunct/>
        <w:autoSpaceDE/>
        <w:autoSpaceDN/>
        <w:adjustRightInd/>
        <w:textAlignment w:val="auto"/>
        <w:rPr>
          <w:b/>
          <w:lang w:val="es-ES"/>
        </w:rPr>
      </w:pPr>
      <w:r w:rsidRPr="000D2717">
        <w:rPr>
          <w:lang w:val="es-ES"/>
        </w:rPr>
        <w:br w:type="page"/>
      </w:r>
    </w:p>
    <w:p w14:paraId="0F45646C" w14:textId="77777777" w:rsidR="00B20F1E" w:rsidRPr="000D2717" w:rsidRDefault="00B20F1E" w:rsidP="00B20F1E">
      <w:pPr>
        <w:pStyle w:val="Tabletitle"/>
        <w:rPr>
          <w:lang w:val="es-ES"/>
        </w:rPr>
      </w:pPr>
      <w:r w:rsidRPr="000D2717">
        <w:rPr>
          <w:lang w:val="es-ES"/>
        </w:rPr>
        <w:lastRenderedPageBreak/>
        <w:t>Puntos del orden del día</w:t>
      </w:r>
      <w:r w:rsidRPr="000B6F4A">
        <w:rPr>
          <w:lang w:val="es-ES"/>
        </w:rPr>
        <w:t xml:space="preserve"> </w:t>
      </w:r>
      <w:r>
        <w:rPr>
          <w:lang w:val="es-ES"/>
        </w:rPr>
        <w:t xml:space="preserve">del </w:t>
      </w:r>
      <w:r w:rsidRPr="000D2717">
        <w:rPr>
          <w:lang w:val="es-ES"/>
        </w:rPr>
        <w:t xml:space="preserve">Capítulo 4: Temas </w:t>
      </w:r>
      <w:r>
        <w:rPr>
          <w:lang w:val="es-ES"/>
        </w:rPr>
        <w:t>sobre s</w:t>
      </w:r>
      <w:r w:rsidRPr="000D2717">
        <w:rPr>
          <w:lang w:val="es-ES"/>
        </w:rPr>
        <w:t>atélite</w:t>
      </w:r>
      <w:r>
        <w:rPr>
          <w:lang w:val="es-ES"/>
        </w:rPr>
        <w:t>s</w:t>
      </w:r>
      <w:r w:rsidRPr="000D2717">
        <w:rPr>
          <w:lang w:val="es-ES"/>
        </w:rPr>
        <w:br/>
        <w:t>(Puntos 1.15, 1.16, 1.17, 1.18, 1.19 y 7</w:t>
      </w:r>
      <w:r>
        <w:rPr>
          <w:lang w:val="es-ES"/>
        </w:rPr>
        <w:t>,</w:t>
      </w:r>
      <w:r w:rsidRPr="000D2717">
        <w:rPr>
          <w:lang w:val="es-ES"/>
        </w:rPr>
        <w:t xml:space="preserve"> Temas A </w:t>
      </w:r>
      <w:proofErr w:type="spellStart"/>
      <w:r w:rsidRPr="000D2717">
        <w:rPr>
          <w:lang w:val="es-ES"/>
        </w:rPr>
        <w:t>a</w:t>
      </w:r>
      <w:proofErr w:type="spellEnd"/>
      <w:r w:rsidRPr="000D2717">
        <w:rPr>
          <w:lang w:val="es-ES"/>
        </w:rPr>
        <w:t xml:space="preserve"> K</w:t>
      </w:r>
      <w:r>
        <w:rPr>
          <w:lang w:val="es-ES"/>
        </w:rPr>
        <w:t>,</w:t>
      </w:r>
      <w:r w:rsidRPr="000D2717">
        <w:rPr>
          <w:lang w:val="es-ES"/>
        </w:rPr>
        <w:t xml:space="preserve"> del orden del día)</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718"/>
      </w:tblGrid>
      <w:tr w:rsidR="00B20F1E" w:rsidRPr="00B707C8" w14:paraId="45EB4870" w14:textId="77777777" w:rsidTr="00DB48C6">
        <w:trPr>
          <w:jc w:val="center"/>
        </w:trPr>
        <w:tc>
          <w:tcPr>
            <w:tcW w:w="2547" w:type="dxa"/>
            <w:vAlign w:val="center"/>
          </w:tcPr>
          <w:p w14:paraId="742A4970" w14:textId="77777777" w:rsidR="00B20F1E" w:rsidRPr="000D2717" w:rsidRDefault="00B20F1E" w:rsidP="00B75820">
            <w:pPr>
              <w:pStyle w:val="Tablehead"/>
              <w:rPr>
                <w:rFonts w:eastAsia="Calibri"/>
                <w:lang w:val="es-ES"/>
              </w:rPr>
            </w:pPr>
            <w:r w:rsidRPr="000D2717">
              <w:rPr>
                <w:rFonts w:eastAsia="Calibri"/>
                <w:lang w:val="es-ES"/>
              </w:rPr>
              <w:t xml:space="preserve">Punto del orden del día </w:t>
            </w:r>
          </w:p>
        </w:tc>
        <w:tc>
          <w:tcPr>
            <w:tcW w:w="6718" w:type="dxa"/>
            <w:vAlign w:val="center"/>
          </w:tcPr>
          <w:p w14:paraId="15505576" w14:textId="77777777" w:rsidR="00B20F1E" w:rsidRPr="000D2717" w:rsidRDefault="00B20F1E" w:rsidP="00B75820">
            <w:pPr>
              <w:pStyle w:val="Tablehead"/>
              <w:rPr>
                <w:rFonts w:eastAsia="Calibri"/>
                <w:lang w:val="es-ES"/>
              </w:rPr>
            </w:pPr>
            <w:r w:rsidRPr="000D2717">
              <w:rPr>
                <w:rFonts w:eastAsia="Calibri"/>
                <w:lang w:val="es-ES"/>
              </w:rPr>
              <w:t xml:space="preserve">Resultados </w:t>
            </w:r>
            <w:r>
              <w:rPr>
                <w:rFonts w:eastAsia="Calibri"/>
                <w:lang w:val="es-ES"/>
              </w:rPr>
              <w:t>de la RPU23-4</w:t>
            </w:r>
            <w:r w:rsidRPr="000D2717">
              <w:rPr>
                <w:rFonts w:eastAsia="Calibri"/>
                <w:lang w:val="es-ES"/>
              </w:rPr>
              <w:t xml:space="preserve"> (</w:t>
            </w:r>
            <w:r>
              <w:rPr>
                <w:rFonts w:eastAsia="Calibri"/>
                <w:lang w:val="es-ES"/>
              </w:rPr>
              <w:t>AFCP</w:t>
            </w:r>
            <w:r w:rsidRPr="000D2717">
              <w:rPr>
                <w:rFonts w:eastAsia="Calibri"/>
                <w:lang w:val="es-ES"/>
              </w:rPr>
              <w:t>)</w:t>
            </w:r>
          </w:p>
        </w:tc>
      </w:tr>
      <w:tr w:rsidR="00B20F1E" w:rsidRPr="00B707C8" w14:paraId="7F1EBE59" w14:textId="77777777" w:rsidTr="00DB48C6">
        <w:trPr>
          <w:jc w:val="center"/>
        </w:trPr>
        <w:tc>
          <w:tcPr>
            <w:tcW w:w="2547" w:type="dxa"/>
          </w:tcPr>
          <w:p w14:paraId="6E46CFD8" w14:textId="77777777" w:rsidR="00B20F1E" w:rsidRPr="00B75820" w:rsidRDefault="00B20F1E" w:rsidP="00B75820">
            <w:pPr>
              <w:pStyle w:val="Tabletext"/>
              <w:rPr>
                <w:rFonts w:eastAsia="Calibri"/>
                <w:b/>
                <w:bCs/>
                <w:lang w:val="es-ES"/>
              </w:rPr>
            </w:pPr>
            <w:r w:rsidRPr="00B75820">
              <w:rPr>
                <w:rFonts w:eastAsia="Calibri"/>
                <w:b/>
                <w:bCs/>
                <w:lang w:val="es-ES"/>
              </w:rPr>
              <w:t>Punto 1.15</w:t>
            </w:r>
          </w:p>
          <w:p w14:paraId="2DA08589" w14:textId="3C7B2632" w:rsidR="00B20F1E" w:rsidRPr="000D2717" w:rsidRDefault="00193D1C" w:rsidP="00B75820">
            <w:pPr>
              <w:pStyle w:val="Tabletext"/>
              <w:rPr>
                <w:rFonts w:eastAsia="Calibri"/>
                <w:lang w:val="es-ES"/>
              </w:rPr>
            </w:pPr>
            <w:r>
              <w:rPr>
                <w:rFonts w:eastAsia="Calibri"/>
                <w:i/>
                <w:lang w:val="es-ES"/>
              </w:rPr>
              <w:t>A</w:t>
            </w:r>
            <w:r w:rsidR="00B20F1E" w:rsidRPr="00950AD0">
              <w:rPr>
                <w:rFonts w:eastAsia="Calibri"/>
                <w:i/>
                <w:lang w:val="es-ES"/>
              </w:rPr>
              <w:t xml:space="preserve">rmonizar a escala mundial la utilización de la banda de frecuencias 12,75 13,25 GHz (Tierra-espacio) por las estaciones terrenas a bordo de aeronaves y barcos que se comunican con estaciones espaciales geoestacionarias del servicio fijo por satélite, de conformidad con la Resolución </w:t>
            </w:r>
            <w:r w:rsidR="00B20F1E" w:rsidRPr="00B75820">
              <w:rPr>
                <w:rFonts w:eastAsia="Calibri"/>
                <w:b/>
                <w:i/>
                <w:lang w:val="es-ES"/>
              </w:rPr>
              <w:t>172 (CMR-19)</w:t>
            </w:r>
          </w:p>
        </w:tc>
        <w:tc>
          <w:tcPr>
            <w:tcW w:w="6718" w:type="dxa"/>
          </w:tcPr>
          <w:p w14:paraId="022F9A30" w14:textId="77777777" w:rsidR="00B20F1E" w:rsidRPr="000D2717" w:rsidRDefault="00B20F1E" w:rsidP="00B75820">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773AC680" w14:textId="77777777" w:rsidR="00B20F1E" w:rsidRPr="00B75820" w:rsidRDefault="00B20F1E" w:rsidP="00B75820">
            <w:pPr>
              <w:pStyle w:val="Tabletext"/>
              <w:rPr>
                <w:rFonts w:eastAsia="Calibri"/>
                <w:b/>
                <w:bCs/>
                <w:i/>
                <w:color w:val="000000"/>
                <w:lang w:val="es-ES"/>
              </w:rPr>
            </w:pPr>
            <w:r w:rsidRPr="00B75820">
              <w:rPr>
                <w:rFonts w:eastAsia="Calibri"/>
                <w:b/>
                <w:bCs/>
                <w:i/>
                <w:lang w:val="es-ES"/>
              </w:rPr>
              <w:t xml:space="preserve">La RPU23-4 acordó apoyar </w:t>
            </w:r>
            <w:r w:rsidRPr="00B75820">
              <w:rPr>
                <w:rFonts w:eastAsia="Calibri"/>
                <w:b/>
                <w:bCs/>
                <w:i/>
                <w:u w:val="single"/>
                <w:lang w:val="es-ES"/>
              </w:rPr>
              <w:t xml:space="preserve">el método B </w:t>
            </w:r>
            <w:r w:rsidRPr="00B75820">
              <w:rPr>
                <w:rFonts w:eastAsia="Calibri"/>
                <w:b/>
                <w:bCs/>
                <w:i/>
                <w:lang w:val="es-ES"/>
              </w:rPr>
              <w:t>si se dan las siguientes condiciones:</w:t>
            </w:r>
          </w:p>
          <w:p w14:paraId="24DE1D02" w14:textId="7CF29B43" w:rsidR="00B20F1E" w:rsidRPr="000D2717" w:rsidRDefault="00B20F1E" w:rsidP="00B75820">
            <w:pPr>
              <w:pStyle w:val="Tabletext"/>
              <w:ind w:left="284" w:hanging="284"/>
              <w:rPr>
                <w:rFonts w:eastAsia="Calibri"/>
                <w:color w:val="000000"/>
                <w:lang w:val="es-ES"/>
              </w:rPr>
            </w:pPr>
            <w:r w:rsidRPr="000D2717">
              <w:rPr>
                <w:rFonts w:eastAsia="Calibri"/>
                <w:bCs/>
                <w:iCs/>
                <w:color w:val="000000"/>
                <w:lang w:val="es-ES"/>
              </w:rPr>
              <w:t>1</w:t>
            </w:r>
            <w:r w:rsidRPr="000D2717">
              <w:rPr>
                <w:rFonts w:eastAsia="Calibri"/>
                <w:iCs/>
                <w:color w:val="000000"/>
                <w:lang w:val="es-ES"/>
              </w:rPr>
              <w:tab/>
            </w:r>
            <w:r w:rsidRPr="00B75820">
              <w:rPr>
                <w:rFonts w:eastAsia="Calibri"/>
                <w:b/>
                <w:bCs/>
                <w:color w:val="000000"/>
                <w:lang w:val="es-ES"/>
              </w:rPr>
              <w:t>Garantizar</w:t>
            </w:r>
            <w:r w:rsidRPr="000D2717">
              <w:rPr>
                <w:rFonts w:eastAsia="Calibri"/>
                <w:color w:val="000000"/>
                <w:lang w:val="es-ES"/>
              </w:rPr>
              <w:t xml:space="preserve"> la protección de los servicios existentes y los de bandas adyacentes </w:t>
            </w:r>
            <w:r>
              <w:rPr>
                <w:rFonts w:eastAsia="Calibri"/>
                <w:color w:val="000000"/>
                <w:lang w:val="es-ES"/>
              </w:rPr>
              <w:t>para</w:t>
            </w:r>
            <w:r w:rsidRPr="000D2717">
              <w:rPr>
                <w:rFonts w:eastAsia="Calibri"/>
                <w:color w:val="000000"/>
                <w:lang w:val="es-ES"/>
              </w:rPr>
              <w:t xml:space="preserve"> la banda de frecuencias 13,25-13,75 GHz, </w:t>
            </w:r>
            <w:r>
              <w:rPr>
                <w:rFonts w:eastAsia="Calibri"/>
                <w:color w:val="000000"/>
                <w:lang w:val="es-ES"/>
              </w:rPr>
              <w:t>habida cuenta de</w:t>
            </w:r>
            <w:r w:rsidRPr="000D2717">
              <w:rPr>
                <w:rFonts w:eastAsia="Calibri"/>
                <w:color w:val="000000"/>
                <w:lang w:val="es-ES"/>
              </w:rPr>
              <w:t xml:space="preserve"> la necesidad de </w:t>
            </w:r>
            <w:r>
              <w:rPr>
                <w:rFonts w:eastAsia="Calibri"/>
                <w:color w:val="000000"/>
                <w:lang w:val="es-ES"/>
              </w:rPr>
              <w:t>protección con arreglo al</w:t>
            </w:r>
            <w:r w:rsidRPr="000D2717">
              <w:rPr>
                <w:rFonts w:eastAsia="Calibri"/>
                <w:color w:val="000000"/>
                <w:lang w:val="es-ES"/>
              </w:rPr>
              <w:t xml:space="preserve"> Apéndice </w:t>
            </w:r>
            <w:r w:rsidRPr="007D7EC9">
              <w:rPr>
                <w:rFonts w:eastAsia="Calibri"/>
                <w:b/>
                <w:bCs/>
                <w:color w:val="000000"/>
                <w:lang w:val="es-ES"/>
              </w:rPr>
              <w:t>30B</w:t>
            </w:r>
            <w:r>
              <w:rPr>
                <w:rFonts w:eastAsia="Calibri"/>
                <w:color w:val="000000"/>
                <w:lang w:val="es-ES"/>
              </w:rPr>
              <w:t xml:space="preserve"> </w:t>
            </w:r>
            <w:r w:rsidRPr="000D2717">
              <w:rPr>
                <w:rFonts w:eastAsia="Calibri"/>
                <w:color w:val="000000"/>
                <w:lang w:val="es-ES"/>
              </w:rPr>
              <w:t xml:space="preserve">y </w:t>
            </w:r>
            <w:r>
              <w:rPr>
                <w:rFonts w:eastAsia="Calibri"/>
                <w:color w:val="000000"/>
                <w:lang w:val="es-ES"/>
              </w:rPr>
              <w:t xml:space="preserve">de que </w:t>
            </w:r>
            <w:r w:rsidRPr="000D2717">
              <w:rPr>
                <w:rFonts w:eastAsia="Calibri"/>
                <w:color w:val="000000"/>
                <w:lang w:val="es-ES"/>
              </w:rPr>
              <w:t xml:space="preserve">el funcionamiento de </w:t>
            </w:r>
            <w:r>
              <w:rPr>
                <w:rFonts w:eastAsia="Calibri"/>
                <w:color w:val="000000"/>
                <w:lang w:val="es-ES"/>
              </w:rPr>
              <w:t>las</w:t>
            </w:r>
            <w:r w:rsidRPr="000D2717">
              <w:rPr>
                <w:rFonts w:eastAsia="Calibri"/>
                <w:color w:val="000000"/>
                <w:lang w:val="es-ES"/>
              </w:rPr>
              <w:t xml:space="preserve"> estaciones terrenas en aeronaves y </w:t>
            </w:r>
            <w:r>
              <w:rPr>
                <w:rFonts w:eastAsia="Calibri"/>
                <w:color w:val="000000"/>
                <w:lang w:val="es-ES"/>
              </w:rPr>
              <w:t>barcos</w:t>
            </w:r>
            <w:r w:rsidRPr="000D2717">
              <w:rPr>
                <w:rFonts w:eastAsia="Calibri"/>
                <w:color w:val="000000"/>
                <w:lang w:val="es-ES"/>
              </w:rPr>
              <w:t xml:space="preserve"> no </w:t>
            </w:r>
            <w:r>
              <w:rPr>
                <w:rFonts w:eastAsia="Calibri"/>
                <w:color w:val="000000"/>
                <w:lang w:val="es-ES"/>
              </w:rPr>
              <w:t>afecte</w:t>
            </w:r>
            <w:r w:rsidRPr="000D2717">
              <w:rPr>
                <w:rFonts w:eastAsia="Calibri"/>
                <w:color w:val="000000"/>
                <w:lang w:val="es-ES"/>
              </w:rPr>
              <w:t xml:space="preserve"> a la </w:t>
            </w:r>
            <w:r>
              <w:rPr>
                <w:rFonts w:eastAsia="Calibri"/>
                <w:color w:val="000000"/>
                <w:lang w:val="es-ES"/>
              </w:rPr>
              <w:t>utilización</w:t>
            </w:r>
            <w:r w:rsidRPr="000D2717">
              <w:rPr>
                <w:rFonts w:eastAsia="Calibri"/>
                <w:color w:val="000000"/>
                <w:lang w:val="es-ES"/>
              </w:rPr>
              <w:t xml:space="preserve"> de las adjudicaciones del Plan </w:t>
            </w:r>
            <w:r>
              <w:rPr>
                <w:rFonts w:eastAsia="Calibri"/>
                <w:color w:val="000000"/>
                <w:lang w:val="es-ES"/>
              </w:rPr>
              <w:t>ni a</w:t>
            </w:r>
            <w:r w:rsidRPr="000D2717">
              <w:rPr>
                <w:rFonts w:eastAsia="Calibri"/>
                <w:color w:val="000000"/>
                <w:lang w:val="es-ES"/>
              </w:rPr>
              <w:t xml:space="preserve"> las asignaciones de la Lista </w:t>
            </w:r>
            <w:r>
              <w:rPr>
                <w:rFonts w:eastAsia="Calibri"/>
                <w:color w:val="000000"/>
                <w:lang w:val="es-ES"/>
              </w:rPr>
              <w:t>con arreglo al</w:t>
            </w:r>
            <w:r w:rsidRPr="000D2717">
              <w:rPr>
                <w:rFonts w:eastAsia="Calibri"/>
                <w:color w:val="000000"/>
                <w:lang w:val="es-ES"/>
              </w:rPr>
              <w:t xml:space="preserve"> Apéndice </w:t>
            </w:r>
            <w:r w:rsidRPr="00B75820">
              <w:rPr>
                <w:rFonts w:eastAsia="Calibri"/>
                <w:b/>
                <w:bCs/>
                <w:color w:val="000000"/>
                <w:lang w:val="es-ES"/>
              </w:rPr>
              <w:t>30B</w:t>
            </w:r>
            <w:r w:rsidRPr="000D2717">
              <w:rPr>
                <w:rFonts w:eastAsia="Calibri"/>
                <w:color w:val="000000"/>
                <w:lang w:val="es-ES"/>
              </w:rPr>
              <w:t xml:space="preserve"> del Reglamento de Radiocomunicaciones</w:t>
            </w:r>
            <w:r>
              <w:rPr>
                <w:rFonts w:eastAsia="Calibri"/>
                <w:color w:val="000000"/>
                <w:lang w:val="es-ES"/>
              </w:rPr>
              <w:t>,</w:t>
            </w:r>
            <w:r w:rsidRPr="000D2717">
              <w:rPr>
                <w:rFonts w:eastAsia="Calibri"/>
                <w:color w:val="000000"/>
                <w:lang w:val="es-ES"/>
              </w:rPr>
              <w:t xml:space="preserve"> </w:t>
            </w:r>
            <w:r>
              <w:rPr>
                <w:rFonts w:eastAsia="Calibri"/>
                <w:color w:val="000000"/>
                <w:lang w:val="es-ES"/>
              </w:rPr>
              <w:t>sin limitar</w:t>
            </w:r>
            <w:r w:rsidRPr="000D2717">
              <w:rPr>
                <w:rFonts w:eastAsia="Calibri"/>
                <w:color w:val="000000"/>
                <w:lang w:val="es-ES"/>
              </w:rPr>
              <w:t xml:space="preserve"> el acceso de otras administraciones a sus recursos nacionales </w:t>
            </w:r>
            <w:r>
              <w:rPr>
                <w:rFonts w:eastAsia="Calibri"/>
                <w:color w:val="000000"/>
                <w:lang w:val="es-ES"/>
              </w:rPr>
              <w:t>según lo establecido en el</w:t>
            </w:r>
            <w:r w:rsidRPr="000D2717">
              <w:rPr>
                <w:rFonts w:eastAsia="Calibri"/>
                <w:color w:val="000000"/>
                <w:lang w:val="es-ES"/>
              </w:rPr>
              <w:t xml:space="preserve"> Apéndice </w:t>
            </w:r>
            <w:r w:rsidRPr="00B75820">
              <w:rPr>
                <w:rFonts w:eastAsia="Calibri"/>
                <w:b/>
                <w:bCs/>
                <w:color w:val="000000"/>
                <w:lang w:val="es-ES"/>
              </w:rPr>
              <w:t>30B</w:t>
            </w:r>
            <w:r w:rsidRPr="000D2717">
              <w:rPr>
                <w:rFonts w:eastAsia="Calibri"/>
                <w:color w:val="000000"/>
                <w:lang w:val="es-ES"/>
              </w:rPr>
              <w:t xml:space="preserve">, </w:t>
            </w:r>
            <w:r>
              <w:rPr>
                <w:rFonts w:eastAsia="Calibri"/>
                <w:color w:val="000000"/>
                <w:lang w:val="es-ES"/>
              </w:rPr>
              <w:t xml:space="preserve">de conformidad con </w:t>
            </w:r>
            <w:r w:rsidRPr="000D2717">
              <w:rPr>
                <w:rFonts w:eastAsia="Calibri"/>
                <w:color w:val="000000"/>
                <w:lang w:val="es-ES"/>
              </w:rPr>
              <w:t xml:space="preserve">la Resolución </w:t>
            </w:r>
            <w:r w:rsidRPr="00B75820">
              <w:rPr>
                <w:rFonts w:eastAsia="Calibri"/>
                <w:b/>
                <w:bCs/>
                <w:color w:val="000000"/>
                <w:lang w:val="es-ES"/>
              </w:rPr>
              <w:t>170</w:t>
            </w:r>
            <w:r w:rsidRPr="000D2717">
              <w:rPr>
                <w:rFonts w:eastAsia="Calibri"/>
                <w:color w:val="000000"/>
                <w:lang w:val="es-ES"/>
              </w:rPr>
              <w:t xml:space="preserve"> (CMR</w:t>
            </w:r>
            <w:r>
              <w:rPr>
                <w:rFonts w:eastAsia="Calibri"/>
                <w:color w:val="000000"/>
                <w:lang w:val="es-ES"/>
              </w:rPr>
              <w:t>-</w:t>
            </w:r>
            <w:r w:rsidRPr="000D2717">
              <w:rPr>
                <w:rFonts w:eastAsia="Calibri"/>
                <w:color w:val="000000"/>
                <w:lang w:val="es-ES"/>
              </w:rPr>
              <w:t>19).</w:t>
            </w:r>
          </w:p>
          <w:p w14:paraId="780B8D8C" w14:textId="3538D652" w:rsidR="00B20F1E" w:rsidRPr="000D2717" w:rsidRDefault="00B20F1E" w:rsidP="00B75820">
            <w:pPr>
              <w:pStyle w:val="Tabletext"/>
              <w:ind w:left="284" w:hanging="284"/>
              <w:rPr>
                <w:rFonts w:eastAsia="Calibri"/>
                <w:color w:val="000000"/>
                <w:lang w:val="es-ES"/>
              </w:rPr>
            </w:pPr>
            <w:r w:rsidRPr="000D2717">
              <w:rPr>
                <w:rFonts w:eastAsia="Calibri"/>
                <w:bCs/>
                <w:color w:val="000000"/>
                <w:lang w:val="es-ES"/>
              </w:rPr>
              <w:t>2</w:t>
            </w:r>
            <w:r w:rsidRPr="000D2717">
              <w:rPr>
                <w:rFonts w:eastAsia="Calibri"/>
                <w:bCs/>
                <w:color w:val="000000"/>
                <w:lang w:val="es-ES"/>
              </w:rPr>
              <w:tab/>
            </w:r>
            <w:r w:rsidRPr="00B75820">
              <w:rPr>
                <w:rFonts w:eastAsia="Calibri"/>
                <w:b/>
                <w:bCs/>
                <w:color w:val="000000"/>
                <w:lang w:val="es-ES"/>
              </w:rPr>
              <w:t>Garantizar</w:t>
            </w:r>
            <w:r w:rsidRPr="000D2717">
              <w:rPr>
                <w:rFonts w:eastAsia="Calibri"/>
                <w:color w:val="000000"/>
                <w:lang w:val="es-ES"/>
              </w:rPr>
              <w:t xml:space="preserve"> la protección de los servicios existentes y los de bandas adyacentes </w:t>
            </w:r>
            <w:r>
              <w:rPr>
                <w:rFonts w:eastAsia="Calibri"/>
                <w:color w:val="000000"/>
                <w:lang w:val="es-ES"/>
              </w:rPr>
              <w:t>para</w:t>
            </w:r>
            <w:r w:rsidRPr="000D2717">
              <w:rPr>
                <w:rFonts w:eastAsia="Calibri"/>
                <w:color w:val="000000"/>
                <w:lang w:val="es-ES"/>
              </w:rPr>
              <w:t xml:space="preserve"> la banda de frecuencias 13,25-13,75 GHz, </w:t>
            </w:r>
            <w:r>
              <w:rPr>
                <w:rFonts w:eastAsia="Calibri"/>
                <w:color w:val="000000"/>
                <w:lang w:val="es-ES"/>
              </w:rPr>
              <w:t>habida cuenta de</w:t>
            </w:r>
            <w:r w:rsidRPr="000D2717">
              <w:rPr>
                <w:rFonts w:eastAsia="Calibri"/>
                <w:color w:val="000000"/>
                <w:lang w:val="es-ES"/>
              </w:rPr>
              <w:t xml:space="preserve"> la necesidad de </w:t>
            </w:r>
            <w:r>
              <w:rPr>
                <w:rFonts w:eastAsia="Calibri"/>
                <w:color w:val="000000"/>
                <w:lang w:val="es-ES"/>
              </w:rPr>
              <w:t>protección con arreglo al</w:t>
            </w:r>
            <w:r w:rsidRPr="000D2717">
              <w:rPr>
                <w:rFonts w:eastAsia="Calibri"/>
                <w:color w:val="000000"/>
                <w:lang w:val="es-ES"/>
              </w:rPr>
              <w:t xml:space="preserve"> Apéndice </w:t>
            </w:r>
            <w:r w:rsidRPr="007D7EC9">
              <w:rPr>
                <w:rFonts w:eastAsia="Calibri"/>
                <w:b/>
                <w:bCs/>
                <w:color w:val="000000"/>
                <w:lang w:val="es-ES"/>
              </w:rPr>
              <w:t>30B</w:t>
            </w:r>
            <w:r>
              <w:rPr>
                <w:rFonts w:eastAsia="Calibri"/>
                <w:color w:val="000000"/>
                <w:lang w:val="es-ES"/>
              </w:rPr>
              <w:t xml:space="preserve"> </w:t>
            </w:r>
            <w:r w:rsidRPr="000D2717">
              <w:rPr>
                <w:rFonts w:eastAsia="Calibri"/>
                <w:color w:val="000000"/>
                <w:lang w:val="es-ES"/>
              </w:rPr>
              <w:t xml:space="preserve">y </w:t>
            </w:r>
            <w:r>
              <w:rPr>
                <w:rFonts w:eastAsia="Calibri"/>
                <w:color w:val="000000"/>
                <w:lang w:val="es-ES"/>
              </w:rPr>
              <w:t xml:space="preserve">de que </w:t>
            </w:r>
            <w:r w:rsidRPr="000D2717">
              <w:rPr>
                <w:rFonts w:eastAsia="Calibri"/>
                <w:color w:val="000000"/>
                <w:lang w:val="es-ES"/>
              </w:rPr>
              <w:t xml:space="preserve">el funcionamiento de </w:t>
            </w:r>
            <w:r>
              <w:rPr>
                <w:rFonts w:eastAsia="Calibri"/>
                <w:color w:val="000000"/>
                <w:lang w:val="es-ES"/>
              </w:rPr>
              <w:t>las</w:t>
            </w:r>
            <w:r w:rsidRPr="000D2717">
              <w:rPr>
                <w:rFonts w:eastAsia="Calibri"/>
                <w:color w:val="000000"/>
                <w:lang w:val="es-ES"/>
              </w:rPr>
              <w:t xml:space="preserve"> estaciones terrenas en aeronaves y </w:t>
            </w:r>
            <w:r>
              <w:rPr>
                <w:rFonts w:eastAsia="Calibri"/>
                <w:color w:val="000000"/>
                <w:lang w:val="es-ES"/>
              </w:rPr>
              <w:t>barcos</w:t>
            </w:r>
            <w:r w:rsidRPr="000D2717">
              <w:rPr>
                <w:rFonts w:eastAsia="Calibri"/>
                <w:color w:val="000000"/>
                <w:lang w:val="es-ES"/>
              </w:rPr>
              <w:t xml:space="preserve"> no </w:t>
            </w:r>
            <w:r>
              <w:rPr>
                <w:rFonts w:eastAsia="Calibri"/>
                <w:color w:val="000000"/>
                <w:lang w:val="es-ES"/>
              </w:rPr>
              <w:t>afecte</w:t>
            </w:r>
            <w:r w:rsidRPr="000D2717">
              <w:rPr>
                <w:rFonts w:eastAsia="Calibri"/>
                <w:color w:val="000000"/>
                <w:lang w:val="es-ES"/>
              </w:rPr>
              <w:t xml:space="preserve"> a la </w:t>
            </w:r>
            <w:r>
              <w:rPr>
                <w:rFonts w:eastAsia="Calibri"/>
                <w:color w:val="000000"/>
                <w:lang w:val="es-ES"/>
              </w:rPr>
              <w:t>utilización</w:t>
            </w:r>
            <w:r w:rsidRPr="000D2717">
              <w:rPr>
                <w:rFonts w:eastAsia="Calibri"/>
                <w:color w:val="000000"/>
                <w:lang w:val="es-ES"/>
              </w:rPr>
              <w:t xml:space="preserve"> de las adjudicaciones del Plan </w:t>
            </w:r>
            <w:r>
              <w:rPr>
                <w:rFonts w:eastAsia="Calibri"/>
                <w:color w:val="000000"/>
                <w:lang w:val="es-ES"/>
              </w:rPr>
              <w:t>ni a</w:t>
            </w:r>
            <w:r w:rsidRPr="000D2717">
              <w:rPr>
                <w:rFonts w:eastAsia="Calibri"/>
                <w:color w:val="000000"/>
                <w:lang w:val="es-ES"/>
              </w:rPr>
              <w:t xml:space="preserve"> las asignaciones de la Lista </w:t>
            </w:r>
            <w:r>
              <w:rPr>
                <w:rFonts w:eastAsia="Calibri"/>
                <w:color w:val="000000"/>
                <w:lang w:val="es-ES"/>
              </w:rPr>
              <w:t>con arreglo al</w:t>
            </w:r>
            <w:r w:rsidRPr="000D2717">
              <w:rPr>
                <w:rFonts w:eastAsia="Calibri"/>
                <w:color w:val="000000"/>
                <w:lang w:val="es-ES"/>
              </w:rPr>
              <w:t xml:space="preserve"> Apéndice </w:t>
            </w:r>
            <w:r w:rsidRPr="00F37F92">
              <w:rPr>
                <w:rFonts w:eastAsia="Calibri"/>
                <w:b/>
                <w:bCs/>
                <w:color w:val="000000"/>
                <w:lang w:val="es-ES"/>
              </w:rPr>
              <w:t>30B</w:t>
            </w:r>
            <w:r w:rsidRPr="000D2717">
              <w:rPr>
                <w:rFonts w:eastAsia="Calibri"/>
                <w:color w:val="000000"/>
                <w:lang w:val="es-ES"/>
              </w:rPr>
              <w:t xml:space="preserve"> del Reglamento de Radiocomunicaciones</w:t>
            </w:r>
            <w:r>
              <w:rPr>
                <w:rFonts w:eastAsia="Calibri"/>
                <w:color w:val="000000"/>
                <w:lang w:val="es-ES"/>
              </w:rPr>
              <w:t>,</w:t>
            </w:r>
            <w:r w:rsidRPr="000D2717">
              <w:rPr>
                <w:rFonts w:eastAsia="Calibri"/>
                <w:color w:val="000000"/>
                <w:lang w:val="es-ES"/>
              </w:rPr>
              <w:t xml:space="preserve"> </w:t>
            </w:r>
            <w:r>
              <w:rPr>
                <w:rFonts w:eastAsia="Calibri"/>
                <w:color w:val="000000"/>
                <w:lang w:val="es-ES"/>
              </w:rPr>
              <w:t>sin limitar</w:t>
            </w:r>
            <w:r w:rsidRPr="000D2717">
              <w:rPr>
                <w:rFonts w:eastAsia="Calibri"/>
                <w:color w:val="000000"/>
                <w:lang w:val="es-ES"/>
              </w:rPr>
              <w:t xml:space="preserve"> el acceso de otras administraciones a sus recursos nacionales </w:t>
            </w:r>
            <w:r>
              <w:rPr>
                <w:rFonts w:eastAsia="Calibri"/>
                <w:color w:val="000000"/>
                <w:lang w:val="es-ES"/>
              </w:rPr>
              <w:t>según lo establecido en el</w:t>
            </w:r>
            <w:r w:rsidRPr="000D2717">
              <w:rPr>
                <w:rFonts w:eastAsia="Calibri"/>
                <w:color w:val="000000"/>
                <w:lang w:val="es-ES"/>
              </w:rPr>
              <w:t xml:space="preserve"> Apéndice </w:t>
            </w:r>
            <w:r w:rsidRPr="00B75820">
              <w:rPr>
                <w:rFonts w:eastAsia="Calibri"/>
                <w:b/>
                <w:bCs/>
                <w:color w:val="000000"/>
                <w:lang w:val="es-ES"/>
              </w:rPr>
              <w:t>30B</w:t>
            </w:r>
            <w:r w:rsidRPr="000D2717">
              <w:rPr>
                <w:rFonts w:eastAsia="Calibri"/>
                <w:color w:val="000000"/>
                <w:lang w:val="es-ES"/>
              </w:rPr>
              <w:t xml:space="preserve">, </w:t>
            </w:r>
            <w:r>
              <w:rPr>
                <w:rFonts w:eastAsia="Calibri"/>
                <w:color w:val="000000"/>
                <w:lang w:val="es-ES"/>
              </w:rPr>
              <w:t xml:space="preserve">de conformidad con </w:t>
            </w:r>
            <w:r w:rsidRPr="000D2717">
              <w:rPr>
                <w:rFonts w:eastAsia="Calibri"/>
                <w:color w:val="000000"/>
                <w:lang w:val="es-ES"/>
              </w:rPr>
              <w:t>la Resolución 170 (CMR</w:t>
            </w:r>
            <w:r>
              <w:rPr>
                <w:rFonts w:eastAsia="Calibri"/>
                <w:color w:val="000000"/>
                <w:lang w:val="es-ES"/>
              </w:rPr>
              <w:t>-</w:t>
            </w:r>
            <w:r w:rsidRPr="000D2717">
              <w:rPr>
                <w:rFonts w:eastAsia="Calibri"/>
                <w:color w:val="000000"/>
                <w:lang w:val="es-ES"/>
              </w:rPr>
              <w:t>19).</w:t>
            </w:r>
          </w:p>
          <w:p w14:paraId="6E421A0F" w14:textId="42A45353" w:rsidR="00B20F1E" w:rsidRPr="000D2717" w:rsidRDefault="00B20F1E" w:rsidP="00B75820">
            <w:pPr>
              <w:pStyle w:val="Tabletext"/>
              <w:ind w:left="284" w:hanging="284"/>
              <w:rPr>
                <w:rFonts w:eastAsia="Calibri"/>
                <w:color w:val="000000"/>
                <w:lang w:val="es-ES"/>
              </w:rPr>
            </w:pPr>
            <w:r w:rsidRPr="000D2717">
              <w:rPr>
                <w:rFonts w:eastAsia="Calibri"/>
                <w:color w:val="000000"/>
                <w:lang w:val="es-ES"/>
              </w:rPr>
              <w:t>3</w:t>
            </w:r>
            <w:r w:rsidRPr="000D2717">
              <w:rPr>
                <w:rFonts w:eastAsia="Calibri"/>
                <w:color w:val="000000"/>
                <w:lang w:val="es-ES"/>
              </w:rPr>
              <w:tab/>
            </w:r>
            <w:r w:rsidRPr="00B75820">
              <w:rPr>
                <w:rFonts w:eastAsia="Calibri"/>
                <w:b/>
                <w:bCs/>
                <w:color w:val="000000"/>
                <w:lang w:val="es-ES"/>
              </w:rPr>
              <w:t>Apoyar</w:t>
            </w:r>
            <w:r w:rsidRPr="000D2717">
              <w:rPr>
                <w:rFonts w:eastAsia="Calibri"/>
                <w:color w:val="000000"/>
                <w:lang w:val="es-ES"/>
              </w:rPr>
              <w:t xml:space="preserve"> que las estaciones terrenas aeronáuticas o marítimas en la banda 12,75</w:t>
            </w:r>
            <w:r w:rsidR="00B75820">
              <w:rPr>
                <w:rFonts w:eastAsia="Calibri"/>
                <w:color w:val="000000"/>
                <w:lang w:val="es-ES"/>
              </w:rPr>
              <w:t>-</w:t>
            </w:r>
            <w:r w:rsidRPr="000D2717">
              <w:rPr>
                <w:rFonts w:eastAsia="Calibri"/>
                <w:color w:val="000000"/>
                <w:lang w:val="es-ES"/>
              </w:rPr>
              <w:t xml:space="preserve">13,25 GHz </w:t>
            </w:r>
            <w:r>
              <w:rPr>
                <w:rFonts w:eastAsia="Calibri"/>
                <w:color w:val="000000"/>
                <w:lang w:val="es-ES"/>
              </w:rPr>
              <w:t>tengan</w:t>
            </w:r>
            <w:r w:rsidRPr="000D2717">
              <w:rPr>
                <w:rFonts w:eastAsia="Calibri"/>
                <w:color w:val="000000"/>
                <w:lang w:val="es-ES"/>
              </w:rPr>
              <w:t xml:space="preserve"> la capacidad de restringir </w:t>
            </w:r>
            <w:r>
              <w:rPr>
                <w:rFonts w:eastAsia="Calibri"/>
                <w:color w:val="000000"/>
                <w:lang w:val="es-ES"/>
              </w:rPr>
              <w:t>su funcionamiento</w:t>
            </w:r>
            <w:r w:rsidRPr="000D2717">
              <w:rPr>
                <w:rFonts w:eastAsia="Calibri"/>
                <w:color w:val="000000"/>
                <w:lang w:val="es-ES"/>
              </w:rPr>
              <w:t xml:space="preserve"> en </w:t>
            </w:r>
            <w:r>
              <w:rPr>
                <w:rFonts w:eastAsia="Calibri"/>
                <w:color w:val="000000"/>
                <w:lang w:val="es-ES"/>
              </w:rPr>
              <w:t>el territorio</w:t>
            </w:r>
            <w:r w:rsidRPr="000D2717">
              <w:rPr>
                <w:rFonts w:eastAsia="Calibri"/>
                <w:color w:val="000000"/>
                <w:lang w:val="es-ES"/>
              </w:rPr>
              <w:t xml:space="preserve"> de </w:t>
            </w:r>
            <w:r>
              <w:rPr>
                <w:rFonts w:eastAsia="Calibri"/>
                <w:color w:val="000000"/>
                <w:lang w:val="es-ES"/>
              </w:rPr>
              <w:t>las</w:t>
            </w:r>
            <w:r w:rsidRPr="000D2717">
              <w:rPr>
                <w:rFonts w:eastAsia="Calibri"/>
                <w:color w:val="000000"/>
                <w:lang w:val="es-ES"/>
              </w:rPr>
              <w:t xml:space="preserve"> administraciones </w:t>
            </w:r>
            <w:r>
              <w:rPr>
                <w:rFonts w:eastAsia="Calibri"/>
                <w:color w:val="000000"/>
                <w:lang w:val="es-ES"/>
              </w:rPr>
              <w:t>para</w:t>
            </w:r>
            <w:r w:rsidRPr="000D2717">
              <w:rPr>
                <w:rFonts w:eastAsia="Calibri"/>
                <w:color w:val="000000"/>
                <w:lang w:val="es-ES"/>
              </w:rPr>
              <w:t xml:space="preserve"> las que se haya obtenido el acuerdo</w:t>
            </w:r>
            <w:r>
              <w:rPr>
                <w:rFonts w:eastAsia="Calibri"/>
                <w:color w:val="000000"/>
                <w:lang w:val="es-ES"/>
              </w:rPr>
              <w:t xml:space="preserve"> con arreglo a</w:t>
            </w:r>
            <w:r w:rsidRPr="000D2717">
              <w:rPr>
                <w:rFonts w:eastAsia="Calibri"/>
                <w:color w:val="000000"/>
                <w:lang w:val="es-ES"/>
              </w:rPr>
              <w:t xml:space="preserve">l número </w:t>
            </w:r>
            <w:r w:rsidRPr="00B75820">
              <w:rPr>
                <w:rFonts w:eastAsia="Calibri"/>
                <w:b/>
                <w:bCs/>
                <w:color w:val="000000"/>
                <w:lang w:val="es-ES"/>
              </w:rPr>
              <w:t>6.6</w:t>
            </w:r>
            <w:r w:rsidRPr="000D2717">
              <w:rPr>
                <w:rFonts w:eastAsia="Calibri"/>
                <w:color w:val="000000"/>
                <w:lang w:val="es-ES"/>
              </w:rPr>
              <w:t>.</w:t>
            </w:r>
          </w:p>
          <w:p w14:paraId="78EEA85B" w14:textId="351D6980" w:rsidR="00B20F1E" w:rsidRPr="000D2717" w:rsidRDefault="00B20F1E" w:rsidP="00B75820">
            <w:pPr>
              <w:pStyle w:val="Tabletext"/>
              <w:ind w:left="284" w:hanging="284"/>
              <w:rPr>
                <w:rFonts w:eastAsia="Calibri"/>
                <w:lang w:val="es-ES"/>
              </w:rPr>
            </w:pPr>
            <w:r w:rsidRPr="000D2717">
              <w:rPr>
                <w:rFonts w:eastAsia="Calibri"/>
                <w:color w:val="000000"/>
                <w:lang w:val="es-ES"/>
              </w:rPr>
              <w:t>4</w:t>
            </w:r>
            <w:r w:rsidRPr="000D2717">
              <w:rPr>
                <w:rFonts w:eastAsia="Calibri"/>
                <w:color w:val="000000"/>
                <w:lang w:val="es-ES"/>
              </w:rPr>
              <w:tab/>
            </w:r>
            <w:r w:rsidRPr="00B75820">
              <w:rPr>
                <w:rFonts w:eastAsia="Calibri"/>
                <w:b/>
                <w:bCs/>
                <w:lang w:val="es-ES"/>
              </w:rPr>
              <w:t>Apoyar</w:t>
            </w:r>
            <w:r w:rsidRPr="000D2717">
              <w:rPr>
                <w:rFonts w:eastAsia="Calibri"/>
                <w:lang w:val="es-ES"/>
              </w:rPr>
              <w:t xml:space="preserve"> que </w:t>
            </w:r>
            <w:r>
              <w:rPr>
                <w:rFonts w:eastAsia="Calibri"/>
                <w:lang w:val="es-ES"/>
              </w:rPr>
              <w:t>el funcionamiento</w:t>
            </w:r>
            <w:r w:rsidRPr="000D2717">
              <w:rPr>
                <w:rFonts w:eastAsia="Calibri"/>
                <w:lang w:val="es-ES"/>
              </w:rPr>
              <w:t xml:space="preserve"> de </w:t>
            </w:r>
            <w:r>
              <w:rPr>
                <w:rFonts w:eastAsia="Calibri"/>
                <w:lang w:val="es-ES"/>
              </w:rPr>
              <w:t xml:space="preserve">las ETEM-A </w:t>
            </w:r>
            <w:r w:rsidRPr="000D2717">
              <w:rPr>
                <w:rFonts w:eastAsia="Calibri"/>
                <w:lang w:val="es-ES"/>
              </w:rPr>
              <w:t>y</w:t>
            </w:r>
            <w:r>
              <w:rPr>
                <w:rFonts w:eastAsia="Calibri"/>
                <w:lang w:val="es-ES"/>
              </w:rPr>
              <w:t xml:space="preserve"> ETEM-</w:t>
            </w:r>
            <w:r w:rsidRPr="000D2717">
              <w:rPr>
                <w:rFonts w:eastAsia="Calibri"/>
                <w:lang w:val="es-ES"/>
              </w:rPr>
              <w:t xml:space="preserve">M </w:t>
            </w:r>
            <w:r>
              <w:rPr>
                <w:rFonts w:eastAsia="Calibri"/>
                <w:lang w:val="es-ES"/>
              </w:rPr>
              <w:t>en las</w:t>
            </w:r>
            <w:r w:rsidRPr="000D2717">
              <w:rPr>
                <w:rFonts w:eastAsia="Calibri"/>
                <w:lang w:val="es-ES"/>
              </w:rPr>
              <w:t xml:space="preserve"> aguas territoriales y/o el espacio aéreo bajo jurisdicción de una administración sólo se lleve a cabo si se obtiene la autorización de dicha administración;</w:t>
            </w:r>
          </w:p>
          <w:p w14:paraId="76BDB573" w14:textId="44651EE1" w:rsidR="00B20F1E" w:rsidRPr="000D2717" w:rsidRDefault="00B20F1E" w:rsidP="00B75820">
            <w:pPr>
              <w:pStyle w:val="Tabletext"/>
              <w:ind w:left="284" w:hanging="284"/>
              <w:rPr>
                <w:rFonts w:eastAsia="Calibri"/>
                <w:lang w:val="es-ES"/>
              </w:rPr>
            </w:pPr>
            <w:r w:rsidRPr="000D2717">
              <w:rPr>
                <w:rFonts w:eastAsia="Calibri"/>
                <w:bCs/>
                <w:iCs/>
                <w:lang w:val="es-ES"/>
              </w:rPr>
              <w:t>5</w:t>
            </w:r>
            <w:r w:rsidRPr="000D2717">
              <w:rPr>
                <w:rFonts w:eastAsia="Calibri"/>
                <w:bCs/>
                <w:iCs/>
                <w:lang w:val="es-ES"/>
              </w:rPr>
              <w:tab/>
            </w:r>
            <w:r w:rsidRPr="00B75820">
              <w:rPr>
                <w:rFonts w:eastAsia="Calibri"/>
                <w:b/>
                <w:bCs/>
                <w:lang w:val="es-ES"/>
              </w:rPr>
              <w:t>Apoyar</w:t>
            </w:r>
            <w:r w:rsidRPr="000D2717">
              <w:rPr>
                <w:rFonts w:eastAsia="Calibri"/>
                <w:lang w:val="es-ES"/>
              </w:rPr>
              <w:t xml:space="preserve"> que las administraciones </w:t>
            </w:r>
            <w:r>
              <w:rPr>
                <w:rFonts w:eastAsia="Calibri"/>
                <w:lang w:val="es-ES"/>
              </w:rPr>
              <w:t>encargadas</w:t>
            </w:r>
            <w:r w:rsidRPr="000D2717">
              <w:rPr>
                <w:rFonts w:eastAsia="Calibri"/>
                <w:lang w:val="es-ES"/>
              </w:rPr>
              <w:t xml:space="preserve"> de la notificación </w:t>
            </w:r>
            <w:r>
              <w:rPr>
                <w:rFonts w:eastAsia="Calibri"/>
                <w:lang w:val="es-ES"/>
              </w:rPr>
              <w:t>de utilización de</w:t>
            </w:r>
            <w:r w:rsidRPr="000D2717">
              <w:rPr>
                <w:rFonts w:eastAsia="Calibri"/>
                <w:lang w:val="es-ES"/>
              </w:rPr>
              <w:t xml:space="preserve"> una asignación </w:t>
            </w:r>
            <w:r>
              <w:rPr>
                <w:rFonts w:eastAsia="Calibri"/>
                <w:lang w:val="es-ES"/>
              </w:rPr>
              <w:t>de</w:t>
            </w:r>
            <w:r w:rsidRPr="000D2717">
              <w:rPr>
                <w:rFonts w:eastAsia="Calibri"/>
                <w:lang w:val="es-ES"/>
              </w:rPr>
              <w:t xml:space="preserve"> la Lista del Apéndice </w:t>
            </w:r>
            <w:r w:rsidRPr="00B75820">
              <w:rPr>
                <w:rFonts w:eastAsia="Calibri"/>
                <w:b/>
                <w:bCs/>
                <w:lang w:val="es-ES"/>
              </w:rPr>
              <w:t>30B</w:t>
            </w:r>
            <w:r w:rsidRPr="000D2717">
              <w:rPr>
                <w:rFonts w:eastAsia="Calibri"/>
                <w:lang w:val="es-ES"/>
              </w:rPr>
              <w:t xml:space="preserve"> </w:t>
            </w:r>
            <w:r>
              <w:rPr>
                <w:rFonts w:eastAsia="Calibri"/>
                <w:lang w:val="es-ES"/>
              </w:rPr>
              <w:t xml:space="preserve">para facilitar </w:t>
            </w:r>
            <w:r w:rsidRPr="000D2717">
              <w:rPr>
                <w:rFonts w:eastAsia="Calibri"/>
                <w:lang w:val="es-ES"/>
              </w:rPr>
              <w:t xml:space="preserve">la explotación de estaciones terrenas en aeronaves y buques en la banda de frecuencias 12,75-13,25 GHz soliciten el acuerdo explícito de todas las administraciones afectadas </w:t>
            </w:r>
            <w:r>
              <w:rPr>
                <w:rFonts w:eastAsia="Calibri"/>
                <w:lang w:val="es-ES"/>
              </w:rPr>
              <w:t>por</w:t>
            </w:r>
            <w:r w:rsidRPr="000D2717">
              <w:rPr>
                <w:rFonts w:eastAsia="Calibri"/>
                <w:lang w:val="es-ES"/>
              </w:rPr>
              <w:t xml:space="preserve"> </w:t>
            </w:r>
            <w:r>
              <w:rPr>
                <w:rFonts w:eastAsia="Calibri"/>
                <w:lang w:val="es-ES"/>
              </w:rPr>
              <w:t>esa</w:t>
            </w:r>
            <w:r w:rsidRPr="000D2717">
              <w:rPr>
                <w:rFonts w:eastAsia="Calibri"/>
                <w:lang w:val="es-ES"/>
              </w:rPr>
              <w:t xml:space="preserve"> utilización.</w:t>
            </w:r>
          </w:p>
          <w:p w14:paraId="66E6E97F" w14:textId="765E6D3C" w:rsidR="00B20F1E" w:rsidRPr="000D2717" w:rsidRDefault="00B20F1E" w:rsidP="00B75820">
            <w:pPr>
              <w:pStyle w:val="Tabletext"/>
              <w:ind w:left="284" w:hanging="284"/>
              <w:rPr>
                <w:rFonts w:eastAsia="Calibri"/>
                <w:lang w:val="es-ES"/>
              </w:rPr>
            </w:pPr>
            <w:r w:rsidRPr="000D2717">
              <w:rPr>
                <w:rFonts w:eastAsia="Calibri"/>
                <w:lang w:val="es-ES"/>
              </w:rPr>
              <w:t>6</w:t>
            </w:r>
            <w:r w:rsidRPr="000D2717">
              <w:rPr>
                <w:rFonts w:eastAsia="Calibri"/>
                <w:lang w:val="es-ES"/>
              </w:rPr>
              <w:tab/>
            </w:r>
            <w:r w:rsidRPr="00B75820">
              <w:rPr>
                <w:rFonts w:eastAsia="Calibri"/>
                <w:b/>
                <w:bCs/>
                <w:lang w:val="es-ES"/>
              </w:rPr>
              <w:t>Facilitar</w:t>
            </w:r>
            <w:r w:rsidRPr="000D2717">
              <w:rPr>
                <w:rFonts w:eastAsia="Calibri"/>
                <w:lang w:val="es-ES"/>
              </w:rPr>
              <w:t xml:space="preserve"> </w:t>
            </w:r>
            <w:r w:rsidRPr="002C416E">
              <w:rPr>
                <w:rFonts w:eastAsia="Calibri"/>
                <w:bCs/>
                <w:lang w:val="es-ES"/>
              </w:rPr>
              <w:t>a</w:t>
            </w:r>
            <w:r w:rsidRPr="000D2717">
              <w:rPr>
                <w:rFonts w:eastAsia="Calibri"/>
                <w:lang w:val="es-ES"/>
              </w:rPr>
              <w:t xml:space="preserve"> la BR </w:t>
            </w:r>
            <w:r>
              <w:rPr>
                <w:rFonts w:eastAsia="Calibri"/>
                <w:lang w:val="es-ES"/>
              </w:rPr>
              <w:t>la publicación de</w:t>
            </w:r>
            <w:r w:rsidRPr="000D2717">
              <w:rPr>
                <w:rFonts w:eastAsia="Calibri"/>
                <w:lang w:val="es-ES"/>
              </w:rPr>
              <w:t xml:space="preserve"> la lista de asignaciones del Apéndice </w:t>
            </w:r>
            <w:r w:rsidRPr="00F37F92">
              <w:rPr>
                <w:rFonts w:eastAsia="Calibri"/>
                <w:b/>
                <w:bCs/>
                <w:lang w:val="es-ES"/>
              </w:rPr>
              <w:t>30B</w:t>
            </w:r>
            <w:r w:rsidRPr="000D2717">
              <w:rPr>
                <w:rFonts w:eastAsia="Calibri"/>
                <w:lang w:val="es-ES"/>
              </w:rPr>
              <w:t xml:space="preserve"> </w:t>
            </w:r>
            <w:r>
              <w:rPr>
                <w:rFonts w:eastAsia="Calibri"/>
                <w:lang w:val="es-ES"/>
              </w:rPr>
              <w:t>a ETEM</w:t>
            </w:r>
            <w:r w:rsidRPr="000D2717">
              <w:rPr>
                <w:rFonts w:eastAsia="Calibri"/>
                <w:lang w:val="es-ES"/>
              </w:rPr>
              <w:t xml:space="preserve"> en servicio</w:t>
            </w:r>
            <w:r>
              <w:rPr>
                <w:rFonts w:eastAsia="Calibri"/>
                <w:lang w:val="es-ES"/>
              </w:rPr>
              <w:t>,</w:t>
            </w:r>
            <w:r w:rsidRPr="000D2717">
              <w:rPr>
                <w:rFonts w:eastAsia="Calibri"/>
                <w:lang w:val="es-ES"/>
              </w:rPr>
              <w:t xml:space="preserve"> con información sobre su zona de servicio</w:t>
            </w:r>
            <w:r>
              <w:rPr>
                <w:rFonts w:eastAsia="Calibri"/>
                <w:lang w:val="es-ES"/>
              </w:rPr>
              <w:t xml:space="preserve">, y que </w:t>
            </w:r>
            <w:r w:rsidRPr="000D2717">
              <w:rPr>
                <w:rFonts w:eastAsia="Calibri"/>
                <w:lang w:val="es-ES"/>
              </w:rPr>
              <w:t>los países autoricen dicho uso para ayudar a la administración afectada a identificar la fuente de interferencia.</w:t>
            </w:r>
          </w:p>
          <w:p w14:paraId="43989C8E" w14:textId="1F918C49" w:rsidR="00B20F1E" w:rsidRPr="000D2717" w:rsidRDefault="00B20F1E" w:rsidP="00B75820">
            <w:pPr>
              <w:pStyle w:val="Tabletext"/>
              <w:ind w:left="284" w:hanging="284"/>
              <w:rPr>
                <w:rFonts w:eastAsia="Calibri"/>
                <w:lang w:val="es-ES"/>
              </w:rPr>
            </w:pPr>
            <w:r w:rsidRPr="000D2717">
              <w:rPr>
                <w:rFonts w:eastAsia="Calibri"/>
                <w:lang w:val="es-ES"/>
              </w:rPr>
              <w:t>7</w:t>
            </w:r>
            <w:r w:rsidRPr="000D2717">
              <w:rPr>
                <w:rFonts w:eastAsia="Calibri"/>
                <w:lang w:val="es-ES"/>
              </w:rPr>
              <w:tab/>
            </w:r>
            <w:r w:rsidRPr="00B75820">
              <w:rPr>
                <w:rFonts w:eastAsia="Calibri"/>
                <w:b/>
                <w:bCs/>
                <w:lang w:val="es-ES"/>
              </w:rPr>
              <w:t>Apoyar</w:t>
            </w:r>
            <w:r w:rsidRPr="000D2717">
              <w:rPr>
                <w:rFonts w:eastAsia="Calibri"/>
                <w:lang w:val="es-ES"/>
              </w:rPr>
              <w:t xml:space="preserve"> </w:t>
            </w:r>
            <w:r>
              <w:rPr>
                <w:rFonts w:eastAsia="Calibri"/>
                <w:lang w:val="es-ES"/>
              </w:rPr>
              <w:t>el establecimiento de una distancia mínima de</w:t>
            </w:r>
            <w:r w:rsidRPr="000D2717">
              <w:rPr>
                <w:rFonts w:eastAsia="Calibri"/>
                <w:lang w:val="es-ES"/>
              </w:rPr>
              <w:t xml:space="preserve"> [175],150/133 Km </w:t>
            </w:r>
            <w:r>
              <w:rPr>
                <w:rFonts w:eastAsia="Calibri"/>
                <w:lang w:val="es-ES"/>
              </w:rPr>
              <w:t>a partir de</w:t>
            </w:r>
            <w:r w:rsidRPr="000D2717">
              <w:rPr>
                <w:rFonts w:eastAsia="Calibri"/>
                <w:lang w:val="es-ES"/>
              </w:rPr>
              <w:t xml:space="preserve"> la línea de bajamar reconocida oficialmente por el Estado </w:t>
            </w:r>
            <w:r>
              <w:rPr>
                <w:rFonts w:eastAsia="Calibri"/>
                <w:lang w:val="es-ES"/>
              </w:rPr>
              <w:t>costero</w:t>
            </w:r>
            <w:r w:rsidRPr="000D2717">
              <w:rPr>
                <w:rFonts w:eastAsia="Calibri"/>
                <w:lang w:val="es-ES"/>
              </w:rPr>
              <w:t xml:space="preserve"> para la protección de los servicios terrestres </w:t>
            </w:r>
            <w:r>
              <w:rPr>
                <w:rFonts w:eastAsia="Calibri"/>
                <w:lang w:val="es-ES"/>
              </w:rPr>
              <w:t>frente a</w:t>
            </w:r>
            <w:r w:rsidRPr="000D2717">
              <w:rPr>
                <w:rFonts w:eastAsia="Calibri"/>
                <w:lang w:val="es-ES"/>
              </w:rPr>
              <w:t xml:space="preserve"> la transmisión </w:t>
            </w:r>
            <w:r>
              <w:rPr>
                <w:rFonts w:eastAsia="Calibri"/>
                <w:lang w:val="es-ES"/>
              </w:rPr>
              <w:t>de ETEM-M</w:t>
            </w:r>
            <w:r w:rsidRPr="000D2717">
              <w:rPr>
                <w:rFonts w:eastAsia="Calibri"/>
                <w:lang w:val="es-ES"/>
              </w:rPr>
              <w:t>.</w:t>
            </w:r>
          </w:p>
          <w:p w14:paraId="50BAD13F" w14:textId="2DBF9F2B" w:rsidR="00B20F1E" w:rsidRPr="000D2717" w:rsidRDefault="00B20F1E" w:rsidP="00B75820">
            <w:pPr>
              <w:pStyle w:val="Tabletext"/>
              <w:ind w:left="284" w:hanging="284"/>
              <w:rPr>
                <w:rFonts w:eastAsia="Calibri"/>
                <w:lang w:val="es-ES"/>
              </w:rPr>
            </w:pPr>
            <w:r w:rsidRPr="000D2717">
              <w:rPr>
                <w:rFonts w:eastAsia="Calibri"/>
                <w:lang w:val="es-ES"/>
              </w:rPr>
              <w:t>8</w:t>
            </w:r>
            <w:r w:rsidRPr="000D2717">
              <w:rPr>
                <w:rFonts w:eastAsia="Calibri"/>
                <w:lang w:val="es-ES"/>
              </w:rPr>
              <w:tab/>
            </w:r>
            <w:r w:rsidRPr="00B75820">
              <w:rPr>
                <w:rFonts w:eastAsia="Calibri"/>
                <w:b/>
                <w:bCs/>
                <w:lang w:val="es-ES"/>
              </w:rPr>
              <w:t>Destacar</w:t>
            </w:r>
            <w:r w:rsidRPr="000D2717">
              <w:rPr>
                <w:rFonts w:eastAsia="Calibri"/>
                <w:lang w:val="es-ES"/>
              </w:rPr>
              <w:t xml:space="preserve"> que la administración notificante de la red de satélites es la única que tiene la responsabilidad de notificar </w:t>
            </w:r>
            <w:r>
              <w:rPr>
                <w:rFonts w:eastAsia="Calibri"/>
                <w:lang w:val="es-ES"/>
              </w:rPr>
              <w:t>las ETEM</w:t>
            </w:r>
            <w:r w:rsidRPr="000D2717">
              <w:rPr>
                <w:rFonts w:eastAsia="Calibri"/>
                <w:lang w:val="es-ES"/>
              </w:rPr>
              <w:t xml:space="preserve"> que se comunicarán con dicha red</w:t>
            </w:r>
            <w:r>
              <w:rPr>
                <w:rFonts w:eastAsia="Calibri"/>
                <w:lang w:val="es-ES"/>
              </w:rPr>
              <w:t xml:space="preserve">, </w:t>
            </w:r>
            <w:r w:rsidRPr="000D2717">
              <w:rPr>
                <w:rFonts w:eastAsia="Calibri"/>
                <w:lang w:val="es-ES"/>
              </w:rPr>
              <w:t xml:space="preserve">y de resolver </w:t>
            </w:r>
            <w:r>
              <w:rPr>
                <w:rFonts w:eastAsia="Calibri"/>
                <w:lang w:val="es-ES"/>
              </w:rPr>
              <w:t>todo</w:t>
            </w:r>
            <w:r w:rsidRPr="000D2717">
              <w:rPr>
                <w:rFonts w:eastAsia="Calibri"/>
                <w:lang w:val="es-ES"/>
              </w:rPr>
              <w:t xml:space="preserve"> incidente de interferencia.</w:t>
            </w:r>
          </w:p>
          <w:p w14:paraId="29FA39AD" w14:textId="70B8F866" w:rsidR="00B20F1E" w:rsidRPr="00281FF9" w:rsidRDefault="00B20F1E" w:rsidP="00B75820">
            <w:pPr>
              <w:pStyle w:val="Tabletext"/>
              <w:ind w:left="284" w:hanging="284"/>
              <w:rPr>
                <w:rFonts w:eastAsia="Calibri"/>
                <w:lang w:val="es-ES"/>
              </w:rPr>
            </w:pPr>
            <w:r w:rsidRPr="000D2717">
              <w:rPr>
                <w:rFonts w:eastAsia="Calibri"/>
                <w:lang w:val="es-ES"/>
              </w:rPr>
              <w:t>9</w:t>
            </w:r>
            <w:r w:rsidRPr="000D2717">
              <w:rPr>
                <w:rFonts w:eastAsia="Calibri"/>
                <w:lang w:val="es-ES"/>
              </w:rPr>
              <w:tab/>
            </w:r>
            <w:r w:rsidRPr="00B75820">
              <w:rPr>
                <w:rFonts w:eastAsia="Calibri"/>
                <w:b/>
                <w:bCs/>
                <w:lang w:val="es-ES"/>
              </w:rPr>
              <w:t>Destacar</w:t>
            </w:r>
            <w:r w:rsidRPr="000D2717">
              <w:rPr>
                <w:rFonts w:eastAsia="Calibri"/>
                <w:lang w:val="es-ES"/>
              </w:rPr>
              <w:t xml:space="preserve"> que la parte receptora de</w:t>
            </w:r>
            <w:r>
              <w:rPr>
                <w:rFonts w:eastAsia="Calibri"/>
                <w:lang w:val="es-ES"/>
              </w:rPr>
              <w:t xml:space="preserve"> las ETEM </w:t>
            </w:r>
            <w:r w:rsidRPr="000D2717">
              <w:rPr>
                <w:rFonts w:eastAsia="Calibri"/>
                <w:lang w:val="es-ES"/>
              </w:rPr>
              <w:t xml:space="preserve">en su </w:t>
            </w:r>
            <w:r>
              <w:rPr>
                <w:rFonts w:eastAsia="Calibri"/>
                <w:lang w:val="es-ES"/>
              </w:rPr>
              <w:t xml:space="preserve">correspondiente </w:t>
            </w:r>
            <w:r w:rsidRPr="000D2717">
              <w:rPr>
                <w:rFonts w:eastAsia="Calibri"/>
                <w:lang w:val="es-ES"/>
              </w:rPr>
              <w:t xml:space="preserve">banda de frecuencias no </w:t>
            </w:r>
            <w:r>
              <w:rPr>
                <w:rFonts w:eastAsia="Calibri"/>
                <w:lang w:val="es-ES"/>
              </w:rPr>
              <w:t>debe afectar</w:t>
            </w:r>
            <w:r w:rsidRPr="000D2717">
              <w:rPr>
                <w:rFonts w:eastAsia="Calibri"/>
                <w:lang w:val="es-ES"/>
              </w:rPr>
              <w:t xml:space="preserve"> </w:t>
            </w:r>
            <w:r>
              <w:rPr>
                <w:rFonts w:eastAsia="Calibri"/>
                <w:lang w:val="es-ES"/>
              </w:rPr>
              <w:t>de forma adversa</w:t>
            </w:r>
            <w:r w:rsidRPr="000D2717">
              <w:rPr>
                <w:rFonts w:eastAsia="Calibri"/>
                <w:lang w:val="es-ES"/>
              </w:rPr>
              <w:t xml:space="preserve"> a las adjudicaciones del Plan ni a las asignaciones de la Lista</w:t>
            </w:r>
            <w:r>
              <w:rPr>
                <w:rFonts w:eastAsia="Calibri"/>
                <w:lang w:val="es-ES"/>
              </w:rPr>
              <w:t>,</w:t>
            </w:r>
            <w:r w:rsidRPr="000D2717">
              <w:rPr>
                <w:rFonts w:eastAsia="Calibri"/>
                <w:lang w:val="es-ES"/>
              </w:rPr>
              <w:t xml:space="preserve"> </w:t>
            </w:r>
            <w:r>
              <w:rPr>
                <w:rFonts w:eastAsia="Calibri"/>
                <w:lang w:val="es-ES"/>
              </w:rPr>
              <w:t>ni debe</w:t>
            </w:r>
            <w:r w:rsidRPr="000D2717">
              <w:rPr>
                <w:rFonts w:eastAsia="Calibri"/>
                <w:lang w:val="es-ES"/>
              </w:rPr>
              <w:t xml:space="preserve"> reclamar protección frente a otras aplicaciones del SFS</w:t>
            </w:r>
            <w:r>
              <w:rPr>
                <w:rFonts w:eastAsia="Calibri"/>
                <w:lang w:val="es-ES"/>
              </w:rPr>
              <w:t xml:space="preserve"> u</w:t>
            </w:r>
            <w:r w:rsidRPr="000D2717">
              <w:rPr>
                <w:rFonts w:eastAsia="Calibri"/>
                <w:lang w:val="es-ES"/>
              </w:rPr>
              <w:t xml:space="preserve"> otros servicios de radiocomunicaciones a los que esté atribuida la banda de frecuencias. </w:t>
            </w:r>
            <w:r>
              <w:rPr>
                <w:rFonts w:eastAsia="Calibri"/>
                <w:lang w:val="es-ES"/>
              </w:rPr>
              <w:t xml:space="preserve">La UAT </w:t>
            </w:r>
            <w:r w:rsidRPr="000D2717">
              <w:rPr>
                <w:rFonts w:eastAsia="Calibri"/>
                <w:lang w:val="es-ES"/>
              </w:rPr>
              <w:t xml:space="preserve">prefiere que esas medidas se incluyan en la parte </w:t>
            </w:r>
            <w:r>
              <w:rPr>
                <w:rFonts w:eastAsia="Calibri"/>
                <w:lang w:val="es-ES"/>
              </w:rPr>
              <w:t xml:space="preserve">del </w:t>
            </w:r>
            <w:r w:rsidRPr="00E073F6">
              <w:rPr>
                <w:rFonts w:eastAsia="Calibri"/>
                <w:i/>
                <w:iCs/>
                <w:lang w:val="es-ES"/>
              </w:rPr>
              <w:t>resuelve</w:t>
            </w:r>
            <w:r>
              <w:rPr>
                <w:rFonts w:eastAsia="Calibri"/>
                <w:lang w:val="es-ES"/>
              </w:rPr>
              <w:t>.</w:t>
            </w:r>
          </w:p>
          <w:p w14:paraId="7F8368E0" w14:textId="7C750FEA" w:rsidR="00B20F1E" w:rsidRPr="000D2717" w:rsidRDefault="00B20F1E" w:rsidP="00B75820">
            <w:pPr>
              <w:pStyle w:val="Tabletext"/>
              <w:ind w:left="284" w:hanging="284"/>
              <w:rPr>
                <w:rFonts w:eastAsia="Calibri"/>
                <w:lang w:val="es-ES"/>
              </w:rPr>
            </w:pPr>
            <w:r w:rsidRPr="000D2717">
              <w:rPr>
                <w:rFonts w:eastAsia="Calibri"/>
                <w:lang w:val="es-ES"/>
              </w:rPr>
              <w:t>10</w:t>
            </w:r>
            <w:r w:rsidR="00B75820">
              <w:rPr>
                <w:rFonts w:eastAsia="Calibri"/>
                <w:lang w:val="es-ES"/>
              </w:rPr>
              <w:tab/>
            </w:r>
            <w:r w:rsidRPr="00B75820">
              <w:rPr>
                <w:rFonts w:eastAsia="Calibri"/>
                <w:b/>
                <w:bCs/>
                <w:lang w:val="es-ES"/>
              </w:rPr>
              <w:t>Aplicación</w:t>
            </w:r>
            <w:r w:rsidRPr="000D2717">
              <w:rPr>
                <w:rFonts w:eastAsia="Calibri"/>
                <w:lang w:val="es-ES"/>
              </w:rPr>
              <w:t xml:space="preserve"> del mecanismo de gestión de interferencias y </w:t>
            </w:r>
            <w:r>
              <w:rPr>
                <w:rFonts w:eastAsia="Calibri"/>
                <w:lang w:val="es-ES"/>
              </w:rPr>
              <w:t>d</w:t>
            </w:r>
            <w:r w:rsidRPr="000D2717">
              <w:rPr>
                <w:rFonts w:eastAsia="Calibri"/>
                <w:lang w:val="es-ES"/>
              </w:rPr>
              <w:t xml:space="preserve">efinición </w:t>
            </w:r>
            <w:r>
              <w:rPr>
                <w:rFonts w:eastAsia="Calibri"/>
                <w:lang w:val="es-ES"/>
              </w:rPr>
              <w:t>de la función</w:t>
            </w:r>
            <w:r w:rsidRPr="000D2717">
              <w:rPr>
                <w:rFonts w:eastAsia="Calibri"/>
                <w:lang w:val="es-ES"/>
              </w:rPr>
              <w:t xml:space="preserve"> del Centro de Supervisión y Control de Red, </w:t>
            </w:r>
            <w:r>
              <w:rPr>
                <w:rFonts w:eastAsia="Calibri"/>
                <w:lang w:val="es-ES"/>
              </w:rPr>
              <w:t>con objeto de</w:t>
            </w:r>
            <w:r w:rsidRPr="000D2717">
              <w:rPr>
                <w:rFonts w:eastAsia="Calibri"/>
                <w:lang w:val="es-ES"/>
              </w:rPr>
              <w:t xml:space="preserve"> hacer frente a la interferencia que </w:t>
            </w:r>
            <w:r>
              <w:rPr>
                <w:rFonts w:eastAsia="Calibri"/>
                <w:lang w:val="es-ES"/>
              </w:rPr>
              <w:t>produce</w:t>
            </w:r>
            <w:r w:rsidRPr="000D2717">
              <w:rPr>
                <w:rFonts w:eastAsia="Calibri"/>
                <w:lang w:val="es-ES"/>
              </w:rPr>
              <w:t xml:space="preserve"> el funcionamiento de </w:t>
            </w:r>
            <w:r>
              <w:rPr>
                <w:rFonts w:eastAsia="Calibri"/>
                <w:lang w:val="es-ES"/>
              </w:rPr>
              <w:t xml:space="preserve">ETEM-A y ETEM-M </w:t>
            </w:r>
            <w:r w:rsidRPr="000D2717">
              <w:rPr>
                <w:rFonts w:eastAsia="Calibri"/>
                <w:lang w:val="es-ES"/>
              </w:rPr>
              <w:t>de otras administraciones;</w:t>
            </w:r>
          </w:p>
          <w:p w14:paraId="6F5B6111" w14:textId="326F4AC8" w:rsidR="00B20F1E" w:rsidRPr="000D2717" w:rsidRDefault="00B20F1E" w:rsidP="00B75820">
            <w:pPr>
              <w:pStyle w:val="Tabletext"/>
              <w:ind w:left="284" w:hanging="284"/>
              <w:rPr>
                <w:rFonts w:eastAsia="Calibri"/>
                <w:lang w:val="es-ES"/>
              </w:rPr>
            </w:pPr>
            <w:r w:rsidRPr="000D2717">
              <w:rPr>
                <w:rFonts w:eastAsia="Calibri"/>
                <w:lang w:val="es-ES"/>
              </w:rPr>
              <w:lastRenderedPageBreak/>
              <w:t>11</w:t>
            </w:r>
            <w:r w:rsidR="00B75820">
              <w:rPr>
                <w:rFonts w:eastAsia="Calibri"/>
                <w:lang w:val="es-ES"/>
              </w:rPr>
              <w:tab/>
            </w:r>
            <w:r w:rsidRPr="00B75820">
              <w:rPr>
                <w:rFonts w:eastAsia="Calibri"/>
                <w:b/>
                <w:bCs/>
                <w:lang w:val="es-ES"/>
              </w:rPr>
              <w:t>Desarrollo</w:t>
            </w:r>
            <w:r w:rsidRPr="000D2717">
              <w:rPr>
                <w:rFonts w:eastAsia="Calibri"/>
                <w:lang w:val="es-ES"/>
              </w:rPr>
              <w:t xml:space="preserve"> de una metodología para ayudar a la Oficina de Radiocomunicaciones a examinar la conformidad de las estaciones terrenas a bordo de </w:t>
            </w:r>
            <w:r>
              <w:rPr>
                <w:rFonts w:eastAsia="Calibri"/>
                <w:lang w:val="es-ES"/>
              </w:rPr>
              <w:t>aeronaves</w:t>
            </w:r>
            <w:r w:rsidRPr="000D2717">
              <w:rPr>
                <w:rFonts w:eastAsia="Calibri"/>
                <w:lang w:val="es-ES"/>
              </w:rPr>
              <w:t xml:space="preserve"> y barcos en caso de que se utilice una densidad de flujo adecuada para proteger los servicios terrenales </w:t>
            </w:r>
            <w:r>
              <w:rPr>
                <w:rFonts w:eastAsia="Calibri"/>
                <w:lang w:val="es-ES"/>
              </w:rPr>
              <w:t>frente a</w:t>
            </w:r>
            <w:r w:rsidRPr="000D2717">
              <w:rPr>
                <w:rFonts w:eastAsia="Calibri"/>
                <w:lang w:val="es-ES"/>
              </w:rPr>
              <w:t xml:space="preserve"> las estaciones terrenas en movimiento, con la necesidad de desarrollar y acordar dicha metodología antes del final de la </w:t>
            </w:r>
            <w:r>
              <w:rPr>
                <w:rFonts w:eastAsia="Calibri"/>
                <w:lang w:val="es-ES"/>
              </w:rPr>
              <w:t>C</w:t>
            </w:r>
            <w:r w:rsidRPr="000D2717">
              <w:rPr>
                <w:rFonts w:eastAsia="Calibri"/>
                <w:lang w:val="es-ES"/>
              </w:rPr>
              <w:t>onferencia;</w:t>
            </w:r>
          </w:p>
          <w:p w14:paraId="1FA7C795" w14:textId="7294A535" w:rsidR="00B20F1E" w:rsidRPr="000D2717" w:rsidRDefault="00B20F1E" w:rsidP="00B75820">
            <w:pPr>
              <w:pStyle w:val="Tabletext"/>
              <w:ind w:left="284" w:hanging="284"/>
              <w:rPr>
                <w:rFonts w:eastAsia="Calibri"/>
                <w:lang w:val="es-ES"/>
              </w:rPr>
            </w:pPr>
            <w:r w:rsidRPr="000D2717">
              <w:rPr>
                <w:rFonts w:eastAsia="Calibri"/>
                <w:lang w:val="es-ES"/>
              </w:rPr>
              <w:t>12</w:t>
            </w:r>
            <w:r w:rsidRPr="000D2717">
              <w:rPr>
                <w:rFonts w:eastAsia="Calibri"/>
                <w:lang w:val="es-ES"/>
              </w:rPr>
              <w:tab/>
            </w:r>
            <w:r w:rsidRPr="00B75820">
              <w:rPr>
                <w:rFonts w:eastAsia="Calibri"/>
                <w:b/>
                <w:bCs/>
                <w:lang w:val="es-ES"/>
              </w:rPr>
              <w:t>Examinar</w:t>
            </w:r>
            <w:r>
              <w:rPr>
                <w:rFonts w:eastAsia="Calibri"/>
                <w:lang w:val="es-ES"/>
              </w:rPr>
              <w:t xml:space="preserve"> </w:t>
            </w:r>
            <w:r>
              <w:rPr>
                <w:rFonts w:eastAsia="Calibri"/>
                <w:bCs/>
                <w:lang w:val="es-ES"/>
              </w:rPr>
              <w:t>las</w:t>
            </w:r>
            <w:r w:rsidRPr="000D2717">
              <w:rPr>
                <w:rFonts w:eastAsia="Calibri"/>
                <w:lang w:val="es-ES"/>
              </w:rPr>
              <w:t xml:space="preserve"> asignaciones de frecuencia </w:t>
            </w:r>
            <w:r>
              <w:rPr>
                <w:rFonts w:eastAsia="Calibri"/>
                <w:lang w:val="es-ES"/>
              </w:rPr>
              <w:t xml:space="preserve">del apartado </w:t>
            </w:r>
            <w:r w:rsidRPr="000D2717">
              <w:rPr>
                <w:rFonts w:eastAsia="Calibri"/>
                <w:lang w:val="es-ES"/>
              </w:rPr>
              <w:t xml:space="preserve">6.17 </w:t>
            </w:r>
            <w:r>
              <w:rPr>
                <w:rFonts w:eastAsia="Calibri"/>
                <w:lang w:val="es-ES"/>
              </w:rPr>
              <w:t>de</w:t>
            </w:r>
            <w:r w:rsidRPr="000D2717">
              <w:rPr>
                <w:rFonts w:eastAsia="Calibri"/>
                <w:lang w:val="es-ES"/>
              </w:rPr>
              <w:t xml:space="preserve"> la Lista</w:t>
            </w:r>
            <w:r>
              <w:rPr>
                <w:rFonts w:eastAsia="Calibri"/>
                <w:lang w:val="es-ES"/>
              </w:rPr>
              <w:t xml:space="preserve"> que </w:t>
            </w:r>
            <w:r w:rsidRPr="000D2717">
              <w:rPr>
                <w:rFonts w:eastAsia="Calibri"/>
                <w:lang w:val="es-ES"/>
              </w:rPr>
              <w:t xml:space="preserve">pueden </w:t>
            </w:r>
            <w:r>
              <w:rPr>
                <w:rFonts w:eastAsia="Calibri"/>
                <w:lang w:val="es-ES"/>
              </w:rPr>
              <w:t>utilizarse</w:t>
            </w:r>
            <w:r w:rsidRPr="000D2717">
              <w:rPr>
                <w:rFonts w:eastAsia="Calibri"/>
                <w:lang w:val="es-ES"/>
              </w:rPr>
              <w:t xml:space="preserve"> como asignaciones </w:t>
            </w:r>
            <w:r>
              <w:rPr>
                <w:rFonts w:eastAsia="Calibri"/>
                <w:lang w:val="es-ES"/>
              </w:rPr>
              <w:t>complementarias</w:t>
            </w:r>
            <w:r w:rsidRPr="000D2717">
              <w:rPr>
                <w:rFonts w:eastAsia="Calibri"/>
                <w:lang w:val="es-ES"/>
              </w:rPr>
              <w:t xml:space="preserve"> </w:t>
            </w:r>
            <w:r>
              <w:rPr>
                <w:rFonts w:eastAsia="Calibri"/>
                <w:lang w:val="es-ES"/>
              </w:rPr>
              <w:t>a las ETEM</w:t>
            </w:r>
            <w:r w:rsidRPr="000D2717">
              <w:rPr>
                <w:rFonts w:eastAsia="Calibri"/>
                <w:lang w:val="es-ES"/>
              </w:rPr>
              <w:t>.</w:t>
            </w:r>
          </w:p>
          <w:p w14:paraId="02A06318" w14:textId="4B92D831" w:rsidR="00B20F1E" w:rsidRPr="000D2717" w:rsidRDefault="00B20F1E" w:rsidP="00B75820">
            <w:pPr>
              <w:pStyle w:val="Tabletext"/>
              <w:ind w:left="284" w:hanging="284"/>
              <w:rPr>
                <w:rFonts w:eastAsia="Calibri"/>
                <w:lang w:val="es-ES"/>
              </w:rPr>
            </w:pPr>
            <w:r w:rsidRPr="000D2717">
              <w:rPr>
                <w:rFonts w:eastAsia="Calibri"/>
                <w:lang w:val="es-ES"/>
              </w:rPr>
              <w:t>13</w:t>
            </w:r>
            <w:r w:rsidRPr="000D2717">
              <w:rPr>
                <w:rFonts w:eastAsia="Calibri"/>
                <w:lang w:val="es-ES"/>
              </w:rPr>
              <w:tab/>
            </w:r>
            <w:r w:rsidRPr="00B75820">
              <w:rPr>
                <w:rFonts w:eastAsia="Calibri"/>
                <w:b/>
                <w:bCs/>
                <w:lang w:val="es-ES"/>
              </w:rPr>
              <w:t>Necesidad</w:t>
            </w:r>
            <w:r w:rsidRPr="000D2717">
              <w:rPr>
                <w:rFonts w:eastAsia="Calibri"/>
                <w:lang w:val="es-ES"/>
              </w:rPr>
              <w:t xml:space="preserve"> de </w:t>
            </w:r>
            <w:r>
              <w:rPr>
                <w:rFonts w:eastAsia="Calibri"/>
                <w:lang w:val="es-ES"/>
              </w:rPr>
              <w:t>examinar</w:t>
            </w:r>
            <w:r w:rsidRPr="000D2717">
              <w:rPr>
                <w:rFonts w:eastAsia="Calibri"/>
                <w:lang w:val="es-ES"/>
              </w:rPr>
              <w:t xml:space="preserve"> </w:t>
            </w:r>
            <w:r>
              <w:rPr>
                <w:rFonts w:eastAsia="Calibri"/>
                <w:lang w:val="es-ES"/>
              </w:rPr>
              <w:t>los costes</w:t>
            </w:r>
            <w:r w:rsidRPr="000D2717">
              <w:rPr>
                <w:rFonts w:eastAsia="Calibri"/>
                <w:lang w:val="es-ES"/>
              </w:rPr>
              <w:t xml:space="preserve"> asociado</w:t>
            </w:r>
            <w:r>
              <w:rPr>
                <w:rFonts w:eastAsia="Calibri"/>
                <w:lang w:val="es-ES"/>
              </w:rPr>
              <w:t>s</w:t>
            </w:r>
            <w:r w:rsidRPr="000D2717">
              <w:rPr>
                <w:rFonts w:eastAsia="Calibri"/>
                <w:lang w:val="es-ES"/>
              </w:rPr>
              <w:t xml:space="preserve"> a la posible aplicación del </w:t>
            </w:r>
            <w:r>
              <w:rPr>
                <w:rFonts w:eastAsia="Calibri"/>
                <w:lang w:val="es-ES"/>
              </w:rPr>
              <w:t>p</w:t>
            </w:r>
            <w:r w:rsidRPr="000D2717">
              <w:rPr>
                <w:rFonts w:eastAsia="Calibri"/>
                <w:lang w:val="es-ES"/>
              </w:rPr>
              <w:t xml:space="preserve">royecto de nueva </w:t>
            </w:r>
            <w:r>
              <w:rPr>
                <w:rFonts w:eastAsia="Calibri"/>
                <w:lang w:val="es-ES"/>
              </w:rPr>
              <w:t>R</w:t>
            </w:r>
            <w:r w:rsidRPr="000D2717">
              <w:rPr>
                <w:rFonts w:eastAsia="Calibri"/>
                <w:lang w:val="es-ES"/>
              </w:rPr>
              <w:t xml:space="preserve">esolución </w:t>
            </w:r>
            <w:r>
              <w:rPr>
                <w:rFonts w:eastAsia="Calibri"/>
                <w:lang w:val="es-ES"/>
              </w:rPr>
              <w:t xml:space="preserve">con arreglo al punto </w:t>
            </w:r>
            <w:r w:rsidRPr="000D2717">
              <w:rPr>
                <w:rFonts w:eastAsia="Calibri"/>
                <w:lang w:val="es-ES"/>
              </w:rPr>
              <w:t>1.15</w:t>
            </w:r>
            <w:r>
              <w:rPr>
                <w:rFonts w:eastAsia="Calibri"/>
                <w:lang w:val="es-ES"/>
              </w:rPr>
              <w:t xml:space="preserve"> del orden del día</w:t>
            </w:r>
            <w:r w:rsidRPr="000D2717">
              <w:rPr>
                <w:rFonts w:eastAsia="Calibri"/>
                <w:lang w:val="es-ES"/>
              </w:rPr>
              <w:t>;</w:t>
            </w:r>
          </w:p>
          <w:p w14:paraId="5E063987" w14:textId="5B7CA60B" w:rsidR="00B20F1E" w:rsidRPr="000D2717" w:rsidRDefault="00B20F1E" w:rsidP="00B75820">
            <w:pPr>
              <w:pStyle w:val="Tabletext"/>
              <w:ind w:left="284" w:hanging="284"/>
              <w:rPr>
                <w:rFonts w:eastAsia="Calibri"/>
                <w:lang w:val="es-ES"/>
              </w:rPr>
            </w:pPr>
            <w:r w:rsidRPr="000D2717">
              <w:rPr>
                <w:rFonts w:eastAsia="Calibri"/>
                <w:lang w:val="es-ES"/>
              </w:rPr>
              <w:t>14</w:t>
            </w:r>
            <w:r w:rsidRPr="000D2717">
              <w:rPr>
                <w:rFonts w:eastAsia="Calibri"/>
                <w:lang w:val="es-ES"/>
              </w:rPr>
              <w:tab/>
            </w:r>
            <w:r w:rsidRPr="00B75820">
              <w:rPr>
                <w:rFonts w:eastAsia="Calibri"/>
                <w:b/>
                <w:bCs/>
                <w:lang w:val="es-ES"/>
              </w:rPr>
              <w:t>Adopción</w:t>
            </w:r>
            <w:r>
              <w:rPr>
                <w:rFonts w:eastAsia="Calibri"/>
                <w:lang w:val="es-ES"/>
              </w:rPr>
              <w:t xml:space="preserve"> </w:t>
            </w:r>
            <w:r w:rsidRPr="00885F24">
              <w:rPr>
                <w:rFonts w:eastAsia="Calibri"/>
                <w:bCs/>
                <w:lang w:val="es-ES"/>
              </w:rPr>
              <w:t>de una decisión sobre</w:t>
            </w:r>
            <w:r w:rsidRPr="000D2717">
              <w:rPr>
                <w:rFonts w:eastAsia="Calibri"/>
                <w:lang w:val="es-ES"/>
              </w:rPr>
              <w:t xml:space="preserve"> </w:t>
            </w:r>
            <w:r>
              <w:rPr>
                <w:rFonts w:eastAsia="Calibri"/>
                <w:lang w:val="es-ES"/>
              </w:rPr>
              <w:t>los</w:t>
            </w:r>
            <w:r w:rsidRPr="000D2717">
              <w:rPr>
                <w:rFonts w:eastAsia="Calibri"/>
                <w:lang w:val="es-ES"/>
              </w:rPr>
              <w:t xml:space="preserve"> estudios realizados en el marco de este punto del orden del día </w:t>
            </w:r>
            <w:r>
              <w:rPr>
                <w:rFonts w:eastAsia="Calibri"/>
                <w:lang w:val="es-ES"/>
              </w:rPr>
              <w:t>para considerar</w:t>
            </w:r>
            <w:r w:rsidRPr="000D2717">
              <w:rPr>
                <w:rFonts w:eastAsia="Calibri"/>
                <w:lang w:val="es-ES"/>
              </w:rPr>
              <w:t xml:space="preserve"> el efecto de la interferencia </w:t>
            </w:r>
            <w:r>
              <w:rPr>
                <w:rFonts w:eastAsia="Calibri"/>
                <w:lang w:val="es-ES"/>
              </w:rPr>
              <w:t>combinada</w:t>
            </w:r>
            <w:r w:rsidRPr="000D2717">
              <w:rPr>
                <w:rFonts w:eastAsia="Calibri"/>
                <w:lang w:val="es-ES"/>
              </w:rPr>
              <w:t xml:space="preserve"> de </w:t>
            </w:r>
            <w:r>
              <w:rPr>
                <w:rFonts w:eastAsia="Calibri"/>
                <w:lang w:val="es-ES"/>
              </w:rPr>
              <w:t>las ETEM, a fin de</w:t>
            </w:r>
            <w:r w:rsidRPr="000D2717">
              <w:rPr>
                <w:rFonts w:eastAsia="Calibri"/>
                <w:lang w:val="es-ES"/>
              </w:rPr>
              <w:t xml:space="preserve"> garantizar la protección a largo plazo </w:t>
            </w:r>
            <w:r>
              <w:rPr>
                <w:rFonts w:eastAsia="Calibri"/>
                <w:lang w:val="es-ES"/>
              </w:rPr>
              <w:t>de los servicios</w:t>
            </w:r>
            <w:r w:rsidRPr="000D2717">
              <w:rPr>
                <w:rFonts w:eastAsia="Calibri"/>
                <w:lang w:val="es-ES"/>
              </w:rPr>
              <w:t xml:space="preserve"> fijo y móvil.</w:t>
            </w:r>
          </w:p>
          <w:p w14:paraId="2FD9D786" w14:textId="77777777" w:rsidR="00B20F1E" w:rsidRPr="000D2717" w:rsidRDefault="00B20F1E" w:rsidP="00B75820">
            <w:pPr>
              <w:pStyle w:val="Tabletext"/>
              <w:rPr>
                <w:rFonts w:eastAsia="Calibri"/>
                <w:bCs/>
                <w:i/>
                <w:iCs/>
                <w:lang w:val="es-ES"/>
              </w:rPr>
            </w:pPr>
            <w:r w:rsidRPr="000D2717">
              <w:rPr>
                <w:rFonts w:eastAsia="Calibri"/>
                <w:i/>
                <w:u w:val="single"/>
                <w:lang w:val="es-ES"/>
              </w:rPr>
              <w:t xml:space="preserve">Parte 2: </w:t>
            </w:r>
            <w:r>
              <w:rPr>
                <w:rFonts w:eastAsia="Calibri"/>
                <w:i/>
                <w:u w:val="single"/>
                <w:lang w:val="es-ES"/>
              </w:rPr>
              <w:t>Medidas propuestas</w:t>
            </w:r>
          </w:p>
          <w:p w14:paraId="532DF43D" w14:textId="77777777" w:rsidR="00B20F1E" w:rsidRPr="00B75820" w:rsidRDefault="00B20F1E" w:rsidP="00B75820">
            <w:pPr>
              <w:pStyle w:val="Tabletext"/>
              <w:rPr>
                <w:rFonts w:eastAsia="Calibri"/>
                <w:b/>
                <w:bCs/>
                <w:i/>
                <w:color w:val="000000"/>
                <w:lang w:val="es-ES"/>
              </w:rPr>
            </w:pPr>
            <w:r w:rsidRPr="00B75820">
              <w:rPr>
                <w:rFonts w:eastAsia="Calibri"/>
                <w:b/>
                <w:bCs/>
                <w:i/>
                <w:color w:val="000000"/>
                <w:lang w:val="es-ES"/>
              </w:rPr>
              <w:t>Solicitar a las administraciones de la UAT que:</w:t>
            </w:r>
          </w:p>
          <w:p w14:paraId="24FFA9B8" w14:textId="77777777" w:rsidR="00B20F1E" w:rsidRPr="000D2717" w:rsidRDefault="00B20F1E" w:rsidP="00B75820">
            <w:pPr>
              <w:pStyle w:val="Tabletext"/>
              <w:rPr>
                <w:rFonts w:eastAsia="Calibri"/>
                <w:i/>
                <w:color w:val="000000"/>
                <w:lang w:val="es-ES"/>
              </w:rPr>
            </w:pPr>
            <w:r w:rsidRPr="00B75820">
              <w:rPr>
                <w:rFonts w:eastAsia="Calibri"/>
                <w:b/>
                <w:bCs/>
                <w:lang w:val="es-ES"/>
              </w:rPr>
              <w:t>Apoyen</w:t>
            </w:r>
            <w:r>
              <w:rPr>
                <w:rFonts w:eastAsia="Calibri"/>
                <w:lang w:val="es-ES"/>
              </w:rPr>
              <w:t xml:space="preserve"> </w:t>
            </w:r>
            <w:r w:rsidRPr="00E9078A">
              <w:rPr>
                <w:rFonts w:eastAsia="Calibri"/>
                <w:bCs/>
                <w:lang w:val="es-ES"/>
              </w:rPr>
              <w:t>la AFCP</w:t>
            </w:r>
            <w:r>
              <w:rPr>
                <w:rFonts w:eastAsia="Calibri"/>
                <w:lang w:val="es-ES"/>
              </w:rPr>
              <w:t xml:space="preserve"> </w:t>
            </w:r>
            <w:r w:rsidRPr="000D2717">
              <w:rPr>
                <w:rFonts w:eastAsia="Calibri"/>
                <w:lang w:val="es-ES"/>
              </w:rPr>
              <w:t xml:space="preserve">(método B) en </w:t>
            </w:r>
            <w:r>
              <w:rPr>
                <w:rFonts w:eastAsia="Calibri"/>
                <w:lang w:val="es-ES"/>
              </w:rPr>
              <w:t>relación con este</w:t>
            </w:r>
            <w:r w:rsidRPr="000D2717">
              <w:rPr>
                <w:rFonts w:eastAsia="Calibri"/>
                <w:lang w:val="es-ES"/>
              </w:rPr>
              <w:t xml:space="preserve"> punto del orden del día, sin dejar de velar por que el proyecto de nueva </w:t>
            </w:r>
            <w:r>
              <w:rPr>
                <w:rFonts w:eastAsia="Calibri"/>
                <w:lang w:val="es-ES"/>
              </w:rPr>
              <w:t>R</w:t>
            </w:r>
            <w:r w:rsidRPr="000D2717">
              <w:rPr>
                <w:rFonts w:eastAsia="Calibri"/>
                <w:lang w:val="es-ES"/>
              </w:rPr>
              <w:t xml:space="preserve">esolución </w:t>
            </w:r>
            <w:r>
              <w:rPr>
                <w:rFonts w:eastAsia="Calibri"/>
                <w:lang w:val="es-ES"/>
              </w:rPr>
              <w:t>relativo al</w:t>
            </w:r>
            <w:r w:rsidRPr="000D2717">
              <w:rPr>
                <w:rFonts w:eastAsia="Calibri"/>
                <w:lang w:val="es-ES"/>
              </w:rPr>
              <w:t xml:space="preserve"> método B aborde todos los </w:t>
            </w:r>
            <w:r w:rsidRPr="000D2717">
              <w:rPr>
                <w:rFonts w:eastAsia="Calibri"/>
                <w:color w:val="000000"/>
                <w:lang w:val="es-ES"/>
              </w:rPr>
              <w:t>requisitos enumerados anteriormente</w:t>
            </w:r>
            <w:r w:rsidRPr="000D2717">
              <w:rPr>
                <w:rFonts w:eastAsia="Calibri"/>
                <w:lang w:val="es-ES"/>
              </w:rPr>
              <w:t>.</w:t>
            </w:r>
          </w:p>
        </w:tc>
      </w:tr>
      <w:tr w:rsidR="00B20F1E" w:rsidRPr="00B707C8" w14:paraId="63823678" w14:textId="77777777" w:rsidTr="00DB48C6">
        <w:trPr>
          <w:jc w:val="center"/>
        </w:trPr>
        <w:tc>
          <w:tcPr>
            <w:tcW w:w="2547" w:type="dxa"/>
          </w:tcPr>
          <w:p w14:paraId="5979599C" w14:textId="77777777" w:rsidR="00B20F1E" w:rsidRPr="00B75820" w:rsidRDefault="00B20F1E" w:rsidP="00B75820">
            <w:pPr>
              <w:pStyle w:val="Tabletext"/>
              <w:rPr>
                <w:rFonts w:eastAsia="Calibri"/>
                <w:b/>
                <w:bCs/>
                <w:lang w:val="es-ES"/>
              </w:rPr>
            </w:pPr>
            <w:r w:rsidRPr="00B75820">
              <w:rPr>
                <w:rFonts w:eastAsia="Calibri"/>
                <w:b/>
                <w:bCs/>
                <w:lang w:val="es-ES"/>
              </w:rPr>
              <w:lastRenderedPageBreak/>
              <w:t>Punto 1.16</w:t>
            </w:r>
          </w:p>
          <w:p w14:paraId="1F6FAA7D" w14:textId="4C20BDFF" w:rsidR="00B20F1E" w:rsidRPr="000D2717" w:rsidRDefault="00B20F1E" w:rsidP="00B75820">
            <w:pPr>
              <w:pStyle w:val="Tabletext"/>
              <w:rPr>
                <w:rFonts w:eastAsia="Calibri"/>
                <w:lang w:val="es-ES"/>
              </w:rPr>
            </w:pPr>
            <w:r>
              <w:rPr>
                <w:rFonts w:eastAsia="Calibri"/>
                <w:lang w:val="es-ES"/>
              </w:rPr>
              <w:t>E</w:t>
            </w:r>
            <w:r w:rsidRPr="00E9078A">
              <w:rPr>
                <w:rFonts w:eastAsia="Calibri"/>
                <w:lang w:val="es-ES"/>
              </w:rPr>
              <w:t xml:space="preserve">studiar y </w:t>
            </w:r>
            <w:r>
              <w:rPr>
                <w:rFonts w:eastAsia="Calibri"/>
                <w:lang w:val="es-ES"/>
              </w:rPr>
              <w:t>formular</w:t>
            </w:r>
            <w:r w:rsidRPr="00E9078A">
              <w:rPr>
                <w:rFonts w:eastAsia="Calibri"/>
                <w:lang w:val="es-ES"/>
              </w:rPr>
              <w:t xml:space="preserve"> medidas técnicas, </w:t>
            </w:r>
            <w:r>
              <w:rPr>
                <w:rFonts w:eastAsia="Calibri"/>
                <w:lang w:val="es-ES"/>
              </w:rPr>
              <w:t>operacionales</w:t>
            </w:r>
            <w:r w:rsidRPr="00E9078A">
              <w:rPr>
                <w:rFonts w:eastAsia="Calibri"/>
                <w:lang w:val="es-ES"/>
              </w:rPr>
              <w:t xml:space="preserve"> y reglamentarias, según proceda, para facilitar la utilización de las bandas de frecuencias 17,7 18,6 GHz y 18,8 19,3 GHz y 19,7 20,2 GHz (espacio Tierra) y 27,5</w:t>
            </w:r>
            <w:r w:rsidR="00193D1C">
              <w:rPr>
                <w:rFonts w:eastAsia="Calibri"/>
                <w:lang w:val="es-ES"/>
              </w:rPr>
              <w:t>-</w:t>
            </w:r>
            <w:r w:rsidRPr="00E9078A">
              <w:rPr>
                <w:rFonts w:eastAsia="Calibri"/>
                <w:lang w:val="es-ES"/>
              </w:rPr>
              <w:t xml:space="preserve">29,1 GHz y 29,5 30 GHz (Tierra-espacio) por las estaciones terrenas en movimiento no geoestacionarias del </w:t>
            </w:r>
            <w:r>
              <w:rPr>
                <w:rFonts w:eastAsia="Calibri"/>
                <w:lang w:val="es-ES"/>
              </w:rPr>
              <w:t>SFS</w:t>
            </w:r>
            <w:r w:rsidRPr="00E9078A">
              <w:rPr>
                <w:rFonts w:eastAsia="Calibri"/>
                <w:lang w:val="es-ES"/>
              </w:rPr>
              <w:t xml:space="preserve">, </w:t>
            </w:r>
            <w:r>
              <w:rPr>
                <w:rFonts w:eastAsia="Calibri"/>
                <w:lang w:val="es-ES"/>
              </w:rPr>
              <w:t xml:space="preserve">al tiempo que se garantiza </w:t>
            </w:r>
            <w:r w:rsidRPr="00E9078A">
              <w:rPr>
                <w:rFonts w:eastAsia="Calibri"/>
                <w:lang w:val="es-ES"/>
              </w:rPr>
              <w:t xml:space="preserve">la debida protección de los servicios existentes en dichas bandas de frecuencias, de conformidad con la Resolución </w:t>
            </w:r>
            <w:r w:rsidRPr="00B75820">
              <w:rPr>
                <w:rFonts w:eastAsia="Calibri"/>
                <w:b/>
                <w:lang w:val="es-ES"/>
              </w:rPr>
              <w:t>173 (CMR 19)</w:t>
            </w:r>
            <w:r>
              <w:rPr>
                <w:rFonts w:eastAsia="Calibri"/>
                <w:bCs/>
                <w:lang w:val="es-ES"/>
              </w:rPr>
              <w:t>.</w:t>
            </w:r>
          </w:p>
        </w:tc>
        <w:tc>
          <w:tcPr>
            <w:tcW w:w="6718" w:type="dxa"/>
          </w:tcPr>
          <w:p w14:paraId="19EC37B5" w14:textId="77777777" w:rsidR="00B20F1E" w:rsidRPr="000D2717" w:rsidRDefault="00B20F1E" w:rsidP="00B75820">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1621DA5F" w14:textId="77777777" w:rsidR="00B20F1E" w:rsidRPr="00B75820" w:rsidRDefault="00B20F1E" w:rsidP="00B75820">
            <w:pPr>
              <w:pStyle w:val="Tabletext"/>
              <w:rPr>
                <w:rFonts w:eastAsia="Calibri"/>
                <w:b/>
                <w:bCs/>
                <w:i/>
                <w:lang w:val="es-ES"/>
              </w:rPr>
            </w:pPr>
            <w:r w:rsidRPr="00B75820">
              <w:rPr>
                <w:rFonts w:eastAsia="Calibri"/>
                <w:b/>
                <w:bCs/>
                <w:i/>
                <w:lang w:val="es-ES"/>
              </w:rPr>
              <w:t xml:space="preserve">La RPU23-4 acordó apoyar </w:t>
            </w:r>
            <w:r w:rsidRPr="00B75820">
              <w:rPr>
                <w:rFonts w:eastAsia="Calibri"/>
                <w:b/>
                <w:bCs/>
                <w:i/>
                <w:u w:val="single"/>
                <w:lang w:val="es-ES"/>
              </w:rPr>
              <w:t xml:space="preserve">el método B </w:t>
            </w:r>
            <w:r w:rsidRPr="00B75820">
              <w:rPr>
                <w:rFonts w:eastAsia="Calibri"/>
                <w:b/>
                <w:bCs/>
                <w:i/>
                <w:lang w:val="es-ES"/>
              </w:rPr>
              <w:t>si se cumplen las siguientes condiciones:</w:t>
            </w:r>
          </w:p>
          <w:p w14:paraId="2BC32A28" w14:textId="6FD8A66A" w:rsidR="00B20F1E" w:rsidRPr="000D2717" w:rsidRDefault="00B75820" w:rsidP="00B75820">
            <w:pPr>
              <w:pStyle w:val="Tabletext"/>
              <w:ind w:left="284" w:hanging="284"/>
              <w:rPr>
                <w:rFonts w:eastAsia="Calibri"/>
                <w:lang w:val="es-ES"/>
              </w:rPr>
            </w:pPr>
            <w:r>
              <w:rPr>
                <w:rFonts w:eastAsia="Calibri"/>
                <w:lang w:val="es-ES"/>
              </w:rPr>
              <w:t>1</w:t>
            </w:r>
            <w:r>
              <w:rPr>
                <w:rFonts w:eastAsia="Calibri"/>
                <w:lang w:val="es-ES"/>
              </w:rPr>
              <w:tab/>
            </w:r>
            <w:r w:rsidR="00B20F1E" w:rsidRPr="000D2717">
              <w:rPr>
                <w:rFonts w:eastAsia="Calibri"/>
                <w:lang w:val="es-ES"/>
              </w:rPr>
              <w:t xml:space="preserve">Para la protección de los servicios terrenales en la banda 27,5-29,1 GHz, </w:t>
            </w:r>
            <w:r w:rsidR="00B20F1E" w:rsidRPr="00063B8E">
              <w:rPr>
                <w:rFonts w:eastAsia="Calibri"/>
                <w:lang w:val="es-ES"/>
              </w:rPr>
              <w:t xml:space="preserve">las ETEM no OSG transmisoras en la banda de frecuencias 27,5-29,1 GHz no causarán interferencia inaceptable a los servicios terrenales a los que está atribuida la banda de frecuencias y cuyo funcionamiento sea conforme con el Reglamento de Radiocomunicaciones, y será de aplicación el Anexo 1 a la </w:t>
            </w:r>
            <w:r w:rsidR="00B20F1E">
              <w:rPr>
                <w:rFonts w:eastAsia="Calibri"/>
                <w:lang w:val="es-ES"/>
              </w:rPr>
              <w:t>nueva</w:t>
            </w:r>
            <w:r w:rsidR="00B20F1E" w:rsidRPr="00063B8E">
              <w:rPr>
                <w:rFonts w:eastAsia="Calibri"/>
                <w:lang w:val="es-ES"/>
              </w:rPr>
              <w:t xml:space="preserve"> Resolución</w:t>
            </w:r>
            <w:r w:rsidR="00B20F1E">
              <w:rPr>
                <w:rFonts w:eastAsia="Calibri"/>
                <w:lang w:val="es-ES"/>
              </w:rPr>
              <w:t xml:space="preserve"> con arreglo a este punto del orden del día</w:t>
            </w:r>
            <w:r w:rsidR="00B20F1E" w:rsidRPr="000D2717">
              <w:rPr>
                <w:rFonts w:eastAsia="Calibri"/>
                <w:lang w:val="es-ES"/>
              </w:rPr>
              <w:t>.</w:t>
            </w:r>
          </w:p>
          <w:p w14:paraId="79350A7B" w14:textId="58E3AA01" w:rsidR="00B20F1E" w:rsidRPr="000D2717" w:rsidRDefault="00B75820" w:rsidP="00B75820">
            <w:pPr>
              <w:pStyle w:val="Tabletext"/>
              <w:ind w:left="284" w:hanging="284"/>
              <w:rPr>
                <w:rFonts w:eastAsia="Calibri"/>
                <w:lang w:val="es-ES"/>
              </w:rPr>
            </w:pPr>
            <w:r>
              <w:rPr>
                <w:rFonts w:eastAsia="Calibri"/>
                <w:lang w:val="es-ES"/>
              </w:rPr>
              <w:t>2</w:t>
            </w:r>
            <w:r>
              <w:rPr>
                <w:rFonts w:eastAsia="Calibri"/>
                <w:lang w:val="es-ES"/>
              </w:rPr>
              <w:tab/>
            </w:r>
            <w:r w:rsidR="00B20F1E" w:rsidRPr="000D2717">
              <w:rPr>
                <w:rFonts w:eastAsia="Calibri"/>
                <w:lang w:val="es-ES"/>
              </w:rPr>
              <w:t xml:space="preserve">Para la protección de la atribución </w:t>
            </w:r>
            <w:r w:rsidR="00B20F1E">
              <w:rPr>
                <w:rFonts w:eastAsia="Calibri"/>
                <w:lang w:val="es-ES"/>
              </w:rPr>
              <w:t>a título secundario</w:t>
            </w:r>
            <w:r w:rsidR="00B20F1E" w:rsidRPr="000D2717">
              <w:rPr>
                <w:rFonts w:eastAsia="Calibri"/>
                <w:lang w:val="es-ES"/>
              </w:rPr>
              <w:t xml:space="preserve"> a los servicios terrenales (número </w:t>
            </w:r>
            <w:r w:rsidR="00B20F1E" w:rsidRPr="00B75820">
              <w:rPr>
                <w:rFonts w:eastAsia="Calibri"/>
                <w:b/>
                <w:bCs/>
                <w:lang w:val="es-ES"/>
              </w:rPr>
              <w:t>5.542</w:t>
            </w:r>
            <w:r w:rsidR="00B20F1E" w:rsidRPr="000D2717">
              <w:rPr>
                <w:rFonts w:eastAsia="Calibri"/>
                <w:lang w:val="es-ES"/>
              </w:rPr>
              <w:t xml:space="preserve">) en la banda 29,5-30 GHz, </w:t>
            </w:r>
            <w:r w:rsidR="00B20F1E" w:rsidRPr="00063B8E">
              <w:rPr>
                <w:rFonts w:eastAsia="Calibri"/>
                <w:lang w:val="es-ES"/>
              </w:rPr>
              <w:t xml:space="preserve">las ETEM no OSG transmisoras </w:t>
            </w:r>
            <w:r w:rsidR="00B20F1E" w:rsidRPr="000D2717">
              <w:rPr>
                <w:rFonts w:eastAsia="Calibri"/>
                <w:lang w:val="es-ES"/>
              </w:rPr>
              <w:t>en la banda de frecuencias 29,5-30,0 GHz no afectará</w:t>
            </w:r>
            <w:r w:rsidR="00B20F1E">
              <w:rPr>
                <w:rFonts w:eastAsia="Calibri"/>
                <w:lang w:val="es-ES"/>
              </w:rPr>
              <w:t>n</w:t>
            </w:r>
            <w:r w:rsidR="00B20F1E" w:rsidRPr="000D2717">
              <w:rPr>
                <w:rFonts w:eastAsia="Calibri"/>
                <w:lang w:val="es-ES"/>
              </w:rPr>
              <w:t xml:space="preserve"> </w:t>
            </w:r>
            <w:r w:rsidR="00B20F1E">
              <w:rPr>
                <w:rFonts w:eastAsia="Calibri"/>
                <w:lang w:val="es-ES"/>
              </w:rPr>
              <w:t>adversamente</w:t>
            </w:r>
            <w:r w:rsidR="00B20F1E" w:rsidRPr="000D2717">
              <w:rPr>
                <w:rFonts w:eastAsia="Calibri"/>
                <w:lang w:val="es-ES"/>
              </w:rPr>
              <w:t xml:space="preserve"> a</w:t>
            </w:r>
            <w:r w:rsidR="00B20F1E">
              <w:rPr>
                <w:rFonts w:eastAsia="Calibri"/>
                <w:lang w:val="es-ES"/>
              </w:rPr>
              <w:t>l funcionamiento</w:t>
            </w:r>
            <w:r w:rsidR="00B20F1E" w:rsidRPr="000D2717">
              <w:rPr>
                <w:rFonts w:eastAsia="Calibri"/>
                <w:lang w:val="es-ES"/>
              </w:rPr>
              <w:t xml:space="preserve"> de los servicios terrenales a los que está atribuida </w:t>
            </w:r>
            <w:r w:rsidR="00B20F1E">
              <w:rPr>
                <w:rFonts w:eastAsia="Calibri"/>
                <w:lang w:val="es-ES"/>
              </w:rPr>
              <w:t>la</w:t>
            </w:r>
            <w:r w:rsidR="00B20F1E" w:rsidRPr="000D2717">
              <w:rPr>
                <w:rFonts w:eastAsia="Calibri"/>
                <w:lang w:val="es-ES"/>
              </w:rPr>
              <w:t xml:space="preserve"> banda de frecuencias y </w:t>
            </w:r>
            <w:r w:rsidR="00B20F1E">
              <w:rPr>
                <w:rFonts w:eastAsia="Calibri"/>
                <w:lang w:val="es-ES"/>
              </w:rPr>
              <w:t xml:space="preserve">cuyo funcionamiento </w:t>
            </w:r>
            <w:r w:rsidR="00B20F1E" w:rsidRPr="000D2717">
              <w:rPr>
                <w:rFonts w:eastAsia="Calibri"/>
                <w:lang w:val="es-ES"/>
              </w:rPr>
              <w:t xml:space="preserve"> </w:t>
            </w:r>
            <w:r w:rsidR="00B20F1E" w:rsidRPr="00063B8E">
              <w:rPr>
                <w:rFonts w:eastAsia="Calibri"/>
                <w:lang w:val="es-ES"/>
              </w:rPr>
              <w:t>sea conforme con el Reglamento de Radiocomunicaciones, y será</w:t>
            </w:r>
            <w:r w:rsidR="00B20F1E">
              <w:rPr>
                <w:rFonts w:eastAsia="Calibri"/>
                <w:lang w:val="es-ES"/>
              </w:rPr>
              <w:t>n</w:t>
            </w:r>
            <w:r w:rsidR="00B20F1E" w:rsidRPr="00063B8E">
              <w:rPr>
                <w:rFonts w:eastAsia="Calibri"/>
                <w:lang w:val="es-ES"/>
              </w:rPr>
              <w:t xml:space="preserve"> de aplicación </w:t>
            </w:r>
            <w:r w:rsidR="00B20F1E">
              <w:rPr>
                <w:rFonts w:eastAsia="Calibri"/>
                <w:lang w:val="es-ES"/>
              </w:rPr>
              <w:t>las condiciones técnicas del</w:t>
            </w:r>
            <w:r w:rsidR="00B20F1E" w:rsidRPr="00063B8E">
              <w:rPr>
                <w:rFonts w:eastAsia="Calibri"/>
                <w:lang w:val="es-ES"/>
              </w:rPr>
              <w:t xml:space="preserve"> Anexo 1 a la </w:t>
            </w:r>
            <w:r w:rsidR="00B20F1E">
              <w:rPr>
                <w:rFonts w:eastAsia="Calibri"/>
                <w:lang w:val="es-ES"/>
              </w:rPr>
              <w:t>nueva</w:t>
            </w:r>
            <w:r w:rsidR="00B20F1E" w:rsidRPr="00063B8E">
              <w:rPr>
                <w:rFonts w:eastAsia="Calibri"/>
                <w:lang w:val="es-ES"/>
              </w:rPr>
              <w:t xml:space="preserve"> Resolución</w:t>
            </w:r>
            <w:r w:rsidR="00B20F1E">
              <w:rPr>
                <w:rFonts w:eastAsia="Calibri"/>
                <w:lang w:val="es-ES"/>
              </w:rPr>
              <w:t xml:space="preserve"> con arreglo a este punto del orden del día</w:t>
            </w:r>
            <w:r w:rsidR="00B20F1E" w:rsidRPr="000D2717">
              <w:rPr>
                <w:rFonts w:eastAsia="Calibri"/>
                <w:lang w:val="es-ES"/>
              </w:rPr>
              <w:t xml:space="preserve"> con respecto a las administraciones mencionadas en el número </w:t>
            </w:r>
            <w:r w:rsidR="00B20F1E" w:rsidRPr="00B75820">
              <w:rPr>
                <w:rFonts w:eastAsia="Calibri"/>
                <w:b/>
                <w:bCs/>
                <w:lang w:val="es-ES"/>
              </w:rPr>
              <w:t xml:space="preserve">5.542 </w:t>
            </w:r>
            <w:r w:rsidR="00B20F1E" w:rsidRPr="000D2717">
              <w:rPr>
                <w:rFonts w:eastAsia="Calibri"/>
                <w:lang w:val="es-ES"/>
              </w:rPr>
              <w:t>del RR.</w:t>
            </w:r>
          </w:p>
          <w:p w14:paraId="02E01B9B" w14:textId="03130879" w:rsidR="00B20F1E" w:rsidRPr="000D2717" w:rsidRDefault="00B75820" w:rsidP="00B75820">
            <w:pPr>
              <w:pStyle w:val="Tabletext"/>
              <w:ind w:left="284" w:hanging="284"/>
              <w:rPr>
                <w:rFonts w:eastAsia="Calibri"/>
                <w:lang w:val="es-ES"/>
              </w:rPr>
            </w:pPr>
            <w:r>
              <w:rPr>
                <w:rFonts w:eastAsia="Calibri"/>
                <w:lang w:val="es-ES"/>
              </w:rPr>
              <w:t>3</w:t>
            </w:r>
            <w:r>
              <w:rPr>
                <w:rFonts w:eastAsia="Calibri"/>
                <w:lang w:val="es-ES"/>
              </w:rPr>
              <w:tab/>
            </w:r>
            <w:r w:rsidR="00B20F1E" w:rsidRPr="000D2717">
              <w:rPr>
                <w:rFonts w:eastAsia="Calibri"/>
                <w:lang w:val="es-ES"/>
              </w:rPr>
              <w:t xml:space="preserve">Las </w:t>
            </w:r>
            <w:r w:rsidR="00B20F1E" w:rsidRPr="00A05D33">
              <w:rPr>
                <w:rFonts w:eastAsia="Calibri"/>
                <w:lang w:val="es-ES"/>
              </w:rPr>
              <w:t>ETEM no OSG receptoras en las bandas de frecuencias 17,7-18,6 GHz y 18,8</w:t>
            </w:r>
            <w:r w:rsidR="00193D1C">
              <w:rPr>
                <w:rFonts w:eastAsia="Calibri"/>
                <w:lang w:val="es-ES"/>
              </w:rPr>
              <w:t>-</w:t>
            </w:r>
            <w:r w:rsidR="00B20F1E" w:rsidRPr="00A05D33">
              <w:rPr>
                <w:rFonts w:eastAsia="Calibri"/>
                <w:lang w:val="es-ES"/>
              </w:rPr>
              <w:t>19,3 GHz y 19,7-20,2 GHz (véase el número 5.524) no reclamarán protección contra las asignaciones a los servicios terrenales a los que estén atribuidas dichas bandas de frecuencias y cuyo funcionamiento sea conforme con el Reglamento de Radiocomunicaciones</w:t>
            </w:r>
            <w:r w:rsidR="00B20F1E" w:rsidRPr="000D2717">
              <w:rPr>
                <w:rFonts w:eastAsia="Calibri"/>
                <w:lang w:val="es-ES"/>
              </w:rPr>
              <w:t>.</w:t>
            </w:r>
          </w:p>
          <w:p w14:paraId="6A8FB3CA" w14:textId="4260A942" w:rsidR="00B20F1E" w:rsidRPr="000D2717" w:rsidRDefault="00B75820" w:rsidP="00B75820">
            <w:pPr>
              <w:pStyle w:val="Tabletext"/>
              <w:ind w:left="284" w:hanging="284"/>
              <w:rPr>
                <w:rFonts w:eastAsia="Calibri"/>
                <w:lang w:val="es-ES"/>
              </w:rPr>
            </w:pPr>
            <w:r>
              <w:rPr>
                <w:rFonts w:eastAsia="Calibri"/>
                <w:lang w:val="es-ES"/>
              </w:rPr>
              <w:t>4</w:t>
            </w:r>
            <w:r>
              <w:rPr>
                <w:rFonts w:eastAsia="Calibri"/>
                <w:lang w:val="es-ES"/>
              </w:rPr>
              <w:tab/>
            </w:r>
            <w:r w:rsidR="00B20F1E" w:rsidRPr="000D2717">
              <w:rPr>
                <w:rFonts w:eastAsia="Calibri"/>
                <w:lang w:val="es-ES"/>
              </w:rPr>
              <w:t xml:space="preserve">Para la protección de los servicios espaciales, las características de las </w:t>
            </w:r>
            <w:r w:rsidR="00B20F1E">
              <w:rPr>
                <w:rFonts w:eastAsia="Calibri"/>
                <w:lang w:val="es-ES"/>
              </w:rPr>
              <w:t>ETEM</w:t>
            </w:r>
            <w:r w:rsidR="00B20F1E" w:rsidRPr="000D2717">
              <w:rPr>
                <w:rFonts w:eastAsia="Calibri"/>
                <w:lang w:val="es-ES"/>
              </w:rPr>
              <w:t xml:space="preserve"> no OSG deberán </w:t>
            </w:r>
            <w:r w:rsidR="00B20F1E">
              <w:rPr>
                <w:rFonts w:eastAsia="Calibri"/>
                <w:lang w:val="es-ES"/>
              </w:rPr>
              <w:t>permanecer dentro de la envolvente de</w:t>
            </w:r>
            <w:r w:rsidR="00B20F1E" w:rsidRPr="000D2717">
              <w:rPr>
                <w:rFonts w:eastAsia="Calibri"/>
                <w:lang w:val="es-ES"/>
              </w:rPr>
              <w:t xml:space="preserve"> las características de las estaciones terrenas típicas asociadas </w:t>
            </w:r>
            <w:r w:rsidR="00B20F1E">
              <w:rPr>
                <w:rFonts w:eastAsia="Calibri"/>
                <w:lang w:val="es-ES"/>
              </w:rPr>
              <w:t>a los</w:t>
            </w:r>
            <w:r w:rsidR="00B20F1E" w:rsidRPr="000D2717">
              <w:rPr>
                <w:rFonts w:eastAsia="Calibri"/>
                <w:lang w:val="es-ES"/>
              </w:rPr>
              <w:t xml:space="preserve"> sistema</w:t>
            </w:r>
            <w:r w:rsidR="00B20F1E">
              <w:rPr>
                <w:rFonts w:eastAsia="Calibri"/>
                <w:lang w:val="es-ES"/>
              </w:rPr>
              <w:t>s</w:t>
            </w:r>
            <w:r w:rsidR="00B20F1E" w:rsidRPr="000D2717">
              <w:rPr>
                <w:rFonts w:eastAsia="Calibri"/>
                <w:lang w:val="es-ES"/>
              </w:rPr>
              <w:t xml:space="preserve"> de satélites no OSG con </w:t>
            </w:r>
            <w:r w:rsidR="00B20F1E">
              <w:rPr>
                <w:rFonts w:eastAsia="Calibri"/>
                <w:lang w:val="es-ES"/>
              </w:rPr>
              <w:t>los</w:t>
            </w:r>
            <w:r w:rsidR="00B20F1E" w:rsidRPr="000D2717">
              <w:rPr>
                <w:rFonts w:eastAsia="Calibri"/>
                <w:lang w:val="es-ES"/>
              </w:rPr>
              <w:t xml:space="preserve"> que se comunican </w:t>
            </w:r>
            <w:r w:rsidR="00B20F1E">
              <w:rPr>
                <w:rFonts w:eastAsia="Calibri"/>
                <w:lang w:val="es-ES"/>
              </w:rPr>
              <w:t>dichas ETEM</w:t>
            </w:r>
            <w:r w:rsidR="00B20F1E" w:rsidRPr="000D2717">
              <w:rPr>
                <w:rFonts w:eastAsia="Calibri"/>
                <w:lang w:val="es-ES"/>
              </w:rPr>
              <w:t>.</w:t>
            </w:r>
          </w:p>
          <w:p w14:paraId="25F14C37" w14:textId="622F743A" w:rsidR="00B20F1E" w:rsidRPr="000D2717" w:rsidRDefault="00B75820" w:rsidP="00B75820">
            <w:pPr>
              <w:pStyle w:val="Tabletext"/>
              <w:ind w:left="284" w:hanging="284"/>
              <w:rPr>
                <w:rFonts w:eastAsia="Calibri"/>
                <w:lang w:val="es-ES"/>
              </w:rPr>
            </w:pPr>
            <w:r>
              <w:rPr>
                <w:rFonts w:eastAsia="Calibri"/>
                <w:lang w:val="es-ES"/>
              </w:rPr>
              <w:t>5</w:t>
            </w:r>
            <w:r>
              <w:rPr>
                <w:rFonts w:eastAsia="Calibri"/>
                <w:lang w:val="es-ES"/>
              </w:rPr>
              <w:tab/>
            </w:r>
            <w:r w:rsidR="00B20F1E" w:rsidRPr="000D2717">
              <w:rPr>
                <w:rFonts w:eastAsia="Calibri"/>
                <w:lang w:val="es-ES"/>
              </w:rPr>
              <w:t xml:space="preserve">Para la protección de los sistemas OSG </w:t>
            </w:r>
            <w:r w:rsidR="00B20F1E">
              <w:rPr>
                <w:rFonts w:eastAsia="Calibri"/>
                <w:lang w:val="es-ES"/>
              </w:rPr>
              <w:t>del</w:t>
            </w:r>
            <w:r w:rsidR="00B20F1E" w:rsidRPr="000D2717">
              <w:rPr>
                <w:rFonts w:eastAsia="Calibri"/>
                <w:lang w:val="es-ES"/>
              </w:rPr>
              <w:t xml:space="preserve"> SFS y </w:t>
            </w:r>
            <w:r w:rsidR="00B20F1E">
              <w:rPr>
                <w:rFonts w:eastAsia="Calibri"/>
                <w:lang w:val="es-ES"/>
              </w:rPr>
              <w:t xml:space="preserve">el </w:t>
            </w:r>
            <w:r w:rsidR="00B20F1E" w:rsidRPr="000D2717">
              <w:rPr>
                <w:rFonts w:eastAsia="Calibri"/>
                <w:lang w:val="es-ES"/>
              </w:rPr>
              <w:t>SRS</w:t>
            </w:r>
            <w:r w:rsidR="00B20F1E">
              <w:rPr>
                <w:rFonts w:eastAsia="Calibri"/>
                <w:lang w:val="es-ES"/>
              </w:rPr>
              <w:t xml:space="preserve"> que funcionan </w:t>
            </w:r>
            <w:r w:rsidR="00B20F1E" w:rsidRPr="000D2717">
              <w:rPr>
                <w:rFonts w:eastAsia="Calibri"/>
                <w:lang w:val="es-ES"/>
              </w:rPr>
              <w:t xml:space="preserve">en las bandas de frecuencias 17,7-18,6 GHz, frente a los sistemas no OSG </w:t>
            </w:r>
            <w:r w:rsidR="00B20F1E">
              <w:rPr>
                <w:rFonts w:eastAsia="Calibri"/>
                <w:lang w:val="es-ES"/>
              </w:rPr>
              <w:t xml:space="preserve">del </w:t>
            </w:r>
            <w:r w:rsidR="00B20F1E" w:rsidRPr="000D2717">
              <w:rPr>
                <w:rFonts w:eastAsia="Calibri"/>
                <w:lang w:val="es-ES"/>
              </w:rPr>
              <w:t xml:space="preserve">SFS que utilizan </w:t>
            </w:r>
            <w:r w:rsidR="00B20F1E">
              <w:rPr>
                <w:rFonts w:eastAsia="Calibri"/>
                <w:lang w:val="es-ES"/>
              </w:rPr>
              <w:t>ETEM</w:t>
            </w:r>
            <w:r w:rsidR="00B20F1E" w:rsidRPr="000D2717">
              <w:rPr>
                <w:rFonts w:eastAsia="Calibri"/>
                <w:lang w:val="es-ES"/>
              </w:rPr>
              <w:t xml:space="preserve">, se aplica el </w:t>
            </w:r>
            <w:r w:rsidR="00B20F1E">
              <w:rPr>
                <w:rFonts w:eastAsia="Calibri"/>
                <w:lang w:val="es-ES"/>
              </w:rPr>
              <w:t xml:space="preserve">número </w:t>
            </w:r>
            <w:r w:rsidR="00B20F1E" w:rsidRPr="00193D1C">
              <w:rPr>
                <w:rFonts w:eastAsia="Calibri"/>
                <w:b/>
                <w:bCs/>
                <w:lang w:val="es-ES"/>
              </w:rPr>
              <w:t>22.2</w:t>
            </w:r>
            <w:r w:rsidR="00B20F1E">
              <w:rPr>
                <w:rFonts w:eastAsia="Calibri"/>
                <w:lang w:val="es-ES"/>
              </w:rPr>
              <w:t xml:space="preserve"> del RR</w:t>
            </w:r>
            <w:r w:rsidR="00B20F1E" w:rsidRPr="000D2717">
              <w:rPr>
                <w:rFonts w:eastAsia="Calibri"/>
                <w:lang w:val="es-ES"/>
              </w:rPr>
              <w:t>.</w:t>
            </w:r>
          </w:p>
          <w:p w14:paraId="35059FD1" w14:textId="54EB5E32" w:rsidR="00B20F1E" w:rsidRPr="000D2717" w:rsidRDefault="00B75820" w:rsidP="00B75820">
            <w:pPr>
              <w:pStyle w:val="Tabletext"/>
              <w:ind w:left="284" w:hanging="284"/>
              <w:rPr>
                <w:rFonts w:eastAsia="Calibri"/>
                <w:lang w:val="es-ES"/>
              </w:rPr>
            </w:pPr>
            <w:r>
              <w:rPr>
                <w:rFonts w:eastAsia="Calibri"/>
                <w:color w:val="000000" w:themeColor="text1"/>
                <w:lang w:val="es-ES"/>
              </w:rPr>
              <w:t>6</w:t>
            </w:r>
            <w:r>
              <w:rPr>
                <w:rFonts w:eastAsia="Calibri"/>
                <w:color w:val="000000" w:themeColor="text1"/>
                <w:lang w:val="es-ES"/>
              </w:rPr>
              <w:tab/>
            </w:r>
            <w:r w:rsidR="00B20F1E" w:rsidRPr="003D5CCE">
              <w:rPr>
                <w:rFonts w:eastAsia="Calibri"/>
                <w:color w:val="000000" w:themeColor="text1"/>
                <w:lang w:val="es-ES"/>
              </w:rPr>
              <w:t xml:space="preserve">Para la protección </w:t>
            </w:r>
            <w:r w:rsidR="00B20F1E" w:rsidRPr="000D2717">
              <w:rPr>
                <w:rFonts w:eastAsia="Calibri"/>
                <w:lang w:val="es-ES"/>
              </w:rPr>
              <w:t xml:space="preserve">de las redes OSG del SFS que funcionan en las bandas 17,8-18,6 GHz, 19,7-20,2 GHz, 27,5-28,6 GHz y 29,5-30,0 GHz, se aplicarán los límites </w:t>
            </w:r>
            <w:r w:rsidR="00B20F1E">
              <w:rPr>
                <w:rFonts w:eastAsia="Calibri"/>
                <w:lang w:val="es-ES"/>
              </w:rPr>
              <w:t>de</w:t>
            </w:r>
            <w:r w:rsidR="00B20F1E" w:rsidRPr="003D5CCE">
              <w:rPr>
                <w:lang w:val="es-ES"/>
              </w:rPr>
              <w:t xml:space="preserve"> </w:t>
            </w:r>
            <w:r w:rsidR="00B20F1E" w:rsidRPr="003D5CCE">
              <w:rPr>
                <w:rFonts w:eastAsia="Calibri"/>
                <w:lang w:val="es-ES"/>
              </w:rPr>
              <w:t>DFPE</w:t>
            </w:r>
            <w:r w:rsidR="00B20F1E" w:rsidRPr="000D2717">
              <w:rPr>
                <w:rFonts w:eastAsia="Calibri"/>
                <w:lang w:val="es-ES"/>
              </w:rPr>
              <w:t xml:space="preserve"> pertinentes </w:t>
            </w:r>
            <w:r w:rsidR="00B20F1E">
              <w:rPr>
                <w:rFonts w:eastAsia="Calibri"/>
                <w:lang w:val="es-ES"/>
              </w:rPr>
              <w:t>con arreglo a</w:t>
            </w:r>
            <w:r w:rsidR="00B20F1E" w:rsidRPr="000D2717">
              <w:rPr>
                <w:rFonts w:eastAsia="Calibri"/>
                <w:lang w:val="es-ES"/>
              </w:rPr>
              <w:t xml:space="preserve"> los números 22.5C, 22.5D y 22.5F.</w:t>
            </w:r>
          </w:p>
          <w:p w14:paraId="33D0D37E" w14:textId="0DB5EFDF" w:rsidR="00B20F1E" w:rsidRPr="000D2717" w:rsidRDefault="00B75820" w:rsidP="00B75820">
            <w:pPr>
              <w:pStyle w:val="Tabletext"/>
              <w:ind w:left="284" w:hanging="284"/>
              <w:rPr>
                <w:rFonts w:eastAsia="Calibri"/>
                <w:lang w:val="es-ES"/>
              </w:rPr>
            </w:pPr>
            <w:r>
              <w:rPr>
                <w:rFonts w:eastAsia="Calibri"/>
                <w:lang w:val="es-ES"/>
              </w:rPr>
              <w:t>7</w:t>
            </w:r>
            <w:r>
              <w:rPr>
                <w:rFonts w:eastAsia="Calibri"/>
                <w:lang w:val="es-ES"/>
              </w:rPr>
              <w:tab/>
            </w:r>
            <w:r w:rsidR="00B20F1E" w:rsidRPr="000D2717">
              <w:rPr>
                <w:rFonts w:eastAsia="Calibri"/>
                <w:lang w:val="es-ES"/>
              </w:rPr>
              <w:t xml:space="preserve">Para la protección de </w:t>
            </w:r>
            <w:r w:rsidR="00B20F1E">
              <w:rPr>
                <w:rFonts w:eastAsia="Calibri"/>
                <w:lang w:val="es-ES"/>
              </w:rPr>
              <w:t xml:space="preserve">los </w:t>
            </w:r>
            <w:r w:rsidR="00B20F1E" w:rsidRPr="000D2717">
              <w:rPr>
                <w:rFonts w:eastAsia="Calibri"/>
                <w:lang w:val="es-ES"/>
              </w:rPr>
              <w:t xml:space="preserve">sistemas OSG </w:t>
            </w:r>
            <w:r w:rsidR="00B20F1E">
              <w:rPr>
                <w:rFonts w:eastAsia="Calibri"/>
                <w:lang w:val="es-ES"/>
              </w:rPr>
              <w:t>del</w:t>
            </w:r>
            <w:r w:rsidR="00B20F1E" w:rsidRPr="000D2717">
              <w:rPr>
                <w:rFonts w:eastAsia="Calibri"/>
                <w:lang w:val="es-ES"/>
              </w:rPr>
              <w:t xml:space="preserve"> SFS y SRS que </w:t>
            </w:r>
            <w:r w:rsidR="00B20F1E">
              <w:rPr>
                <w:rFonts w:eastAsia="Calibri"/>
                <w:lang w:val="es-ES"/>
              </w:rPr>
              <w:t>funcionan</w:t>
            </w:r>
            <w:r w:rsidR="00B20F1E" w:rsidRPr="000D2717">
              <w:rPr>
                <w:rFonts w:eastAsia="Calibri"/>
                <w:lang w:val="es-ES"/>
              </w:rPr>
              <w:t xml:space="preserve"> en las bandas de frecuencia</w:t>
            </w:r>
            <w:r w:rsidR="00B20F1E">
              <w:rPr>
                <w:rFonts w:eastAsia="Calibri"/>
                <w:lang w:val="es-ES"/>
              </w:rPr>
              <w:t>s</w:t>
            </w:r>
            <w:r w:rsidR="00B20F1E" w:rsidRPr="000D2717">
              <w:rPr>
                <w:rFonts w:eastAsia="Calibri"/>
                <w:lang w:val="es-ES"/>
              </w:rPr>
              <w:t xml:space="preserve"> </w:t>
            </w:r>
            <w:r w:rsidR="00B20F1E">
              <w:rPr>
                <w:rFonts w:eastAsia="Calibri"/>
                <w:lang w:val="es-ES"/>
              </w:rPr>
              <w:t>para</w:t>
            </w:r>
            <w:r w:rsidR="00B20F1E" w:rsidRPr="000D2717">
              <w:rPr>
                <w:rFonts w:eastAsia="Calibri"/>
                <w:lang w:val="es-ES"/>
              </w:rPr>
              <w:t xml:space="preserve"> las que no </w:t>
            </w:r>
            <w:r w:rsidR="00B20F1E">
              <w:rPr>
                <w:rFonts w:eastAsia="Calibri"/>
                <w:lang w:val="es-ES"/>
              </w:rPr>
              <w:t>son aplicables</w:t>
            </w:r>
            <w:r w:rsidR="00B20F1E" w:rsidRPr="000D2717">
              <w:rPr>
                <w:rFonts w:eastAsia="Calibri"/>
                <w:lang w:val="es-ES"/>
              </w:rPr>
              <w:t xml:space="preserve"> los límites de </w:t>
            </w:r>
            <w:proofErr w:type="spellStart"/>
            <w:r w:rsidR="00B20F1E">
              <w:rPr>
                <w:rFonts w:eastAsia="Calibri"/>
                <w:lang w:val="es-ES"/>
              </w:rPr>
              <w:t>dfpe</w:t>
            </w:r>
            <w:proofErr w:type="spellEnd"/>
            <w:r w:rsidR="00B20F1E" w:rsidRPr="000D2717">
              <w:rPr>
                <w:rFonts w:eastAsia="Calibri"/>
                <w:lang w:val="es-ES"/>
              </w:rPr>
              <w:t>:</w:t>
            </w:r>
          </w:p>
          <w:p w14:paraId="6D4E55F2" w14:textId="5D75F809" w:rsidR="00B20F1E" w:rsidRPr="000D2717" w:rsidRDefault="00B75820" w:rsidP="00193D1C">
            <w:pPr>
              <w:pStyle w:val="Tabletext"/>
              <w:ind w:left="567" w:hanging="567"/>
              <w:rPr>
                <w:rFonts w:eastAsia="Calibri"/>
                <w:lang w:val="es-ES"/>
              </w:rPr>
            </w:pPr>
            <w:r>
              <w:rPr>
                <w:rFonts w:eastAsia="Calibri"/>
                <w:lang w:val="es-ES"/>
              </w:rPr>
              <w:tab/>
              <w:t>i)</w:t>
            </w:r>
            <w:r>
              <w:rPr>
                <w:rFonts w:eastAsia="Calibri"/>
                <w:lang w:val="es-ES"/>
              </w:rPr>
              <w:tab/>
            </w:r>
            <w:r w:rsidR="00B20F1E" w:rsidRPr="000D2717">
              <w:rPr>
                <w:rFonts w:eastAsia="Calibri"/>
                <w:lang w:val="es-ES"/>
              </w:rPr>
              <w:t xml:space="preserve">Las características de las </w:t>
            </w:r>
            <w:r w:rsidR="00B20F1E">
              <w:rPr>
                <w:rFonts w:eastAsia="Calibri"/>
                <w:lang w:val="es-ES"/>
              </w:rPr>
              <w:t>ETEM</w:t>
            </w:r>
            <w:r w:rsidR="00B20F1E" w:rsidRPr="000D2717">
              <w:rPr>
                <w:rFonts w:eastAsia="Calibri"/>
                <w:lang w:val="es-ES"/>
              </w:rPr>
              <w:t xml:space="preserve"> no OSG </w:t>
            </w:r>
            <w:r w:rsidR="00B20F1E" w:rsidRPr="00FE099B">
              <w:rPr>
                <w:rFonts w:eastAsia="Calibri"/>
                <w:lang w:val="es-ES"/>
              </w:rPr>
              <w:t xml:space="preserve">deberán permanecer dentro de la envolvente de las características de las estaciones terrenas típicas </w:t>
            </w:r>
            <w:r w:rsidR="00B20F1E" w:rsidRPr="00FE099B">
              <w:rPr>
                <w:rFonts w:eastAsia="Calibri"/>
                <w:lang w:val="es-ES"/>
              </w:rPr>
              <w:lastRenderedPageBreak/>
              <w:t>asociadas a los sistemas de satélites no OSG con que comunican esas ETEM</w:t>
            </w:r>
            <w:r w:rsidR="00B20F1E" w:rsidRPr="000D2717">
              <w:rPr>
                <w:rFonts w:eastAsia="Calibri"/>
                <w:lang w:val="es-ES"/>
              </w:rPr>
              <w:t>;</w:t>
            </w:r>
          </w:p>
          <w:p w14:paraId="7144288F" w14:textId="35B3ABF9" w:rsidR="00B20F1E" w:rsidRPr="000D2717" w:rsidRDefault="00B75820" w:rsidP="00193D1C">
            <w:pPr>
              <w:pStyle w:val="Tabletext"/>
              <w:ind w:left="567" w:hanging="567"/>
              <w:rPr>
                <w:rFonts w:eastAsia="Calibri"/>
                <w:lang w:val="es-ES"/>
              </w:rPr>
            </w:pPr>
            <w:r>
              <w:rPr>
                <w:rFonts w:eastAsia="Calibri"/>
                <w:lang w:val="es-ES"/>
              </w:rPr>
              <w:tab/>
            </w:r>
            <w:proofErr w:type="spellStart"/>
            <w:r>
              <w:rPr>
                <w:rFonts w:eastAsia="Calibri"/>
                <w:lang w:val="es-ES"/>
              </w:rPr>
              <w:t>ii</w:t>
            </w:r>
            <w:proofErr w:type="spellEnd"/>
            <w:r>
              <w:rPr>
                <w:rFonts w:eastAsia="Calibri"/>
                <w:lang w:val="es-ES"/>
              </w:rPr>
              <w:t>)</w:t>
            </w:r>
            <w:r>
              <w:rPr>
                <w:rFonts w:eastAsia="Calibri"/>
                <w:lang w:val="es-ES"/>
              </w:rPr>
              <w:tab/>
            </w:r>
            <w:r w:rsidR="00B20F1E" w:rsidRPr="000D2717">
              <w:rPr>
                <w:rFonts w:eastAsia="Calibri"/>
                <w:lang w:val="es-ES"/>
              </w:rPr>
              <w:t xml:space="preserve">Las </w:t>
            </w:r>
            <w:r w:rsidR="00B20F1E">
              <w:rPr>
                <w:rFonts w:eastAsia="Calibri"/>
                <w:lang w:val="es-ES"/>
              </w:rPr>
              <w:t>ETEM</w:t>
            </w:r>
            <w:r w:rsidR="00B20F1E" w:rsidRPr="000D2717">
              <w:rPr>
                <w:rFonts w:eastAsia="Calibri"/>
                <w:lang w:val="es-ES"/>
              </w:rPr>
              <w:t xml:space="preserve"> no OSG no </w:t>
            </w:r>
            <w:r w:rsidR="00B20F1E">
              <w:rPr>
                <w:rFonts w:eastAsia="Calibri"/>
                <w:lang w:val="es-ES"/>
              </w:rPr>
              <w:t>provocarán</w:t>
            </w:r>
            <w:r w:rsidR="00B20F1E" w:rsidRPr="000D2717">
              <w:rPr>
                <w:rFonts w:eastAsia="Calibri"/>
                <w:lang w:val="es-ES"/>
              </w:rPr>
              <w:t xml:space="preserve"> más interferencia ni reclamarán más protección que las estaciones terrenas típicas de </w:t>
            </w:r>
            <w:r w:rsidR="00B20F1E">
              <w:rPr>
                <w:rFonts w:eastAsia="Calibri"/>
                <w:lang w:val="es-ES"/>
              </w:rPr>
              <w:t>esos</w:t>
            </w:r>
            <w:r w:rsidR="00B20F1E" w:rsidRPr="000D2717">
              <w:rPr>
                <w:rFonts w:eastAsia="Calibri"/>
                <w:lang w:val="es-ES"/>
              </w:rPr>
              <w:t xml:space="preserve"> sistema</w:t>
            </w:r>
            <w:r w:rsidR="00B20F1E">
              <w:rPr>
                <w:rFonts w:eastAsia="Calibri"/>
                <w:lang w:val="es-ES"/>
              </w:rPr>
              <w:t>s</w:t>
            </w:r>
            <w:r w:rsidR="00B20F1E" w:rsidRPr="000D2717">
              <w:rPr>
                <w:rFonts w:eastAsia="Calibri"/>
                <w:lang w:val="es-ES"/>
              </w:rPr>
              <w:t xml:space="preserve"> no OSG; </w:t>
            </w:r>
          </w:p>
          <w:p w14:paraId="5ED4FBB2" w14:textId="6A82C7C3" w:rsidR="00B20F1E" w:rsidRPr="000D2717" w:rsidRDefault="00806AFF" w:rsidP="00193D1C">
            <w:pPr>
              <w:pStyle w:val="Tabletext"/>
              <w:ind w:left="567" w:hanging="567"/>
              <w:rPr>
                <w:rFonts w:eastAsia="Calibri"/>
                <w:lang w:val="es-ES"/>
              </w:rPr>
            </w:pPr>
            <w:r>
              <w:rPr>
                <w:rFonts w:eastAsia="Calibri"/>
                <w:lang w:val="es-ES"/>
              </w:rPr>
              <w:tab/>
            </w:r>
            <w:proofErr w:type="spellStart"/>
            <w:r>
              <w:rPr>
                <w:rFonts w:eastAsia="Calibri"/>
                <w:lang w:val="es-ES"/>
              </w:rPr>
              <w:t>iii</w:t>
            </w:r>
            <w:proofErr w:type="spellEnd"/>
            <w:r>
              <w:rPr>
                <w:rFonts w:eastAsia="Calibri"/>
                <w:lang w:val="es-ES"/>
              </w:rPr>
              <w:t>)</w:t>
            </w:r>
            <w:r>
              <w:rPr>
                <w:rFonts w:eastAsia="Calibri"/>
                <w:lang w:val="es-ES"/>
              </w:rPr>
              <w:tab/>
            </w:r>
            <w:r w:rsidR="00B20F1E" w:rsidRPr="000D2717">
              <w:rPr>
                <w:rFonts w:eastAsia="Calibri"/>
                <w:lang w:val="es-ES"/>
              </w:rPr>
              <w:t xml:space="preserve">El funcionamiento de las </w:t>
            </w:r>
            <w:r w:rsidR="00B20F1E">
              <w:rPr>
                <w:rFonts w:eastAsia="Calibri"/>
                <w:lang w:val="es-ES"/>
              </w:rPr>
              <w:t>ETEM</w:t>
            </w:r>
            <w:r w:rsidR="00B20F1E" w:rsidRPr="000D2717">
              <w:rPr>
                <w:rFonts w:eastAsia="Calibri"/>
                <w:lang w:val="es-ES"/>
              </w:rPr>
              <w:t xml:space="preserve"> no OSG se ajustará a los acuerdos de coordinación obtenidos </w:t>
            </w:r>
            <w:r w:rsidR="00B20F1E">
              <w:rPr>
                <w:rFonts w:eastAsia="Calibri"/>
                <w:lang w:val="es-ES"/>
              </w:rPr>
              <w:t>a raíz de</w:t>
            </w:r>
            <w:r w:rsidR="00B20F1E" w:rsidRPr="000D2717">
              <w:rPr>
                <w:rFonts w:eastAsia="Calibri"/>
                <w:lang w:val="es-ES"/>
              </w:rPr>
              <w:t xml:space="preserve"> la aplicación de las disposiciones </w:t>
            </w:r>
            <w:r w:rsidR="00B20F1E">
              <w:rPr>
                <w:rFonts w:eastAsia="Calibri"/>
                <w:lang w:val="es-ES"/>
              </w:rPr>
              <w:t>con arreglo al</w:t>
            </w:r>
            <w:r w:rsidR="00B20F1E" w:rsidRPr="000D2717">
              <w:rPr>
                <w:rFonts w:eastAsia="Calibri"/>
                <w:lang w:val="es-ES"/>
              </w:rPr>
              <w:t xml:space="preserve"> número </w:t>
            </w:r>
            <w:r w:rsidR="00B20F1E" w:rsidRPr="00193D1C">
              <w:rPr>
                <w:rFonts w:eastAsia="Calibri"/>
                <w:b/>
                <w:bCs/>
                <w:lang w:val="es-ES"/>
              </w:rPr>
              <w:t>9.11A</w:t>
            </w:r>
            <w:r w:rsidR="00B20F1E" w:rsidRPr="000D2717">
              <w:rPr>
                <w:rFonts w:eastAsia="Calibri"/>
                <w:lang w:val="es-ES"/>
              </w:rPr>
              <w:t>.</w:t>
            </w:r>
          </w:p>
          <w:p w14:paraId="2BC8BE59" w14:textId="5F5E4640" w:rsidR="00B20F1E" w:rsidRPr="000D2717" w:rsidRDefault="00806AFF" w:rsidP="00806AFF">
            <w:pPr>
              <w:pStyle w:val="Tabletext"/>
              <w:ind w:left="284" w:hanging="284"/>
              <w:rPr>
                <w:rFonts w:eastAsia="Calibri"/>
                <w:lang w:val="es-ES"/>
              </w:rPr>
            </w:pPr>
            <w:r>
              <w:rPr>
                <w:rFonts w:eastAsia="Calibri"/>
                <w:lang w:val="es-ES"/>
              </w:rPr>
              <w:t>8</w:t>
            </w:r>
            <w:r>
              <w:rPr>
                <w:rFonts w:eastAsia="Calibri"/>
                <w:lang w:val="es-ES"/>
              </w:rPr>
              <w:tab/>
            </w:r>
            <w:r w:rsidR="00B20F1E">
              <w:rPr>
                <w:rFonts w:eastAsia="Calibri"/>
                <w:lang w:val="es-ES"/>
              </w:rPr>
              <w:t>Formulación</w:t>
            </w:r>
            <w:r w:rsidR="00B20F1E" w:rsidRPr="000D2717">
              <w:rPr>
                <w:rFonts w:eastAsia="Calibri"/>
                <w:lang w:val="es-ES"/>
              </w:rPr>
              <w:t xml:space="preserve"> de una metodología relativa al examen por la Oficina del cumplimiento de los límites de </w:t>
            </w:r>
            <w:proofErr w:type="spellStart"/>
            <w:r w:rsidR="00B20F1E" w:rsidRPr="000D2717">
              <w:rPr>
                <w:rFonts w:eastAsia="Calibri"/>
                <w:lang w:val="es-ES"/>
              </w:rPr>
              <w:t>dfp</w:t>
            </w:r>
            <w:proofErr w:type="spellEnd"/>
            <w:r w:rsidR="00B20F1E" w:rsidRPr="000D2717">
              <w:rPr>
                <w:rFonts w:eastAsia="Calibri"/>
                <w:lang w:val="es-ES"/>
              </w:rPr>
              <w:t xml:space="preserve"> por </w:t>
            </w:r>
            <w:r w:rsidR="00B20F1E">
              <w:rPr>
                <w:rFonts w:eastAsia="Calibri"/>
                <w:lang w:val="es-ES"/>
              </w:rPr>
              <w:t>las</w:t>
            </w:r>
            <w:r w:rsidR="00B20F1E" w:rsidRPr="000D2717">
              <w:rPr>
                <w:rFonts w:eastAsia="Calibri"/>
                <w:lang w:val="es-ES"/>
              </w:rPr>
              <w:t xml:space="preserve"> </w:t>
            </w:r>
            <w:r w:rsidR="00B20F1E">
              <w:rPr>
                <w:rFonts w:eastAsia="Calibri"/>
                <w:lang w:val="es-ES"/>
              </w:rPr>
              <w:t>ETEM</w:t>
            </w:r>
            <w:r w:rsidR="00B20F1E" w:rsidRPr="000D2717">
              <w:rPr>
                <w:rFonts w:eastAsia="Calibri"/>
                <w:lang w:val="es-ES"/>
              </w:rPr>
              <w:t xml:space="preserve"> </w:t>
            </w:r>
            <w:r w:rsidR="00B20F1E">
              <w:rPr>
                <w:rFonts w:eastAsia="Calibri"/>
                <w:lang w:val="es-ES"/>
              </w:rPr>
              <w:t>del servicio aeronáutico</w:t>
            </w:r>
            <w:r w:rsidR="00B20F1E" w:rsidRPr="000D2717">
              <w:rPr>
                <w:rFonts w:eastAsia="Calibri"/>
                <w:lang w:val="es-ES"/>
              </w:rPr>
              <w:t xml:space="preserve"> NGSO para proteger los servicios </w:t>
            </w:r>
            <w:r w:rsidR="00B20F1E">
              <w:rPr>
                <w:rFonts w:eastAsia="Calibri"/>
                <w:lang w:val="es-ES"/>
              </w:rPr>
              <w:t>terrenales</w:t>
            </w:r>
            <w:r w:rsidR="00B20F1E" w:rsidRPr="000D2717">
              <w:rPr>
                <w:rFonts w:eastAsia="Calibri"/>
                <w:lang w:val="es-ES"/>
              </w:rPr>
              <w:t xml:space="preserve"> </w:t>
            </w:r>
            <w:r w:rsidR="00B20F1E">
              <w:rPr>
                <w:rFonts w:eastAsia="Calibri"/>
                <w:lang w:val="es-ES"/>
              </w:rPr>
              <w:t xml:space="preserve">frente a las </w:t>
            </w:r>
            <w:r w:rsidR="00B20F1E" w:rsidRPr="000D2717">
              <w:rPr>
                <w:rFonts w:eastAsia="Calibri"/>
                <w:lang w:val="es-ES"/>
              </w:rPr>
              <w:t>estacion</w:t>
            </w:r>
            <w:r w:rsidR="00B20F1E">
              <w:rPr>
                <w:rFonts w:eastAsia="Calibri"/>
                <w:lang w:val="es-ES"/>
              </w:rPr>
              <w:t>es</w:t>
            </w:r>
            <w:r w:rsidR="00B20F1E" w:rsidRPr="000D2717">
              <w:rPr>
                <w:rFonts w:eastAsia="Calibri"/>
                <w:lang w:val="es-ES"/>
              </w:rPr>
              <w:t xml:space="preserve"> terrena</w:t>
            </w:r>
            <w:r w:rsidR="00B20F1E">
              <w:rPr>
                <w:rFonts w:eastAsia="Calibri"/>
                <w:lang w:val="es-ES"/>
              </w:rPr>
              <w:t>s</w:t>
            </w:r>
            <w:r w:rsidR="00B20F1E" w:rsidRPr="000D2717">
              <w:rPr>
                <w:rFonts w:eastAsia="Calibri"/>
                <w:lang w:val="es-ES"/>
              </w:rPr>
              <w:t xml:space="preserve"> en movimiento, que deberá acordarse antes del final de la </w:t>
            </w:r>
            <w:r w:rsidR="00B20F1E">
              <w:rPr>
                <w:rFonts w:eastAsia="Calibri"/>
                <w:lang w:val="es-ES"/>
              </w:rPr>
              <w:t>C</w:t>
            </w:r>
            <w:r w:rsidR="00B20F1E" w:rsidRPr="000D2717">
              <w:rPr>
                <w:rFonts w:eastAsia="Calibri"/>
                <w:lang w:val="es-ES"/>
              </w:rPr>
              <w:t>onferencia.</w:t>
            </w:r>
          </w:p>
          <w:p w14:paraId="4F3B1846" w14:textId="7F6D7BF5" w:rsidR="00B20F1E" w:rsidRPr="000D2717" w:rsidRDefault="00806AFF" w:rsidP="00806AFF">
            <w:pPr>
              <w:pStyle w:val="Tabletext"/>
              <w:ind w:left="284" w:hanging="284"/>
              <w:rPr>
                <w:rFonts w:eastAsia="Calibri"/>
                <w:lang w:val="es-ES"/>
              </w:rPr>
            </w:pPr>
            <w:r>
              <w:rPr>
                <w:rFonts w:eastAsia="Calibri"/>
                <w:lang w:val="es-ES"/>
              </w:rPr>
              <w:t>9</w:t>
            </w:r>
            <w:r>
              <w:rPr>
                <w:rFonts w:eastAsia="Calibri"/>
                <w:lang w:val="es-ES"/>
              </w:rPr>
              <w:tab/>
            </w:r>
            <w:r w:rsidR="00B20F1E" w:rsidRPr="000D2717">
              <w:rPr>
                <w:rFonts w:eastAsia="Calibri"/>
                <w:lang w:val="es-ES"/>
              </w:rPr>
              <w:t xml:space="preserve">La única administración que podría notificar </w:t>
            </w:r>
            <w:r w:rsidR="00B20F1E">
              <w:rPr>
                <w:rFonts w:eastAsia="Calibri"/>
                <w:lang w:val="es-ES"/>
              </w:rPr>
              <w:t>una ETEM</w:t>
            </w:r>
            <w:r w:rsidR="00B20F1E" w:rsidRPr="000D2717">
              <w:rPr>
                <w:rFonts w:eastAsia="Calibri"/>
                <w:lang w:val="es-ES"/>
              </w:rPr>
              <w:t xml:space="preserve"> es la misma que </w:t>
            </w:r>
            <w:r w:rsidR="00B20F1E">
              <w:rPr>
                <w:rFonts w:eastAsia="Calibri"/>
                <w:lang w:val="es-ES"/>
              </w:rPr>
              <w:t>haya notificado</w:t>
            </w:r>
            <w:r w:rsidR="00B20F1E" w:rsidRPr="000D2717">
              <w:rPr>
                <w:rFonts w:eastAsia="Calibri"/>
                <w:lang w:val="es-ES"/>
              </w:rPr>
              <w:t xml:space="preserve"> la red de satélites NGSO con la que se comunicará </w:t>
            </w:r>
            <w:r w:rsidR="00B20F1E">
              <w:rPr>
                <w:rFonts w:eastAsia="Calibri"/>
                <w:lang w:val="es-ES"/>
              </w:rPr>
              <w:t>la ETEM</w:t>
            </w:r>
            <w:r w:rsidR="00B20F1E" w:rsidRPr="000D2717">
              <w:rPr>
                <w:rFonts w:eastAsia="Calibri"/>
                <w:lang w:val="es-ES"/>
              </w:rPr>
              <w:t>.</w:t>
            </w:r>
          </w:p>
          <w:p w14:paraId="291F1B42" w14:textId="54739717" w:rsidR="00B20F1E" w:rsidRPr="000D2717" w:rsidRDefault="00806AFF" w:rsidP="00806AFF">
            <w:pPr>
              <w:pStyle w:val="Tabletext"/>
              <w:ind w:left="284" w:hanging="284"/>
              <w:rPr>
                <w:rFonts w:eastAsia="Calibri"/>
                <w:lang w:val="es-ES"/>
              </w:rPr>
            </w:pPr>
            <w:r>
              <w:rPr>
                <w:rFonts w:eastAsia="Calibri"/>
                <w:lang w:val="es-ES"/>
              </w:rPr>
              <w:t>10</w:t>
            </w:r>
            <w:r>
              <w:rPr>
                <w:rFonts w:eastAsia="Calibri"/>
                <w:lang w:val="es-ES"/>
              </w:rPr>
              <w:tab/>
            </w:r>
            <w:r w:rsidR="00B20F1E" w:rsidRPr="000D2717">
              <w:rPr>
                <w:rFonts w:eastAsia="Calibri"/>
                <w:lang w:val="es-ES"/>
              </w:rPr>
              <w:t xml:space="preserve">La capacidad de las </w:t>
            </w:r>
            <w:r w:rsidR="00B20F1E">
              <w:rPr>
                <w:rFonts w:eastAsia="Calibri"/>
                <w:lang w:val="es-ES"/>
              </w:rPr>
              <w:t>ETEM</w:t>
            </w:r>
            <w:r w:rsidR="00B20F1E" w:rsidRPr="000D2717">
              <w:rPr>
                <w:rFonts w:eastAsia="Calibri"/>
                <w:lang w:val="es-ES"/>
              </w:rPr>
              <w:t xml:space="preserve"> de restringir </w:t>
            </w:r>
            <w:r w:rsidR="00B20F1E">
              <w:rPr>
                <w:rFonts w:eastAsia="Calibri"/>
                <w:lang w:val="es-ES"/>
              </w:rPr>
              <w:t>el funcionamiento</w:t>
            </w:r>
            <w:r w:rsidR="00B20F1E" w:rsidRPr="000D2717">
              <w:rPr>
                <w:rFonts w:eastAsia="Calibri"/>
                <w:lang w:val="es-ES"/>
              </w:rPr>
              <w:t xml:space="preserve"> </w:t>
            </w:r>
            <w:r w:rsidR="00B20F1E">
              <w:rPr>
                <w:rFonts w:eastAsia="Calibri"/>
                <w:lang w:val="es-ES"/>
              </w:rPr>
              <w:t>al territorio</w:t>
            </w:r>
            <w:r w:rsidR="00B20F1E" w:rsidRPr="000D2717">
              <w:rPr>
                <w:rFonts w:eastAsia="Calibri"/>
                <w:lang w:val="es-ES"/>
              </w:rPr>
              <w:t xml:space="preserve"> de las administraciones que hayan autorizado </w:t>
            </w:r>
            <w:r w:rsidR="00B20F1E">
              <w:rPr>
                <w:rFonts w:eastAsia="Calibri"/>
                <w:lang w:val="es-ES"/>
              </w:rPr>
              <w:t>dicho funcionamiento</w:t>
            </w:r>
            <w:r w:rsidR="00B20F1E" w:rsidRPr="000D2717">
              <w:rPr>
                <w:rFonts w:eastAsia="Calibri"/>
                <w:lang w:val="es-ES"/>
              </w:rPr>
              <w:t>.</w:t>
            </w:r>
          </w:p>
          <w:p w14:paraId="2965870C" w14:textId="462D316D" w:rsidR="00B20F1E" w:rsidRPr="000D2717" w:rsidRDefault="00806AFF" w:rsidP="00806AFF">
            <w:pPr>
              <w:pStyle w:val="Tabletext"/>
              <w:ind w:left="284" w:hanging="284"/>
              <w:rPr>
                <w:rFonts w:eastAsia="Calibri"/>
                <w:lang w:val="es-ES"/>
              </w:rPr>
            </w:pPr>
            <w:r>
              <w:rPr>
                <w:rFonts w:eastAsia="Calibri"/>
                <w:lang w:val="es-ES"/>
              </w:rPr>
              <w:t>11</w:t>
            </w:r>
            <w:r>
              <w:rPr>
                <w:rFonts w:eastAsia="Calibri"/>
                <w:lang w:val="es-ES"/>
              </w:rPr>
              <w:tab/>
            </w:r>
            <w:r w:rsidR="00B20F1E" w:rsidRPr="000D2717">
              <w:rPr>
                <w:rFonts w:eastAsia="Calibri"/>
                <w:lang w:val="es-ES"/>
              </w:rPr>
              <w:t xml:space="preserve">La administración notificante </w:t>
            </w:r>
            <w:r w:rsidR="00B20F1E">
              <w:rPr>
                <w:rFonts w:eastAsia="Calibri"/>
                <w:lang w:val="es-ES"/>
              </w:rPr>
              <w:t>será</w:t>
            </w:r>
            <w:r w:rsidR="00B20F1E" w:rsidRPr="000D2717">
              <w:rPr>
                <w:rFonts w:eastAsia="Calibri"/>
                <w:lang w:val="es-ES"/>
              </w:rPr>
              <w:t xml:space="preserve"> la única responsable de resolver </w:t>
            </w:r>
            <w:r w:rsidR="00B20F1E">
              <w:rPr>
                <w:rFonts w:eastAsia="Calibri"/>
                <w:lang w:val="es-ES"/>
              </w:rPr>
              <w:t>toda</w:t>
            </w:r>
            <w:r w:rsidR="00B20F1E" w:rsidRPr="000D2717">
              <w:rPr>
                <w:rFonts w:eastAsia="Calibri"/>
                <w:lang w:val="es-ES"/>
              </w:rPr>
              <w:t xml:space="preserve"> reclamación de interferencia </w:t>
            </w:r>
            <w:r w:rsidR="00B20F1E">
              <w:rPr>
                <w:rFonts w:eastAsia="Calibri"/>
                <w:lang w:val="es-ES"/>
              </w:rPr>
              <w:t>que se notifique</w:t>
            </w:r>
            <w:r w:rsidR="00B20F1E" w:rsidRPr="000D2717">
              <w:rPr>
                <w:rFonts w:eastAsia="Calibri"/>
                <w:lang w:val="es-ES"/>
              </w:rPr>
              <w:t xml:space="preserve">. En caso de que más de una administración haya notificado satélites </w:t>
            </w:r>
            <w:r w:rsidR="00B20F1E">
              <w:rPr>
                <w:rFonts w:eastAsia="Calibri"/>
                <w:lang w:val="es-ES"/>
              </w:rPr>
              <w:t>para</w:t>
            </w:r>
            <w:r w:rsidR="00B20F1E" w:rsidRPr="000D2717">
              <w:rPr>
                <w:rFonts w:eastAsia="Calibri"/>
                <w:lang w:val="es-ES"/>
              </w:rPr>
              <w:t xml:space="preserve"> una </w:t>
            </w:r>
            <w:r w:rsidR="00B20F1E">
              <w:rPr>
                <w:rFonts w:eastAsia="Calibri"/>
                <w:lang w:val="es-ES"/>
              </w:rPr>
              <w:t>única</w:t>
            </w:r>
            <w:r w:rsidR="00B20F1E" w:rsidRPr="000D2717">
              <w:rPr>
                <w:rFonts w:eastAsia="Calibri"/>
                <w:lang w:val="es-ES"/>
              </w:rPr>
              <w:t xml:space="preserve"> constelación NGSO, cada administración notificante </w:t>
            </w:r>
            <w:r w:rsidR="00B20F1E">
              <w:rPr>
                <w:rFonts w:eastAsia="Calibri"/>
                <w:lang w:val="es-ES"/>
              </w:rPr>
              <w:t>será</w:t>
            </w:r>
            <w:r w:rsidR="00B20F1E" w:rsidRPr="000D2717">
              <w:rPr>
                <w:rFonts w:eastAsia="Calibri"/>
                <w:lang w:val="es-ES"/>
              </w:rPr>
              <w:t xml:space="preserve"> responsable de </w:t>
            </w:r>
            <w:r w:rsidR="00B20F1E">
              <w:rPr>
                <w:rFonts w:eastAsia="Calibri"/>
                <w:lang w:val="es-ES"/>
              </w:rPr>
              <w:t>suprimir</w:t>
            </w:r>
            <w:r w:rsidR="00B20F1E" w:rsidRPr="000D2717">
              <w:rPr>
                <w:rFonts w:eastAsia="Calibri"/>
                <w:lang w:val="es-ES"/>
              </w:rPr>
              <w:t xml:space="preserve"> </w:t>
            </w:r>
            <w:r w:rsidR="00B20F1E">
              <w:rPr>
                <w:rFonts w:eastAsia="Calibri"/>
                <w:lang w:val="es-ES"/>
              </w:rPr>
              <w:t>toda</w:t>
            </w:r>
            <w:r w:rsidR="00B20F1E" w:rsidRPr="000D2717">
              <w:rPr>
                <w:rFonts w:eastAsia="Calibri"/>
                <w:lang w:val="es-ES"/>
              </w:rPr>
              <w:t xml:space="preserve"> interferencia inaceptable de </w:t>
            </w:r>
            <w:r w:rsidR="00B20F1E">
              <w:rPr>
                <w:rFonts w:eastAsia="Calibri"/>
                <w:lang w:val="es-ES"/>
              </w:rPr>
              <w:t>las ETEM</w:t>
            </w:r>
            <w:r w:rsidR="00B20F1E" w:rsidRPr="000D2717">
              <w:rPr>
                <w:rFonts w:eastAsia="Calibri"/>
                <w:lang w:val="es-ES"/>
              </w:rPr>
              <w:t xml:space="preserve"> </w:t>
            </w:r>
            <w:r w:rsidR="00B20F1E">
              <w:rPr>
                <w:rFonts w:eastAsia="Calibri"/>
                <w:lang w:val="es-ES"/>
              </w:rPr>
              <w:t>cuyo funcionamiento se haya autorizado</w:t>
            </w:r>
            <w:r w:rsidR="00B20F1E" w:rsidRPr="000D2717">
              <w:rPr>
                <w:rFonts w:eastAsia="Calibri"/>
                <w:lang w:val="es-ES"/>
              </w:rPr>
              <w:t>.</w:t>
            </w:r>
          </w:p>
          <w:p w14:paraId="36FAA98E" w14:textId="0034C12A" w:rsidR="00B20F1E" w:rsidRPr="000D2717" w:rsidRDefault="00806AFF" w:rsidP="00806AFF">
            <w:pPr>
              <w:pStyle w:val="Tabletext"/>
              <w:ind w:left="284" w:hanging="284"/>
              <w:rPr>
                <w:rFonts w:eastAsia="Calibri"/>
                <w:lang w:val="es-ES"/>
              </w:rPr>
            </w:pPr>
            <w:r>
              <w:rPr>
                <w:rFonts w:eastAsia="Calibri"/>
                <w:lang w:val="es-ES"/>
              </w:rPr>
              <w:t>12</w:t>
            </w:r>
            <w:r>
              <w:rPr>
                <w:rFonts w:eastAsia="Calibri"/>
                <w:lang w:val="es-ES"/>
              </w:rPr>
              <w:tab/>
            </w:r>
            <w:r w:rsidR="00B20F1E">
              <w:rPr>
                <w:rFonts w:eastAsia="Calibri"/>
                <w:lang w:val="es-ES"/>
              </w:rPr>
              <w:t>Apoyo a que no se imponga ninguna</w:t>
            </w:r>
            <w:r w:rsidR="00B20F1E" w:rsidRPr="000D2717">
              <w:rPr>
                <w:rFonts w:eastAsia="Calibri"/>
                <w:lang w:val="es-ES"/>
              </w:rPr>
              <w:t xml:space="preserve"> carga adicional a las administraciones </w:t>
            </w:r>
            <w:r w:rsidR="00B20F1E">
              <w:rPr>
                <w:rFonts w:eastAsia="Calibri"/>
                <w:lang w:val="es-ES"/>
              </w:rPr>
              <w:t>que hayan dado su autorización.</w:t>
            </w:r>
          </w:p>
          <w:p w14:paraId="49479064" w14:textId="0F6FA6E5" w:rsidR="00B20F1E" w:rsidRPr="000D2717" w:rsidRDefault="00806AFF" w:rsidP="00BF0E9F">
            <w:pPr>
              <w:pStyle w:val="Tabletext"/>
              <w:ind w:left="284" w:hanging="284"/>
              <w:rPr>
                <w:rFonts w:eastAsia="Calibri"/>
                <w:lang w:val="es-ES"/>
              </w:rPr>
            </w:pPr>
            <w:r>
              <w:rPr>
                <w:rFonts w:eastAsia="Calibri"/>
                <w:lang w:val="es-ES"/>
              </w:rPr>
              <w:t>13</w:t>
            </w:r>
            <w:r w:rsidR="00BF0E9F">
              <w:rPr>
                <w:rFonts w:eastAsia="Calibri"/>
                <w:lang w:val="es-ES"/>
              </w:rPr>
              <w:tab/>
            </w:r>
            <w:r w:rsidR="00B20F1E" w:rsidRPr="000D2717">
              <w:rPr>
                <w:rFonts w:eastAsia="Calibri"/>
                <w:lang w:val="es-ES"/>
              </w:rPr>
              <w:t xml:space="preserve">Determinación de procedimientos </w:t>
            </w:r>
            <w:r w:rsidR="00B20F1E">
              <w:rPr>
                <w:rFonts w:eastAsia="Calibri"/>
                <w:lang w:val="es-ES"/>
              </w:rPr>
              <w:t>pormenorizados</w:t>
            </w:r>
            <w:r w:rsidR="00B20F1E" w:rsidRPr="000D2717">
              <w:rPr>
                <w:rFonts w:eastAsia="Calibri"/>
                <w:lang w:val="es-ES"/>
              </w:rPr>
              <w:t xml:space="preserve"> </w:t>
            </w:r>
            <w:r w:rsidR="00B20F1E">
              <w:rPr>
                <w:rFonts w:eastAsia="Calibri"/>
                <w:lang w:val="es-ES"/>
              </w:rPr>
              <w:t>sobre</w:t>
            </w:r>
            <w:r w:rsidR="00B20F1E" w:rsidRPr="000D2717">
              <w:rPr>
                <w:rFonts w:eastAsia="Calibri"/>
                <w:lang w:val="es-ES"/>
              </w:rPr>
              <w:t xml:space="preserve"> el mecanismo de gestión de interferencia</w:t>
            </w:r>
            <w:r w:rsidR="00B20F1E">
              <w:rPr>
                <w:rFonts w:eastAsia="Calibri"/>
                <w:lang w:val="es-ES"/>
              </w:rPr>
              <w:t>,</w:t>
            </w:r>
            <w:r w:rsidR="00B20F1E" w:rsidRPr="000D2717">
              <w:rPr>
                <w:rFonts w:eastAsia="Calibri"/>
                <w:lang w:val="es-ES"/>
              </w:rPr>
              <w:t xml:space="preserve"> </w:t>
            </w:r>
            <w:r w:rsidR="00B20F1E">
              <w:rPr>
                <w:rFonts w:eastAsia="Calibri"/>
                <w:lang w:val="es-ES"/>
              </w:rPr>
              <w:t>a fin de</w:t>
            </w:r>
            <w:r w:rsidR="00B20F1E" w:rsidRPr="000D2717">
              <w:rPr>
                <w:rFonts w:eastAsia="Calibri"/>
                <w:lang w:val="es-ES"/>
              </w:rPr>
              <w:t xml:space="preserve"> </w:t>
            </w:r>
            <w:r w:rsidR="00B20F1E">
              <w:rPr>
                <w:rFonts w:eastAsia="Calibri"/>
                <w:lang w:val="es-ES"/>
              </w:rPr>
              <w:t>evitar la</w:t>
            </w:r>
            <w:r w:rsidR="00B20F1E" w:rsidRPr="000D2717">
              <w:rPr>
                <w:rFonts w:eastAsia="Calibri"/>
                <w:lang w:val="es-ES"/>
              </w:rPr>
              <w:t xml:space="preserve"> interferencia </w:t>
            </w:r>
            <w:r w:rsidR="00B20F1E">
              <w:rPr>
                <w:rFonts w:eastAsia="Calibri"/>
                <w:lang w:val="es-ES"/>
              </w:rPr>
              <w:t>debida al</w:t>
            </w:r>
            <w:r w:rsidR="00B20F1E" w:rsidRPr="000D2717">
              <w:rPr>
                <w:rFonts w:eastAsia="Calibri"/>
                <w:lang w:val="es-ES"/>
              </w:rPr>
              <w:t xml:space="preserve"> funcionamiento de las estaciones terrenas en movimiento de otras administraciones, ya que aún quedan </w:t>
            </w:r>
            <w:r w:rsidR="00B20F1E">
              <w:rPr>
                <w:rFonts w:eastAsia="Calibri"/>
                <w:lang w:val="es-ES"/>
              </w:rPr>
              <w:t>varios aspectos relativos al</w:t>
            </w:r>
            <w:r w:rsidR="00B20F1E" w:rsidRPr="000D2717">
              <w:rPr>
                <w:rFonts w:eastAsia="Calibri"/>
                <w:lang w:val="es-ES"/>
              </w:rPr>
              <w:t xml:space="preserve"> funcionamiento de las </w:t>
            </w:r>
            <w:r w:rsidR="00B20F1E">
              <w:rPr>
                <w:rFonts w:eastAsia="Calibri"/>
                <w:lang w:val="es-ES"/>
              </w:rPr>
              <w:t>ETEM</w:t>
            </w:r>
            <w:r w:rsidR="00B20F1E" w:rsidRPr="000D2717">
              <w:rPr>
                <w:rFonts w:eastAsia="Calibri"/>
                <w:lang w:val="es-ES"/>
              </w:rPr>
              <w:t xml:space="preserve"> por aclarar y especificar en el </w:t>
            </w:r>
            <w:r w:rsidR="00B20F1E">
              <w:rPr>
                <w:rFonts w:eastAsia="Calibri"/>
                <w:lang w:val="es-ES"/>
              </w:rPr>
              <w:t>p</w:t>
            </w:r>
            <w:r w:rsidR="00B20F1E" w:rsidRPr="000D2717">
              <w:rPr>
                <w:rFonts w:eastAsia="Calibri"/>
                <w:lang w:val="es-ES"/>
              </w:rPr>
              <w:t xml:space="preserve">royecto de </w:t>
            </w:r>
            <w:r w:rsidR="00B20F1E">
              <w:rPr>
                <w:rFonts w:eastAsia="Calibri"/>
                <w:lang w:val="es-ES"/>
              </w:rPr>
              <w:t>n</w:t>
            </w:r>
            <w:r w:rsidR="00B20F1E" w:rsidRPr="000D2717">
              <w:rPr>
                <w:rFonts w:eastAsia="Calibri"/>
                <w:lang w:val="es-ES"/>
              </w:rPr>
              <w:t xml:space="preserve">ueva Resolución en relación con el mecanismo de gestión de interferencia y su </w:t>
            </w:r>
            <w:r w:rsidR="00B20F1E">
              <w:rPr>
                <w:rFonts w:eastAsia="Calibri"/>
                <w:lang w:val="es-ES"/>
              </w:rPr>
              <w:t>adecuada</w:t>
            </w:r>
            <w:r w:rsidR="00B20F1E" w:rsidRPr="000D2717">
              <w:rPr>
                <w:rFonts w:eastAsia="Calibri"/>
                <w:lang w:val="es-ES"/>
              </w:rPr>
              <w:t xml:space="preserve"> funcionalidad.</w:t>
            </w:r>
          </w:p>
          <w:p w14:paraId="597B2411" w14:textId="62346550" w:rsidR="00B20F1E" w:rsidRPr="000D2717" w:rsidRDefault="00632D35" w:rsidP="00632D35">
            <w:pPr>
              <w:pStyle w:val="Tabletext"/>
              <w:ind w:left="284" w:hanging="284"/>
              <w:rPr>
                <w:rFonts w:eastAsia="Calibri"/>
                <w:lang w:val="es-ES"/>
              </w:rPr>
            </w:pPr>
            <w:r>
              <w:rPr>
                <w:rFonts w:eastAsia="Calibri"/>
                <w:lang w:val="es-ES"/>
              </w:rPr>
              <w:t>14</w:t>
            </w:r>
            <w:r>
              <w:rPr>
                <w:rFonts w:eastAsia="Calibri"/>
                <w:lang w:val="es-ES"/>
              </w:rPr>
              <w:tab/>
            </w:r>
            <w:r w:rsidR="00B20F1E" w:rsidRPr="000D2717">
              <w:rPr>
                <w:rFonts w:eastAsia="Calibri"/>
                <w:lang w:val="es-ES"/>
              </w:rPr>
              <w:t xml:space="preserve">Apoyar </w:t>
            </w:r>
            <w:r w:rsidR="00B20F1E">
              <w:rPr>
                <w:rFonts w:eastAsia="Calibri"/>
                <w:lang w:val="es-ES"/>
              </w:rPr>
              <w:t>que</w:t>
            </w:r>
            <w:r w:rsidR="00B20F1E" w:rsidRPr="000D2717">
              <w:rPr>
                <w:rFonts w:eastAsia="Calibri"/>
                <w:lang w:val="es-ES"/>
              </w:rPr>
              <w:t xml:space="preserve"> la BR </w:t>
            </w:r>
            <w:r w:rsidR="00B20F1E">
              <w:rPr>
                <w:rFonts w:eastAsia="Calibri"/>
                <w:lang w:val="es-ES"/>
              </w:rPr>
              <w:t>publique</w:t>
            </w:r>
            <w:r w:rsidR="00B20F1E" w:rsidRPr="000D2717">
              <w:rPr>
                <w:rFonts w:eastAsia="Calibri"/>
                <w:lang w:val="es-ES"/>
              </w:rPr>
              <w:t xml:space="preserve"> la lista de </w:t>
            </w:r>
            <w:r w:rsidR="00B20F1E">
              <w:rPr>
                <w:rFonts w:eastAsia="Calibri"/>
                <w:lang w:val="es-ES"/>
              </w:rPr>
              <w:t>a</w:t>
            </w:r>
            <w:r w:rsidR="00B20F1E" w:rsidRPr="000D2717">
              <w:rPr>
                <w:rFonts w:eastAsia="Calibri"/>
                <w:lang w:val="es-ES"/>
              </w:rPr>
              <w:t xml:space="preserve">dministraciones notificantes </w:t>
            </w:r>
            <w:r w:rsidR="00B20F1E">
              <w:rPr>
                <w:rFonts w:eastAsia="Calibri"/>
                <w:lang w:val="es-ES"/>
              </w:rPr>
              <w:t>de</w:t>
            </w:r>
            <w:r w:rsidR="00B20F1E" w:rsidRPr="000D2717">
              <w:rPr>
                <w:rFonts w:eastAsia="Calibri"/>
                <w:lang w:val="es-ES"/>
              </w:rPr>
              <w:t xml:space="preserve"> sistema</w:t>
            </w:r>
            <w:r w:rsidR="00B20F1E">
              <w:rPr>
                <w:rFonts w:eastAsia="Calibri"/>
                <w:lang w:val="es-ES"/>
              </w:rPr>
              <w:t>s</w:t>
            </w:r>
            <w:r w:rsidR="00B20F1E" w:rsidRPr="000D2717">
              <w:rPr>
                <w:rFonts w:eastAsia="Calibri"/>
                <w:lang w:val="es-ES"/>
              </w:rPr>
              <w:t xml:space="preserve"> </w:t>
            </w:r>
            <w:r w:rsidR="00B20F1E">
              <w:rPr>
                <w:rFonts w:eastAsia="Calibri"/>
                <w:lang w:val="es-ES"/>
              </w:rPr>
              <w:t>no OSG</w:t>
            </w:r>
            <w:r w:rsidR="00B20F1E" w:rsidRPr="000D2717">
              <w:rPr>
                <w:rFonts w:eastAsia="Calibri"/>
                <w:lang w:val="es-ES"/>
              </w:rPr>
              <w:t xml:space="preserve"> con las que se comunica</w:t>
            </w:r>
            <w:r w:rsidR="00B20F1E">
              <w:rPr>
                <w:rFonts w:eastAsia="Calibri"/>
                <w:lang w:val="es-ES"/>
              </w:rPr>
              <w:t>n las ETEM, así como</w:t>
            </w:r>
            <w:r w:rsidR="00B20F1E" w:rsidRPr="000D2717">
              <w:rPr>
                <w:rFonts w:eastAsia="Calibri"/>
                <w:lang w:val="es-ES"/>
              </w:rPr>
              <w:t xml:space="preserve"> los países que autorizan </w:t>
            </w:r>
            <w:r w:rsidR="00B20F1E">
              <w:rPr>
                <w:rFonts w:eastAsia="Calibri"/>
                <w:lang w:val="es-ES"/>
              </w:rPr>
              <w:t xml:space="preserve">el funcionamiento de esas ETEM, </w:t>
            </w:r>
            <w:r w:rsidR="00B20F1E" w:rsidRPr="000D2717">
              <w:rPr>
                <w:rFonts w:eastAsia="Calibri"/>
                <w:lang w:val="es-ES"/>
              </w:rPr>
              <w:t xml:space="preserve">para </w:t>
            </w:r>
            <w:r w:rsidR="00B20F1E">
              <w:rPr>
                <w:rFonts w:eastAsia="Calibri"/>
                <w:lang w:val="es-ES"/>
              </w:rPr>
              <w:t xml:space="preserve">contribuir a la supresión de la </w:t>
            </w:r>
            <w:r w:rsidR="00B20F1E" w:rsidRPr="000D2717">
              <w:rPr>
                <w:rFonts w:eastAsia="Calibri"/>
                <w:lang w:val="es-ES"/>
              </w:rPr>
              <w:t>interferencia. Esta lista sería facilitada por la administración notificante.</w:t>
            </w:r>
          </w:p>
          <w:p w14:paraId="642394EA" w14:textId="77777777" w:rsidR="00B20F1E" w:rsidRPr="000D2717" w:rsidRDefault="00B20F1E" w:rsidP="00B75820">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4414AEB2" w14:textId="77777777" w:rsidR="00B20F1E" w:rsidRPr="00632D35" w:rsidRDefault="00B20F1E" w:rsidP="00B75820">
            <w:pPr>
              <w:pStyle w:val="Tabletext"/>
              <w:rPr>
                <w:rFonts w:eastAsia="Calibri"/>
                <w:b/>
                <w:bCs/>
                <w:i/>
                <w:color w:val="000000"/>
                <w:lang w:val="es-ES"/>
              </w:rPr>
            </w:pPr>
            <w:r w:rsidRPr="00632D35">
              <w:rPr>
                <w:rFonts w:eastAsia="Calibri"/>
                <w:b/>
                <w:bCs/>
                <w:i/>
                <w:color w:val="000000"/>
                <w:lang w:val="es-ES"/>
              </w:rPr>
              <w:t>Solicitar a las administraciones de la UAT que:</w:t>
            </w:r>
          </w:p>
          <w:p w14:paraId="687ECCC3" w14:textId="77777777" w:rsidR="00B20F1E" w:rsidRPr="000D2717" w:rsidRDefault="00B20F1E" w:rsidP="00B75820">
            <w:pPr>
              <w:pStyle w:val="Tabletext"/>
              <w:rPr>
                <w:rFonts w:eastAsia="Calibri"/>
                <w:color w:val="000000"/>
                <w:lang w:val="es-ES"/>
              </w:rPr>
            </w:pPr>
            <w:r w:rsidRPr="00632D35">
              <w:rPr>
                <w:rFonts w:eastAsia="Calibri"/>
                <w:b/>
                <w:bCs/>
                <w:color w:val="000000"/>
                <w:lang w:val="es-ES"/>
              </w:rPr>
              <w:t>Apoyen</w:t>
            </w:r>
            <w:r w:rsidRPr="000D2717">
              <w:rPr>
                <w:rFonts w:eastAsia="Calibri"/>
                <w:color w:val="000000"/>
                <w:lang w:val="es-ES"/>
              </w:rPr>
              <w:t xml:space="preserve"> la </w:t>
            </w:r>
            <w:r>
              <w:rPr>
                <w:rFonts w:eastAsia="Calibri"/>
                <w:color w:val="000000"/>
                <w:lang w:val="es-ES"/>
              </w:rPr>
              <w:t>AFCP</w:t>
            </w:r>
            <w:r w:rsidRPr="000D2717">
              <w:rPr>
                <w:rFonts w:eastAsia="Calibri"/>
                <w:color w:val="000000"/>
                <w:lang w:val="es-ES"/>
              </w:rPr>
              <w:t xml:space="preserve"> (método B) en </w:t>
            </w:r>
            <w:r>
              <w:rPr>
                <w:rFonts w:eastAsia="Calibri"/>
                <w:color w:val="000000"/>
                <w:lang w:val="es-ES"/>
              </w:rPr>
              <w:t>relación con este</w:t>
            </w:r>
            <w:r w:rsidRPr="000D2717">
              <w:rPr>
                <w:rFonts w:eastAsia="Calibri"/>
                <w:color w:val="000000"/>
                <w:lang w:val="es-ES"/>
              </w:rPr>
              <w:t xml:space="preserve"> punto del orden del día</w:t>
            </w:r>
            <w:r>
              <w:rPr>
                <w:rFonts w:eastAsia="Calibri"/>
                <w:color w:val="000000"/>
                <w:lang w:val="es-ES"/>
              </w:rPr>
              <w:t>,</w:t>
            </w:r>
            <w:r w:rsidRPr="000D2717">
              <w:rPr>
                <w:rFonts w:eastAsia="Calibri"/>
                <w:color w:val="000000"/>
                <w:lang w:val="es-ES"/>
              </w:rPr>
              <w:t xml:space="preserve"> a condición de que el proyecto de nueva resolución con arreglo al método B aborde todos los requisitos enumerados anteriormente.</w:t>
            </w:r>
          </w:p>
        </w:tc>
      </w:tr>
      <w:tr w:rsidR="00B20F1E" w:rsidRPr="00B707C8" w14:paraId="4D09A365" w14:textId="77777777" w:rsidTr="00DB48C6">
        <w:trPr>
          <w:jc w:val="center"/>
        </w:trPr>
        <w:tc>
          <w:tcPr>
            <w:tcW w:w="2547" w:type="dxa"/>
          </w:tcPr>
          <w:p w14:paraId="15708D70" w14:textId="77777777" w:rsidR="00B20F1E" w:rsidRPr="00632D35" w:rsidRDefault="00B20F1E" w:rsidP="00632D35">
            <w:pPr>
              <w:pStyle w:val="Tabletext"/>
              <w:rPr>
                <w:rFonts w:eastAsia="Calibri"/>
                <w:b/>
                <w:bCs/>
                <w:lang w:val="es-ES"/>
              </w:rPr>
            </w:pPr>
            <w:r w:rsidRPr="00632D35">
              <w:rPr>
                <w:rFonts w:eastAsia="Calibri"/>
                <w:b/>
                <w:bCs/>
                <w:lang w:val="es-ES"/>
              </w:rPr>
              <w:lastRenderedPageBreak/>
              <w:t>Punto 1.17</w:t>
            </w:r>
          </w:p>
          <w:p w14:paraId="19EEAE1F" w14:textId="6D94CB5B" w:rsidR="00B20F1E" w:rsidRPr="000D2717" w:rsidRDefault="00193D1C" w:rsidP="00632D35">
            <w:pPr>
              <w:pStyle w:val="Tabletext"/>
              <w:rPr>
                <w:rFonts w:eastAsia="Calibri"/>
                <w:lang w:val="es-ES"/>
              </w:rPr>
            </w:pPr>
            <w:r>
              <w:rPr>
                <w:rFonts w:eastAsia="Calibri"/>
                <w:lang w:val="es-ES"/>
              </w:rPr>
              <w:t>D</w:t>
            </w:r>
            <w:r w:rsidR="00B20F1E" w:rsidRPr="000C2BBF">
              <w:rPr>
                <w:rFonts w:eastAsia="Calibri"/>
                <w:lang w:val="es-ES"/>
              </w:rPr>
              <w:t xml:space="preserve">eterminar y tomar, </w:t>
            </w:r>
            <w:r w:rsidR="00B20F1E">
              <w:rPr>
                <w:rFonts w:eastAsia="Calibri"/>
                <w:lang w:val="es-ES"/>
              </w:rPr>
              <w:t>sobre la base de</w:t>
            </w:r>
            <w:r w:rsidR="00B20F1E" w:rsidRPr="000C2BBF">
              <w:rPr>
                <w:rFonts w:eastAsia="Calibri"/>
                <w:lang w:val="es-ES"/>
              </w:rPr>
              <w:t xml:space="preserve"> los estudios del UIT</w:t>
            </w:r>
            <w:r>
              <w:rPr>
                <w:rFonts w:eastAsia="Calibri"/>
                <w:lang w:val="es-ES"/>
              </w:rPr>
              <w:noBreakHyphen/>
            </w:r>
            <w:r w:rsidR="00B20F1E" w:rsidRPr="000C2BBF">
              <w:rPr>
                <w:rFonts w:eastAsia="Calibri"/>
                <w:lang w:val="es-ES"/>
              </w:rPr>
              <w:t xml:space="preserve">R </w:t>
            </w:r>
            <w:r w:rsidR="00B20F1E" w:rsidRPr="00193D1C">
              <w:rPr>
                <w:rFonts w:eastAsia="Calibri"/>
                <w:b/>
                <w:bCs/>
                <w:lang w:val="es-ES"/>
              </w:rPr>
              <w:t>previstos en la Resolución 773 (CMR-19)</w:t>
            </w:r>
            <w:r w:rsidR="00B20F1E" w:rsidRPr="000C2BBF">
              <w:rPr>
                <w:rFonts w:eastAsia="Calibri"/>
                <w:lang w:val="es-ES"/>
              </w:rPr>
              <w:t>, las medidas reglamentarias apropiadas para el establecimiento de enlaces entre satélites en bandas de frecuencias específicas o partes de las mismas, mediante una nueva atribución al servicio entre satélites</w:t>
            </w:r>
            <w:r w:rsidR="00B20F1E">
              <w:rPr>
                <w:rFonts w:eastAsia="Calibri"/>
                <w:lang w:val="es-ES"/>
              </w:rPr>
              <w:t>, según proceda.</w:t>
            </w:r>
          </w:p>
        </w:tc>
        <w:tc>
          <w:tcPr>
            <w:tcW w:w="6718" w:type="dxa"/>
          </w:tcPr>
          <w:p w14:paraId="749AAA15" w14:textId="77777777" w:rsidR="00B20F1E" w:rsidRPr="000D2717" w:rsidRDefault="00B20F1E" w:rsidP="00632D35">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6C7BEB20" w14:textId="39EFA1D4" w:rsidR="00B20F1E" w:rsidRPr="000D2717" w:rsidRDefault="00632D35" w:rsidP="00632D35">
            <w:pPr>
              <w:pStyle w:val="Tabletext"/>
              <w:rPr>
                <w:rFonts w:eastAsia="Calibri"/>
                <w:color w:val="000000"/>
                <w:lang w:val="es-ES"/>
              </w:rPr>
            </w:pPr>
            <w:r>
              <w:rPr>
                <w:rFonts w:eastAsia="Calibri"/>
                <w:color w:val="000000"/>
                <w:lang w:val="es-ES"/>
              </w:rPr>
              <w:t>1</w:t>
            </w:r>
            <w:r>
              <w:rPr>
                <w:rFonts w:eastAsia="Calibri"/>
                <w:color w:val="000000"/>
                <w:lang w:val="es-ES"/>
              </w:rPr>
              <w:tab/>
            </w:r>
            <w:r w:rsidR="00B20F1E" w:rsidRPr="00632D35">
              <w:rPr>
                <w:rFonts w:eastAsia="Calibri"/>
                <w:b/>
                <w:bCs/>
                <w:color w:val="000000"/>
                <w:lang w:val="es-ES"/>
              </w:rPr>
              <w:t>Apoyar el método B</w:t>
            </w:r>
            <w:r w:rsidR="00B20F1E" w:rsidRPr="000D2717">
              <w:rPr>
                <w:rFonts w:eastAsia="Calibri"/>
                <w:color w:val="000000"/>
                <w:lang w:val="es-ES"/>
              </w:rPr>
              <w:t xml:space="preserve"> </w:t>
            </w:r>
            <w:r w:rsidR="00B20F1E">
              <w:rPr>
                <w:rFonts w:eastAsia="Calibri"/>
                <w:color w:val="000000"/>
                <w:lang w:val="es-ES"/>
              </w:rPr>
              <w:t>como se especifica a continuación</w:t>
            </w:r>
            <w:r w:rsidR="00B20F1E" w:rsidRPr="000D2717">
              <w:rPr>
                <w:rFonts w:eastAsia="Calibri"/>
                <w:color w:val="000000"/>
                <w:lang w:val="es-ES"/>
              </w:rPr>
              <w:t>:</w:t>
            </w:r>
          </w:p>
          <w:p w14:paraId="68F8226F" w14:textId="1E94A0D9" w:rsidR="00B20F1E" w:rsidRPr="000D2717" w:rsidRDefault="00632D35" w:rsidP="00632D35">
            <w:pPr>
              <w:pStyle w:val="Tabletext"/>
              <w:ind w:left="284" w:hanging="284"/>
              <w:rPr>
                <w:rFonts w:eastAsia="Calibri"/>
                <w:color w:val="000000"/>
                <w:lang w:val="es-ES"/>
              </w:rPr>
            </w:pPr>
            <w:r>
              <w:rPr>
                <w:rFonts w:eastAsia="Calibri"/>
                <w:color w:val="000000"/>
                <w:lang w:val="es-ES"/>
              </w:rPr>
              <w:t>2</w:t>
            </w:r>
            <w:r>
              <w:rPr>
                <w:rFonts w:eastAsia="Calibri"/>
                <w:color w:val="000000"/>
                <w:lang w:val="es-ES"/>
              </w:rPr>
              <w:tab/>
            </w:r>
            <w:r w:rsidR="00B20F1E" w:rsidRPr="00632D35">
              <w:rPr>
                <w:rFonts w:eastAsia="Calibri"/>
                <w:b/>
                <w:bCs/>
                <w:color w:val="000000"/>
                <w:lang w:val="es-ES"/>
              </w:rPr>
              <w:t>Acordar</w:t>
            </w:r>
            <w:r w:rsidR="00B20F1E" w:rsidRPr="000D2717">
              <w:rPr>
                <w:rFonts w:eastAsia="Calibri"/>
                <w:color w:val="000000"/>
                <w:lang w:val="es-ES"/>
              </w:rPr>
              <w:t xml:space="preserve"> que </w:t>
            </w:r>
            <w:r w:rsidR="00B20F1E">
              <w:rPr>
                <w:rFonts w:eastAsia="Calibri"/>
                <w:color w:val="000000"/>
                <w:lang w:val="es-ES"/>
              </w:rPr>
              <w:t>se elabore</w:t>
            </w:r>
            <w:r w:rsidR="00B20F1E" w:rsidRPr="000D2717">
              <w:rPr>
                <w:rFonts w:eastAsia="Calibri"/>
                <w:color w:val="000000"/>
                <w:lang w:val="es-ES"/>
              </w:rPr>
              <w:t xml:space="preserve"> un marco reglamentario para </w:t>
            </w:r>
            <w:r w:rsidR="00B20F1E">
              <w:rPr>
                <w:rFonts w:eastAsia="Calibri"/>
                <w:color w:val="000000"/>
                <w:lang w:val="es-ES"/>
              </w:rPr>
              <w:t>velar por</w:t>
            </w:r>
            <w:r w:rsidR="00B20F1E" w:rsidRPr="000D2717">
              <w:rPr>
                <w:rFonts w:eastAsia="Calibri"/>
                <w:color w:val="000000"/>
                <w:lang w:val="es-ES"/>
              </w:rPr>
              <w:t xml:space="preserve"> la protección de los servicios en banda y en bandas adyacentes a los que se garantizan las bandas de frecuencias mencionadas en este punto del orden del día, en particular, los </w:t>
            </w:r>
            <w:r w:rsidR="00B20F1E">
              <w:rPr>
                <w:rFonts w:eastAsia="Calibri"/>
                <w:color w:val="000000"/>
                <w:lang w:val="es-ES"/>
              </w:rPr>
              <w:t xml:space="preserve">actuales </w:t>
            </w:r>
            <w:r w:rsidR="00B20F1E" w:rsidRPr="000D2717">
              <w:rPr>
                <w:rFonts w:eastAsia="Calibri"/>
                <w:color w:val="000000"/>
                <w:lang w:val="es-ES"/>
              </w:rPr>
              <w:t xml:space="preserve">servicios </w:t>
            </w:r>
            <w:r w:rsidR="00B20F1E">
              <w:rPr>
                <w:rFonts w:eastAsia="Calibri"/>
                <w:color w:val="000000"/>
                <w:lang w:val="es-ES"/>
              </w:rPr>
              <w:t xml:space="preserve">del </w:t>
            </w:r>
            <w:r w:rsidR="00B20F1E" w:rsidRPr="000D2717">
              <w:rPr>
                <w:rFonts w:eastAsia="Calibri"/>
                <w:color w:val="000000"/>
                <w:lang w:val="es-ES"/>
              </w:rPr>
              <w:t xml:space="preserve">SFS y </w:t>
            </w:r>
            <w:r w:rsidR="00B20F1E">
              <w:rPr>
                <w:rFonts w:eastAsia="Calibri"/>
                <w:color w:val="000000"/>
                <w:lang w:val="es-ES"/>
              </w:rPr>
              <w:t xml:space="preserve">los </w:t>
            </w:r>
            <w:r w:rsidR="00B20F1E" w:rsidRPr="000D2717">
              <w:rPr>
                <w:rFonts w:eastAsia="Calibri"/>
                <w:color w:val="000000"/>
                <w:lang w:val="es-ES"/>
              </w:rPr>
              <w:t xml:space="preserve">futuros. </w:t>
            </w:r>
            <w:r w:rsidR="00B20F1E">
              <w:rPr>
                <w:rFonts w:eastAsia="Calibri"/>
                <w:color w:val="000000"/>
                <w:lang w:val="es-ES"/>
              </w:rPr>
              <w:t>Ello</w:t>
            </w:r>
            <w:r w:rsidR="00B20F1E" w:rsidRPr="000D2717">
              <w:rPr>
                <w:rFonts w:eastAsia="Calibri"/>
                <w:color w:val="000000"/>
                <w:lang w:val="es-ES"/>
              </w:rPr>
              <w:t xml:space="preserve"> se basará en las siguientes condiciones</w:t>
            </w:r>
          </w:p>
          <w:p w14:paraId="124DE740" w14:textId="69410A52" w:rsidR="00B20F1E" w:rsidRPr="000D2717" w:rsidRDefault="00632D35" w:rsidP="00632D35">
            <w:pPr>
              <w:pStyle w:val="Tabletext"/>
              <w:rPr>
                <w:rFonts w:eastAsia="Calibri"/>
                <w:color w:val="000000"/>
                <w:lang w:val="es-ES"/>
              </w:rPr>
            </w:pPr>
            <w:r>
              <w:rPr>
                <w:rFonts w:eastAsia="Calibri"/>
                <w:color w:val="000000"/>
                <w:lang w:val="es-ES"/>
              </w:rPr>
              <w:tab/>
              <w:t>a)</w:t>
            </w:r>
            <w:r>
              <w:rPr>
                <w:rFonts w:eastAsia="Calibri"/>
                <w:color w:val="000000"/>
                <w:lang w:val="es-ES"/>
              </w:rPr>
              <w:tab/>
            </w:r>
            <w:r w:rsidR="00B20F1E">
              <w:rPr>
                <w:rFonts w:eastAsia="Calibri"/>
                <w:color w:val="000000"/>
                <w:lang w:val="es-ES"/>
              </w:rPr>
              <w:t>El t</w:t>
            </w:r>
            <w:r w:rsidR="00B20F1E" w:rsidRPr="000D2717">
              <w:rPr>
                <w:rFonts w:eastAsia="Calibri"/>
                <w:color w:val="000000"/>
                <w:lang w:val="es-ES"/>
              </w:rPr>
              <w:t xml:space="preserve">ipo de </w:t>
            </w:r>
            <w:r w:rsidR="00B20F1E">
              <w:rPr>
                <w:rFonts w:eastAsia="Calibri"/>
                <w:color w:val="000000"/>
                <w:lang w:val="es-ES"/>
              </w:rPr>
              <w:t>atribución</w:t>
            </w:r>
            <w:r w:rsidR="00B20F1E" w:rsidRPr="000D2717">
              <w:rPr>
                <w:rFonts w:eastAsia="Calibri"/>
                <w:color w:val="000000"/>
                <w:lang w:val="es-ES"/>
              </w:rPr>
              <w:t xml:space="preserve">: </w:t>
            </w:r>
          </w:p>
          <w:p w14:paraId="51AD3D71" w14:textId="50BFB70F" w:rsidR="00B20F1E" w:rsidRPr="000D2717" w:rsidRDefault="00632D35" w:rsidP="00632D35">
            <w:pPr>
              <w:pStyle w:val="Tabletext"/>
              <w:rPr>
                <w:rFonts w:eastAsia="Calibri"/>
                <w:color w:val="000000"/>
                <w:lang w:val="es-ES"/>
              </w:rPr>
            </w:pPr>
            <w:r>
              <w:rPr>
                <w:rFonts w:eastAsia="Calibri"/>
                <w:i/>
                <w:color w:val="000000"/>
                <w:lang w:val="es-ES"/>
              </w:rPr>
              <w:tab/>
            </w:r>
            <w:r>
              <w:rPr>
                <w:rFonts w:eastAsia="Calibri"/>
                <w:i/>
                <w:color w:val="000000"/>
                <w:lang w:val="es-ES"/>
              </w:rPr>
              <w:tab/>
            </w:r>
            <w:r w:rsidR="00B20F1E" w:rsidRPr="000D2717">
              <w:rPr>
                <w:rFonts w:eastAsia="Calibri"/>
                <w:i/>
                <w:color w:val="000000"/>
                <w:lang w:val="es-ES"/>
              </w:rPr>
              <w:t xml:space="preserve">Alternativa </w:t>
            </w:r>
            <w:r w:rsidR="00B20F1E">
              <w:rPr>
                <w:rFonts w:eastAsia="Calibri"/>
                <w:i/>
                <w:color w:val="000000"/>
                <w:lang w:val="es-ES"/>
              </w:rPr>
              <w:t xml:space="preserve">sobre </w:t>
            </w:r>
            <w:r w:rsidR="00B20F1E" w:rsidRPr="000D2717">
              <w:rPr>
                <w:rFonts w:eastAsia="Calibri"/>
                <w:i/>
                <w:color w:val="000000"/>
                <w:lang w:val="es-ES"/>
              </w:rPr>
              <w:t>SFS/</w:t>
            </w:r>
            <w:r w:rsidR="00B20F1E">
              <w:rPr>
                <w:rFonts w:eastAsia="Calibri"/>
                <w:i/>
                <w:color w:val="000000"/>
                <w:lang w:val="es-ES"/>
              </w:rPr>
              <w:t>SES</w:t>
            </w:r>
            <w:r w:rsidR="00B20F1E" w:rsidRPr="000D2717">
              <w:rPr>
                <w:rFonts w:eastAsia="Calibri"/>
                <w:color w:val="000000"/>
                <w:lang w:val="es-ES"/>
              </w:rPr>
              <w:t>:</w:t>
            </w:r>
            <w:r w:rsidR="00B20F1E">
              <w:rPr>
                <w:rFonts w:eastAsia="Calibri"/>
                <w:color w:val="000000"/>
                <w:lang w:val="es-ES"/>
              </w:rPr>
              <w:t xml:space="preserve"> a</w:t>
            </w:r>
            <w:r w:rsidR="00B20F1E" w:rsidRPr="000D2717">
              <w:rPr>
                <w:rFonts w:eastAsia="Calibri"/>
                <w:color w:val="000000"/>
                <w:lang w:val="es-ES"/>
              </w:rPr>
              <w:t xml:space="preserve">poyar la alternativa </w:t>
            </w:r>
            <w:r w:rsidR="00B20F1E">
              <w:rPr>
                <w:rFonts w:eastAsia="Calibri"/>
                <w:color w:val="000000"/>
                <w:lang w:val="es-ES"/>
              </w:rPr>
              <w:t>relativa al SES</w:t>
            </w:r>
            <w:r w:rsidR="00B20F1E" w:rsidRPr="000D2717">
              <w:rPr>
                <w:rFonts w:eastAsia="Calibri"/>
                <w:color w:val="000000"/>
                <w:lang w:val="es-ES"/>
              </w:rPr>
              <w:t xml:space="preserve"> </w:t>
            </w:r>
          </w:p>
          <w:p w14:paraId="7E1B04EB" w14:textId="28FC94C3" w:rsidR="00B20F1E" w:rsidRPr="000D2717" w:rsidRDefault="00632D35" w:rsidP="00632D35">
            <w:pPr>
              <w:pStyle w:val="Tabletext"/>
              <w:rPr>
                <w:rFonts w:eastAsia="Calibri"/>
                <w:lang w:val="es-ES"/>
              </w:rPr>
            </w:pPr>
            <w:r>
              <w:rPr>
                <w:rFonts w:eastAsia="Calibri"/>
                <w:lang w:val="es-ES"/>
              </w:rPr>
              <w:tab/>
            </w:r>
            <w:r>
              <w:rPr>
                <w:rFonts w:eastAsia="Calibri"/>
                <w:lang w:val="es-ES"/>
              </w:rPr>
              <w:tab/>
            </w:r>
            <w:r w:rsidR="00B20F1E" w:rsidRPr="000D2717">
              <w:rPr>
                <w:rFonts w:eastAsia="Calibri"/>
                <w:lang w:val="es-ES"/>
              </w:rPr>
              <w:t xml:space="preserve">Exclusión </w:t>
            </w:r>
            <w:r w:rsidR="00B20F1E">
              <w:rPr>
                <w:rFonts w:eastAsia="Calibri"/>
                <w:lang w:val="es-ES"/>
              </w:rPr>
              <w:t>de la utilización d</w:t>
            </w:r>
            <w:r w:rsidR="00B20F1E" w:rsidRPr="000D2717">
              <w:rPr>
                <w:rFonts w:eastAsia="Calibri"/>
                <w:lang w:val="es-ES"/>
              </w:rPr>
              <w:t>e la banda KU para el enlace entre satélites</w:t>
            </w:r>
          </w:p>
          <w:p w14:paraId="6D98A8A6" w14:textId="3F1DAC4C" w:rsidR="00B20F1E" w:rsidRPr="000D2717" w:rsidRDefault="00632D35" w:rsidP="00632D35">
            <w:pPr>
              <w:pStyle w:val="Tabletext"/>
              <w:rPr>
                <w:rFonts w:eastAsia="Calibri"/>
                <w:color w:val="000000"/>
                <w:lang w:val="es-ES"/>
              </w:rPr>
            </w:pPr>
            <w:r>
              <w:rPr>
                <w:rFonts w:eastAsia="Calibri"/>
                <w:color w:val="000000"/>
                <w:lang w:val="es-ES"/>
              </w:rPr>
              <w:tab/>
              <w:t>b)</w:t>
            </w:r>
            <w:r>
              <w:rPr>
                <w:rFonts w:eastAsia="Calibri"/>
                <w:color w:val="000000"/>
                <w:lang w:val="es-ES"/>
              </w:rPr>
              <w:tab/>
            </w:r>
            <w:r w:rsidR="00B20F1E" w:rsidRPr="000D2717">
              <w:rPr>
                <w:rFonts w:eastAsia="Calibri"/>
                <w:color w:val="000000"/>
                <w:lang w:val="es-ES"/>
              </w:rPr>
              <w:t>Apoy</w:t>
            </w:r>
            <w:r w:rsidR="00B20F1E">
              <w:rPr>
                <w:rFonts w:eastAsia="Calibri"/>
                <w:color w:val="000000"/>
                <w:lang w:val="es-ES"/>
              </w:rPr>
              <w:t>o al</w:t>
            </w:r>
            <w:r w:rsidR="00B20F1E" w:rsidRPr="000D2717">
              <w:rPr>
                <w:rFonts w:eastAsia="Calibri"/>
                <w:color w:val="000000"/>
                <w:lang w:val="es-ES"/>
              </w:rPr>
              <w:t xml:space="preserve"> concepto de funcionamiento dentro del cono. </w:t>
            </w:r>
          </w:p>
          <w:p w14:paraId="148ADD1F" w14:textId="6A81A448" w:rsidR="00B20F1E" w:rsidRPr="000D2717" w:rsidRDefault="00632D35" w:rsidP="00632D35">
            <w:pPr>
              <w:pStyle w:val="Tabletext"/>
              <w:rPr>
                <w:rFonts w:eastAsia="Calibri"/>
                <w:color w:val="000000"/>
                <w:lang w:val="es-ES"/>
              </w:rPr>
            </w:pPr>
            <w:r>
              <w:rPr>
                <w:rFonts w:eastAsia="Calibri"/>
                <w:color w:val="000000"/>
                <w:lang w:val="es-ES"/>
              </w:rPr>
              <w:tab/>
              <w:t>c)</w:t>
            </w:r>
            <w:r>
              <w:rPr>
                <w:rFonts w:eastAsia="Calibri"/>
                <w:color w:val="000000"/>
                <w:lang w:val="es-ES"/>
              </w:rPr>
              <w:tab/>
            </w:r>
            <w:r w:rsidR="00B20F1E" w:rsidRPr="000D2717">
              <w:rPr>
                <w:rFonts w:eastAsia="Calibri"/>
                <w:color w:val="000000"/>
                <w:lang w:val="es-ES"/>
              </w:rPr>
              <w:t xml:space="preserve">Mecanismos de compartición con sistemas </w:t>
            </w:r>
            <w:r w:rsidR="00B20F1E">
              <w:rPr>
                <w:rFonts w:eastAsia="Calibri"/>
                <w:color w:val="000000"/>
                <w:lang w:val="es-ES"/>
              </w:rPr>
              <w:t xml:space="preserve">del </w:t>
            </w:r>
            <w:r w:rsidR="00B20F1E" w:rsidRPr="000D2717">
              <w:rPr>
                <w:rFonts w:eastAsia="Calibri"/>
                <w:color w:val="000000"/>
                <w:lang w:val="es-ES"/>
              </w:rPr>
              <w:t>SFS no OSG.</w:t>
            </w:r>
          </w:p>
          <w:p w14:paraId="2E51A8A2" w14:textId="2B17926D" w:rsidR="00B20F1E" w:rsidRPr="000D2717" w:rsidRDefault="00632D35" w:rsidP="00632D35">
            <w:pPr>
              <w:pStyle w:val="Tabletext"/>
              <w:rPr>
                <w:rFonts w:eastAsia="Calibri"/>
                <w:i/>
                <w:color w:val="000000"/>
                <w:lang w:val="es-ES"/>
              </w:rPr>
            </w:pPr>
            <w:r>
              <w:rPr>
                <w:rFonts w:eastAsia="Calibri"/>
                <w:i/>
                <w:color w:val="000000"/>
                <w:lang w:val="es-ES"/>
              </w:rPr>
              <w:tab/>
            </w:r>
            <w:r>
              <w:rPr>
                <w:rFonts w:eastAsia="Calibri"/>
                <w:i/>
                <w:color w:val="000000"/>
                <w:lang w:val="es-ES"/>
              </w:rPr>
              <w:tab/>
            </w:r>
            <w:r w:rsidR="00B20F1E" w:rsidRPr="0054402D">
              <w:rPr>
                <w:rFonts w:eastAsia="Calibri"/>
                <w:i/>
                <w:color w:val="000000"/>
                <w:lang w:val="es-ES"/>
              </w:rPr>
              <w:t>Alternativa de límite estricto del SFS no OSG</w:t>
            </w:r>
          </w:p>
          <w:p w14:paraId="0DBF1570" w14:textId="5BE7DAC9" w:rsidR="00B20F1E" w:rsidRPr="000D2717" w:rsidRDefault="00632D35" w:rsidP="00632D35">
            <w:pPr>
              <w:pStyle w:val="Tabletext"/>
              <w:rPr>
                <w:rFonts w:eastAsia="Calibri"/>
                <w:color w:val="000000"/>
                <w:lang w:val="es-ES"/>
              </w:rPr>
            </w:pPr>
            <w:r>
              <w:rPr>
                <w:rFonts w:eastAsia="Calibri"/>
                <w:color w:val="000000"/>
                <w:lang w:val="es-ES"/>
              </w:rPr>
              <w:tab/>
              <w:t>d)</w:t>
            </w:r>
            <w:r>
              <w:rPr>
                <w:rFonts w:eastAsia="Calibri"/>
                <w:color w:val="000000"/>
                <w:lang w:val="es-ES"/>
              </w:rPr>
              <w:tab/>
            </w:r>
            <w:r w:rsidR="00B20F1E" w:rsidRPr="000D2717">
              <w:rPr>
                <w:rFonts w:eastAsia="Calibri"/>
                <w:color w:val="000000"/>
                <w:lang w:val="es-ES"/>
              </w:rPr>
              <w:t xml:space="preserve">Mecanismos de protección de los servicios </w:t>
            </w:r>
            <w:r w:rsidR="00B20F1E">
              <w:rPr>
                <w:rFonts w:eastAsia="Calibri"/>
                <w:color w:val="000000"/>
                <w:lang w:val="es-ES"/>
              </w:rPr>
              <w:t>existentes</w:t>
            </w:r>
            <w:r w:rsidR="00B20F1E" w:rsidRPr="000D2717">
              <w:rPr>
                <w:rFonts w:eastAsia="Calibri"/>
                <w:color w:val="000000"/>
                <w:lang w:val="es-ES"/>
              </w:rPr>
              <w:t>:</w:t>
            </w:r>
          </w:p>
          <w:p w14:paraId="76A62135" w14:textId="2E48FEA8" w:rsidR="00B20F1E" w:rsidRPr="00632D35" w:rsidRDefault="00632D35" w:rsidP="00632D35">
            <w:pPr>
              <w:pStyle w:val="Tabletext"/>
              <w:ind w:left="851" w:hanging="851"/>
              <w:rPr>
                <w:rFonts w:eastAsia="Calibri"/>
                <w:iCs/>
                <w:color w:val="000000"/>
                <w:lang w:val="es-ES"/>
              </w:rPr>
            </w:pPr>
            <w:r>
              <w:rPr>
                <w:rFonts w:eastAsia="Calibri"/>
                <w:i/>
                <w:color w:val="000000"/>
                <w:lang w:val="es-ES"/>
              </w:rPr>
              <w:tab/>
            </w:r>
            <w:r>
              <w:rPr>
                <w:rFonts w:eastAsia="Calibri"/>
                <w:i/>
                <w:color w:val="000000"/>
                <w:lang w:val="es-ES"/>
              </w:rPr>
              <w:tab/>
            </w:r>
            <w:r w:rsidRPr="009A4CB9">
              <w:rPr>
                <w:rFonts w:eastAsia="Calibri"/>
              </w:rPr>
              <w:t>•</w:t>
            </w:r>
            <w:r w:rsidRPr="009A4CB9">
              <w:rPr>
                <w:rFonts w:eastAsia="Calibri"/>
              </w:rPr>
              <w:tab/>
            </w:r>
            <w:r w:rsidR="00B20F1E" w:rsidRPr="00632D35">
              <w:rPr>
                <w:rFonts w:eastAsia="Calibri"/>
                <w:iCs/>
                <w:color w:val="000000"/>
                <w:lang w:val="es-ES"/>
              </w:rPr>
              <w:t>Anexo 1: No existe ningún aspecto pendiente sobre la fórmula, puesto que todos han sido objeto de acuerdo.</w:t>
            </w:r>
          </w:p>
          <w:p w14:paraId="5E54DEF2" w14:textId="0C5F4DB8" w:rsidR="00B20F1E" w:rsidRPr="00632D35" w:rsidRDefault="00632D35" w:rsidP="00632D35">
            <w:pPr>
              <w:pStyle w:val="Tabletext"/>
              <w:rPr>
                <w:rFonts w:eastAsia="Calibri"/>
                <w:iCs/>
                <w:color w:val="000000"/>
                <w:lang w:val="es-ES"/>
              </w:rPr>
            </w:pPr>
            <w:r w:rsidRPr="00632D35">
              <w:rPr>
                <w:rFonts w:eastAsia="Calibri"/>
                <w:iCs/>
                <w:color w:val="000000"/>
                <w:lang w:val="es-ES"/>
              </w:rPr>
              <w:lastRenderedPageBreak/>
              <w:tab/>
            </w:r>
            <w:r w:rsidRPr="00632D35">
              <w:rPr>
                <w:rFonts w:eastAsia="Calibri"/>
                <w:iCs/>
                <w:color w:val="000000"/>
                <w:lang w:val="es-ES"/>
              </w:rPr>
              <w:tab/>
            </w:r>
            <w:r w:rsidRPr="00632D35">
              <w:rPr>
                <w:rFonts w:eastAsia="Calibri"/>
                <w:iCs/>
              </w:rPr>
              <w:t>•</w:t>
            </w:r>
            <w:r w:rsidRPr="00632D35">
              <w:rPr>
                <w:rFonts w:eastAsia="Calibri"/>
                <w:iCs/>
              </w:rPr>
              <w:tab/>
            </w:r>
            <w:r w:rsidR="00B20F1E" w:rsidRPr="00632D35">
              <w:rPr>
                <w:rFonts w:eastAsia="Calibri"/>
                <w:iCs/>
                <w:color w:val="000000"/>
                <w:lang w:val="es-ES"/>
              </w:rPr>
              <w:t xml:space="preserve">Anexo 2: Apoyo a la opción 2-2. </w:t>
            </w:r>
          </w:p>
          <w:p w14:paraId="78F9CAF1" w14:textId="3F354218" w:rsidR="00B20F1E" w:rsidRPr="00632D35" w:rsidRDefault="00632D35" w:rsidP="00632D35">
            <w:pPr>
              <w:pStyle w:val="Tabletext"/>
              <w:rPr>
                <w:rFonts w:eastAsia="Calibri"/>
                <w:iCs/>
                <w:color w:val="000000"/>
                <w:lang w:val="es-ES"/>
              </w:rPr>
            </w:pPr>
            <w:r w:rsidRPr="00632D35">
              <w:rPr>
                <w:rFonts w:eastAsia="Calibri"/>
                <w:iCs/>
                <w:color w:val="000000"/>
                <w:lang w:val="es-ES"/>
              </w:rPr>
              <w:tab/>
            </w:r>
            <w:r w:rsidRPr="00632D35">
              <w:rPr>
                <w:rFonts w:eastAsia="Calibri"/>
                <w:iCs/>
                <w:color w:val="000000"/>
                <w:lang w:val="es-ES"/>
              </w:rPr>
              <w:tab/>
            </w:r>
            <w:r w:rsidRPr="00632D35">
              <w:rPr>
                <w:rFonts w:eastAsia="Calibri"/>
                <w:iCs/>
              </w:rPr>
              <w:t>•</w:t>
            </w:r>
            <w:r w:rsidRPr="00632D35">
              <w:rPr>
                <w:rFonts w:eastAsia="Calibri"/>
                <w:iCs/>
              </w:rPr>
              <w:tab/>
            </w:r>
            <w:r w:rsidR="00B20F1E" w:rsidRPr="00632D35">
              <w:rPr>
                <w:rFonts w:eastAsia="Calibri"/>
                <w:iCs/>
                <w:color w:val="000000"/>
                <w:lang w:val="es-ES"/>
              </w:rPr>
              <w:t>Anexo 3: Apoyo a la opción 1.</w:t>
            </w:r>
          </w:p>
          <w:p w14:paraId="21EB885F" w14:textId="793559AC" w:rsidR="00B20F1E" w:rsidRPr="00632D35" w:rsidRDefault="00632D35" w:rsidP="00632D35">
            <w:pPr>
              <w:pStyle w:val="Tabletext"/>
              <w:rPr>
                <w:rFonts w:eastAsia="Calibri"/>
                <w:iCs/>
                <w:color w:val="000000"/>
                <w:lang w:val="es-ES"/>
              </w:rPr>
            </w:pPr>
            <w:r w:rsidRPr="00632D35">
              <w:rPr>
                <w:rFonts w:eastAsia="Calibri"/>
                <w:iCs/>
                <w:color w:val="000000"/>
                <w:lang w:val="es-ES"/>
              </w:rPr>
              <w:tab/>
            </w:r>
            <w:r w:rsidRPr="00632D35">
              <w:rPr>
                <w:rFonts w:eastAsia="Calibri"/>
                <w:iCs/>
                <w:color w:val="000000"/>
                <w:lang w:val="es-ES"/>
              </w:rPr>
              <w:tab/>
            </w:r>
            <w:r w:rsidRPr="00632D35">
              <w:rPr>
                <w:rFonts w:eastAsia="Calibri"/>
                <w:iCs/>
              </w:rPr>
              <w:t>•</w:t>
            </w:r>
            <w:r w:rsidRPr="00632D35">
              <w:rPr>
                <w:rFonts w:eastAsia="Calibri"/>
                <w:iCs/>
              </w:rPr>
              <w:tab/>
            </w:r>
            <w:r w:rsidR="00B20F1E" w:rsidRPr="00632D35">
              <w:rPr>
                <w:rFonts w:eastAsia="Calibri"/>
                <w:iCs/>
                <w:color w:val="000000"/>
                <w:lang w:val="es-ES"/>
              </w:rPr>
              <w:t>Anexo 4: apoyo a la opción 2.</w:t>
            </w:r>
          </w:p>
          <w:p w14:paraId="63DB7210" w14:textId="3F2AE2BE" w:rsidR="00B20F1E" w:rsidRPr="000D2717" w:rsidRDefault="00632D35" w:rsidP="00632D35">
            <w:pPr>
              <w:pStyle w:val="Tabletext"/>
              <w:ind w:left="851" w:hanging="851"/>
              <w:rPr>
                <w:rFonts w:eastAsia="Calibri"/>
                <w:i/>
                <w:color w:val="000000"/>
                <w:lang w:val="es-ES"/>
              </w:rPr>
            </w:pPr>
            <w:r>
              <w:rPr>
                <w:rFonts w:eastAsia="Calibri"/>
                <w:i/>
                <w:color w:val="000000"/>
                <w:lang w:val="es-ES"/>
              </w:rPr>
              <w:tab/>
            </w:r>
            <w:r>
              <w:rPr>
                <w:rFonts w:eastAsia="Calibri"/>
                <w:i/>
                <w:color w:val="000000"/>
                <w:lang w:val="es-ES"/>
              </w:rPr>
              <w:tab/>
            </w:r>
            <w:r>
              <w:rPr>
                <w:rFonts w:eastAsia="Calibri"/>
                <w:i/>
                <w:color w:val="000000"/>
                <w:lang w:val="es-ES"/>
              </w:rPr>
              <w:tab/>
            </w:r>
            <w:r w:rsidR="00B20F1E" w:rsidRPr="000D2717">
              <w:rPr>
                <w:rFonts w:eastAsia="Calibri"/>
                <w:i/>
                <w:color w:val="000000"/>
                <w:lang w:val="es-ES"/>
              </w:rPr>
              <w:t>Reconoc</w:t>
            </w:r>
            <w:r w:rsidR="00B20F1E">
              <w:rPr>
                <w:rFonts w:eastAsia="Calibri"/>
                <w:i/>
                <w:color w:val="000000"/>
                <w:lang w:val="es-ES"/>
              </w:rPr>
              <w:t>imiento de</w:t>
            </w:r>
            <w:r w:rsidR="00B20F1E" w:rsidRPr="000D2717">
              <w:rPr>
                <w:rFonts w:eastAsia="Calibri"/>
                <w:i/>
                <w:color w:val="000000"/>
                <w:lang w:val="es-ES"/>
              </w:rPr>
              <w:t xml:space="preserve"> que los límites de </w:t>
            </w:r>
            <w:proofErr w:type="spellStart"/>
            <w:r w:rsidR="00B20F1E" w:rsidRPr="000D2717">
              <w:rPr>
                <w:rFonts w:eastAsia="Calibri"/>
                <w:i/>
                <w:color w:val="000000"/>
                <w:lang w:val="es-ES"/>
              </w:rPr>
              <w:t>p.i.r.e</w:t>
            </w:r>
            <w:proofErr w:type="spellEnd"/>
            <w:r w:rsidR="00B20F1E" w:rsidRPr="000D2717">
              <w:rPr>
                <w:rFonts w:eastAsia="Calibri"/>
                <w:i/>
                <w:color w:val="000000"/>
                <w:lang w:val="es-ES"/>
              </w:rPr>
              <w:t>. varían con</w:t>
            </w:r>
            <w:r w:rsidR="00B20F1E">
              <w:rPr>
                <w:rFonts w:eastAsia="Calibri"/>
                <w:i/>
                <w:color w:val="000000"/>
                <w:lang w:val="es-ES"/>
              </w:rPr>
              <w:t xml:space="preserve"> respecto a</w:t>
            </w:r>
            <w:r w:rsidR="00B20F1E" w:rsidRPr="000D2717">
              <w:rPr>
                <w:rFonts w:eastAsia="Calibri"/>
                <w:i/>
                <w:color w:val="000000"/>
                <w:lang w:val="es-ES"/>
              </w:rPr>
              <w:t xml:space="preserve"> la altitud para garantizar la protección de las redes </w:t>
            </w:r>
            <w:r w:rsidR="00B20F1E">
              <w:rPr>
                <w:rFonts w:eastAsia="Calibri"/>
                <w:i/>
                <w:color w:val="000000"/>
                <w:lang w:val="es-ES"/>
              </w:rPr>
              <w:t>existentes</w:t>
            </w:r>
            <w:r w:rsidR="00B20F1E" w:rsidRPr="000D2717">
              <w:rPr>
                <w:rFonts w:eastAsia="Calibri"/>
                <w:i/>
                <w:color w:val="000000"/>
                <w:lang w:val="es-ES"/>
              </w:rPr>
              <w:t xml:space="preserve"> frente a posibles daños </w:t>
            </w:r>
            <w:r w:rsidR="00B20F1E">
              <w:rPr>
                <w:rFonts w:eastAsia="Calibri"/>
                <w:i/>
                <w:color w:val="000000"/>
                <w:lang w:val="es-ES"/>
              </w:rPr>
              <w:t>en</w:t>
            </w:r>
            <w:r w:rsidR="00B20F1E" w:rsidRPr="000D2717">
              <w:rPr>
                <w:rFonts w:eastAsia="Calibri"/>
                <w:i/>
                <w:color w:val="000000"/>
                <w:lang w:val="es-ES"/>
              </w:rPr>
              <w:t xml:space="preserve"> hardware, como se indica en los cuadros siguientes, e </w:t>
            </w:r>
            <w:r w:rsidR="00B20F1E">
              <w:rPr>
                <w:rFonts w:eastAsia="Calibri"/>
                <w:i/>
                <w:color w:val="000000"/>
                <w:lang w:val="es-ES"/>
              </w:rPr>
              <w:t xml:space="preserve">incorporación de nuevos </w:t>
            </w:r>
            <w:r w:rsidR="00B20F1E" w:rsidRPr="00CF1847">
              <w:rPr>
                <w:rFonts w:eastAsia="Calibri"/>
                <w:iCs/>
                <w:color w:val="000000"/>
                <w:lang w:val="es-ES"/>
              </w:rPr>
              <w:t>invita al UIT-R</w:t>
            </w:r>
            <w:r w:rsidR="00B20F1E" w:rsidRPr="000D2717">
              <w:rPr>
                <w:rFonts w:eastAsia="Calibri"/>
                <w:i/>
                <w:color w:val="000000"/>
                <w:lang w:val="es-ES"/>
              </w:rPr>
              <w:t xml:space="preserve"> a </w:t>
            </w:r>
            <w:r w:rsidR="00B20F1E">
              <w:rPr>
                <w:rFonts w:eastAsia="Calibri"/>
                <w:i/>
                <w:color w:val="000000"/>
                <w:lang w:val="es-ES"/>
              </w:rPr>
              <w:t>examinar</w:t>
            </w:r>
            <w:r w:rsidR="00B20F1E" w:rsidRPr="000D2717">
              <w:rPr>
                <w:rFonts w:eastAsia="Calibri"/>
                <w:i/>
                <w:color w:val="000000"/>
                <w:lang w:val="es-ES"/>
              </w:rPr>
              <w:t xml:space="preserve"> los límites de </w:t>
            </w:r>
            <w:proofErr w:type="spellStart"/>
            <w:r w:rsidR="00B20F1E" w:rsidRPr="000D2717">
              <w:rPr>
                <w:rFonts w:eastAsia="Calibri"/>
                <w:i/>
                <w:color w:val="000000"/>
                <w:lang w:val="es-ES"/>
              </w:rPr>
              <w:t>p.i.r.e</w:t>
            </w:r>
            <w:proofErr w:type="spellEnd"/>
            <w:r w:rsidR="00B20F1E" w:rsidRPr="000D2717">
              <w:rPr>
                <w:rFonts w:eastAsia="Calibri"/>
                <w:i/>
                <w:color w:val="000000"/>
                <w:lang w:val="es-ES"/>
              </w:rPr>
              <w:t xml:space="preserve">. para garantizar protección frente a daños en </w:t>
            </w:r>
            <w:r w:rsidR="00B20F1E">
              <w:rPr>
                <w:rFonts w:eastAsia="Calibri"/>
                <w:i/>
                <w:color w:val="000000"/>
                <w:lang w:val="es-ES"/>
              </w:rPr>
              <w:t xml:space="preserve">el </w:t>
            </w:r>
            <w:r w:rsidR="00B20F1E" w:rsidRPr="000D2717">
              <w:rPr>
                <w:rFonts w:eastAsia="Calibri"/>
                <w:i/>
                <w:color w:val="000000"/>
                <w:lang w:val="es-ES"/>
              </w:rPr>
              <w:t xml:space="preserve">hardware de los sistemas </w:t>
            </w:r>
            <w:r w:rsidR="00B20F1E">
              <w:rPr>
                <w:rFonts w:eastAsia="Calibri"/>
                <w:i/>
                <w:color w:val="000000"/>
                <w:lang w:val="es-ES"/>
              </w:rPr>
              <w:t xml:space="preserve">del </w:t>
            </w:r>
            <w:r w:rsidR="00B20F1E" w:rsidRPr="000D2717">
              <w:rPr>
                <w:rFonts w:eastAsia="Calibri"/>
                <w:i/>
                <w:color w:val="000000"/>
                <w:lang w:val="es-ES"/>
              </w:rPr>
              <w:t xml:space="preserve">SFS no OSG </w:t>
            </w:r>
            <w:r w:rsidR="00B20F1E">
              <w:rPr>
                <w:rFonts w:eastAsia="Calibri"/>
                <w:i/>
                <w:color w:val="000000"/>
                <w:lang w:val="es-ES"/>
              </w:rPr>
              <w:t xml:space="preserve">contra </w:t>
            </w:r>
            <w:r w:rsidR="00B20F1E" w:rsidRPr="000D2717">
              <w:rPr>
                <w:rFonts w:eastAsia="Calibri"/>
                <w:i/>
                <w:color w:val="000000"/>
                <w:lang w:val="es-ES"/>
              </w:rPr>
              <w:t xml:space="preserve">los sistemas </w:t>
            </w:r>
            <w:r w:rsidR="00B20F1E">
              <w:rPr>
                <w:rFonts w:eastAsia="Calibri"/>
                <w:i/>
                <w:color w:val="000000"/>
                <w:lang w:val="es-ES"/>
              </w:rPr>
              <w:t>del SES</w:t>
            </w:r>
            <w:r w:rsidR="00B20F1E" w:rsidRPr="000D2717">
              <w:rPr>
                <w:rFonts w:eastAsia="Calibri"/>
                <w:i/>
                <w:color w:val="000000"/>
                <w:lang w:val="es-ES"/>
              </w:rPr>
              <w:t xml:space="preserve"> no OSG </w:t>
            </w:r>
            <w:r w:rsidR="00B20F1E">
              <w:rPr>
                <w:rFonts w:eastAsia="Calibri"/>
                <w:i/>
                <w:color w:val="000000"/>
                <w:lang w:val="es-ES"/>
              </w:rPr>
              <w:t>cuyo funcionamiento esté previsto</w:t>
            </w:r>
            <w:r w:rsidR="00B20F1E" w:rsidRPr="000D2717">
              <w:rPr>
                <w:rFonts w:eastAsia="Calibri"/>
                <w:i/>
                <w:color w:val="000000"/>
                <w:lang w:val="es-ES"/>
              </w:rPr>
              <w:t xml:space="preserve"> a altitudes superiores o iguales a 900 km</w:t>
            </w:r>
            <w:r w:rsidR="00B20F1E">
              <w:rPr>
                <w:rFonts w:eastAsia="Calibri"/>
                <w:i/>
                <w:color w:val="000000"/>
                <w:lang w:val="es-ES"/>
              </w:rPr>
              <w:t>,</w:t>
            </w:r>
            <w:r w:rsidR="00B20F1E" w:rsidRPr="000D2717">
              <w:rPr>
                <w:rFonts w:eastAsia="Calibri"/>
                <w:i/>
                <w:color w:val="000000"/>
                <w:lang w:val="es-ES"/>
              </w:rPr>
              <w:t xml:space="preserve"> e inferiores a 1</w:t>
            </w:r>
            <w:r w:rsidR="00193D1C">
              <w:rPr>
                <w:rFonts w:eastAsia="Calibri"/>
                <w:i/>
                <w:color w:val="000000"/>
                <w:lang w:val="es-ES"/>
              </w:rPr>
              <w:t> </w:t>
            </w:r>
            <w:r w:rsidR="00B20F1E" w:rsidRPr="000D2717">
              <w:rPr>
                <w:rFonts w:eastAsia="Calibri"/>
                <w:i/>
                <w:color w:val="000000"/>
                <w:lang w:val="es-ES"/>
              </w:rPr>
              <w:t xml:space="preserve">290 km, </w:t>
            </w:r>
            <w:r w:rsidR="00B20F1E">
              <w:rPr>
                <w:rFonts w:eastAsia="Calibri"/>
                <w:i/>
                <w:color w:val="000000"/>
                <w:lang w:val="es-ES"/>
              </w:rPr>
              <w:t>y</w:t>
            </w:r>
            <w:r w:rsidR="00B20F1E" w:rsidRPr="000D2717">
              <w:rPr>
                <w:rFonts w:eastAsia="Calibri"/>
                <w:i/>
                <w:color w:val="000000"/>
                <w:lang w:val="es-ES"/>
              </w:rPr>
              <w:t xml:space="preserve"> </w:t>
            </w:r>
            <w:r w:rsidR="00B20F1E">
              <w:rPr>
                <w:rFonts w:eastAsia="Calibri"/>
                <w:i/>
                <w:color w:val="000000"/>
                <w:lang w:val="es-ES"/>
              </w:rPr>
              <w:t xml:space="preserve">de un </w:t>
            </w:r>
            <w:r w:rsidR="00B20F1E" w:rsidRPr="008B4159">
              <w:rPr>
                <w:rFonts w:eastAsia="Calibri"/>
                <w:iCs/>
                <w:color w:val="000000"/>
                <w:lang w:val="es-ES"/>
              </w:rPr>
              <w:t>encarga a la BR</w:t>
            </w:r>
            <w:r w:rsidR="00B20F1E" w:rsidRPr="000D2717">
              <w:rPr>
                <w:rFonts w:eastAsia="Calibri"/>
                <w:i/>
                <w:color w:val="000000"/>
                <w:lang w:val="es-ES"/>
              </w:rPr>
              <w:t xml:space="preserve"> que informe a la próxima conferencia </w:t>
            </w:r>
            <w:r w:rsidR="00B20F1E">
              <w:rPr>
                <w:rFonts w:eastAsia="Calibri"/>
                <w:i/>
                <w:color w:val="000000"/>
                <w:lang w:val="es-ES"/>
              </w:rPr>
              <w:t>de</w:t>
            </w:r>
            <w:r w:rsidR="00B20F1E" w:rsidRPr="000D2717">
              <w:rPr>
                <w:rFonts w:eastAsia="Calibri"/>
                <w:i/>
                <w:color w:val="000000"/>
                <w:lang w:val="es-ES"/>
              </w:rPr>
              <w:t xml:space="preserve"> los avances en </w:t>
            </w:r>
            <w:r w:rsidR="00B20F1E">
              <w:rPr>
                <w:rFonts w:eastAsia="Calibri"/>
                <w:i/>
                <w:color w:val="000000"/>
                <w:lang w:val="es-ES"/>
              </w:rPr>
              <w:t>cuanto al examen</w:t>
            </w:r>
            <w:r w:rsidR="00B20F1E" w:rsidRPr="000D2717">
              <w:rPr>
                <w:rFonts w:eastAsia="Calibri"/>
                <w:i/>
                <w:color w:val="000000"/>
                <w:lang w:val="es-ES"/>
              </w:rPr>
              <w:t xml:space="preserve"> de los límites de </w:t>
            </w:r>
            <w:proofErr w:type="spellStart"/>
            <w:r w:rsidR="00B20F1E" w:rsidRPr="000D2717">
              <w:rPr>
                <w:rFonts w:eastAsia="Calibri"/>
                <w:i/>
                <w:color w:val="000000"/>
                <w:lang w:val="es-ES"/>
              </w:rPr>
              <w:t>p.i.r.e</w:t>
            </w:r>
            <w:proofErr w:type="spellEnd"/>
            <w:r w:rsidR="00B20F1E" w:rsidRPr="000D2717">
              <w:rPr>
                <w:rFonts w:eastAsia="Calibri"/>
                <w:i/>
                <w:color w:val="000000"/>
                <w:lang w:val="es-ES"/>
              </w:rPr>
              <w:t>. a altitudes superiores o iguales a 900 km e inferiores a 1</w:t>
            </w:r>
            <w:r w:rsidR="00193D1C">
              <w:rPr>
                <w:rFonts w:eastAsia="Calibri"/>
                <w:i/>
                <w:color w:val="000000"/>
                <w:lang w:val="es-ES"/>
              </w:rPr>
              <w:t> </w:t>
            </w:r>
            <w:r w:rsidR="00B20F1E" w:rsidRPr="000D2717">
              <w:rPr>
                <w:rFonts w:eastAsia="Calibri"/>
                <w:i/>
                <w:color w:val="000000"/>
                <w:lang w:val="es-ES"/>
              </w:rPr>
              <w:t>290 km.</w:t>
            </w:r>
          </w:p>
          <w:p w14:paraId="2B7D5D79" w14:textId="2E46DFFE" w:rsidR="00B20F1E" w:rsidRPr="000D2717" w:rsidRDefault="00632D35" w:rsidP="00632D35">
            <w:pPr>
              <w:pStyle w:val="Tabletext"/>
              <w:ind w:left="851" w:hanging="851"/>
              <w:rPr>
                <w:rFonts w:eastAsia="Calibri"/>
                <w:i/>
                <w:color w:val="000000"/>
                <w:lang w:val="es-ES"/>
              </w:rPr>
            </w:pPr>
            <w:r>
              <w:rPr>
                <w:rFonts w:eastAsia="Calibri"/>
                <w:i/>
                <w:color w:val="000000"/>
                <w:lang w:val="es-ES"/>
              </w:rPr>
              <w:tab/>
            </w:r>
            <w:r>
              <w:rPr>
                <w:rFonts w:eastAsia="Calibri"/>
                <w:i/>
                <w:color w:val="000000"/>
                <w:lang w:val="es-ES"/>
              </w:rPr>
              <w:tab/>
            </w:r>
            <w:r>
              <w:rPr>
                <w:rFonts w:eastAsia="Calibri"/>
                <w:i/>
                <w:color w:val="000000"/>
                <w:lang w:val="es-ES"/>
              </w:rPr>
              <w:tab/>
            </w:r>
            <w:r w:rsidR="00B20F1E" w:rsidRPr="000D2717">
              <w:rPr>
                <w:rFonts w:eastAsia="Calibri"/>
                <w:i/>
                <w:color w:val="000000"/>
                <w:lang w:val="es-ES"/>
              </w:rPr>
              <w:t>Las</w:t>
            </w:r>
            <w:r w:rsidR="00B20F1E" w:rsidRPr="00F175DE">
              <w:rPr>
                <w:rFonts w:eastAsia="Calibri"/>
                <w:i/>
                <w:color w:val="000000"/>
                <w:lang w:val="es-ES"/>
              </w:rPr>
              <w:t xml:space="preserve"> emisiones de toda estación espacial no OSG que transmita en las bandas de frecuencias 27,5-29,1 GHz y 29,5-30 GHz para comunicarse con un sistema no OSG con una altitud operacional mínima superior a 2 000 km no rebasará</w:t>
            </w:r>
            <w:r w:rsidR="00B20F1E">
              <w:rPr>
                <w:rFonts w:eastAsia="Calibri"/>
                <w:i/>
                <w:color w:val="000000"/>
                <w:lang w:val="es-ES"/>
              </w:rPr>
              <w:t>n</w:t>
            </w:r>
            <w:r w:rsidR="00B20F1E" w:rsidRPr="00F175DE">
              <w:rPr>
                <w:rFonts w:eastAsia="Calibri"/>
                <w:i/>
                <w:color w:val="000000"/>
                <w:lang w:val="es-ES"/>
              </w:rPr>
              <w:t xml:space="preserve"> una densidad espectral de </w:t>
            </w:r>
            <w:proofErr w:type="spellStart"/>
            <w:r w:rsidR="00B20F1E" w:rsidRPr="00F175DE">
              <w:rPr>
                <w:rFonts w:eastAsia="Calibri"/>
                <w:i/>
                <w:color w:val="000000"/>
                <w:lang w:val="es-ES"/>
              </w:rPr>
              <w:t>p.i.r.e</w:t>
            </w:r>
            <w:proofErr w:type="spellEnd"/>
            <w:r w:rsidR="00B20F1E" w:rsidRPr="00F175DE">
              <w:rPr>
                <w:rFonts w:eastAsia="Calibri"/>
                <w:i/>
                <w:color w:val="000000"/>
                <w:lang w:val="es-ES"/>
              </w:rPr>
              <w:t xml:space="preserve">. en el eje de −20 </w:t>
            </w:r>
            <w:proofErr w:type="spellStart"/>
            <w:r w:rsidR="00B20F1E" w:rsidRPr="00F175DE">
              <w:rPr>
                <w:rFonts w:eastAsia="Calibri"/>
                <w:i/>
                <w:color w:val="000000"/>
                <w:lang w:val="es-ES"/>
              </w:rPr>
              <w:t>dBW</w:t>
            </w:r>
            <w:proofErr w:type="spellEnd"/>
            <w:r w:rsidR="00B20F1E" w:rsidRPr="00F175DE">
              <w:rPr>
                <w:rFonts w:eastAsia="Calibri"/>
                <w:i/>
                <w:color w:val="000000"/>
                <w:lang w:val="es-ES"/>
              </w:rPr>
              <w:t xml:space="preserve">/Hz y la </w:t>
            </w:r>
            <w:proofErr w:type="spellStart"/>
            <w:r w:rsidR="00B20F1E" w:rsidRPr="00F175DE">
              <w:rPr>
                <w:rFonts w:eastAsia="Calibri"/>
                <w:i/>
                <w:color w:val="000000"/>
                <w:lang w:val="es-ES"/>
              </w:rPr>
              <w:t>p.i.r.e</w:t>
            </w:r>
            <w:proofErr w:type="spellEnd"/>
            <w:r w:rsidR="00B20F1E" w:rsidRPr="00F175DE">
              <w:rPr>
                <w:rFonts w:eastAsia="Calibri"/>
                <w:i/>
                <w:color w:val="000000"/>
                <w:lang w:val="es-ES"/>
              </w:rPr>
              <w:t>. total de cualquier estación espacial no OSG no será superior a:</w:t>
            </w:r>
            <w:r w:rsidR="00B20F1E">
              <w:rPr>
                <w:rFonts w:eastAsia="Calibri"/>
                <w:i/>
                <w:color w:val="000000"/>
                <w:lang w:val="es-ES"/>
              </w:rPr>
              <w:br/>
            </w:r>
          </w:p>
          <w:tbl>
            <w:tblPr>
              <w:tblW w:w="4135"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425"/>
              <w:gridCol w:w="1710"/>
            </w:tblGrid>
            <w:tr w:rsidR="00B20F1E" w:rsidRPr="000D2717" w14:paraId="1F959388" w14:textId="77777777" w:rsidTr="00DB48C6">
              <w:trPr>
                <w:jc w:val="center"/>
              </w:trPr>
              <w:tc>
                <w:tcPr>
                  <w:tcW w:w="4135" w:type="dxa"/>
                  <w:gridSpan w:val="2"/>
                </w:tcPr>
                <w:p w14:paraId="0377A22F" w14:textId="77777777" w:rsidR="00B20F1E" w:rsidRPr="000D2717" w:rsidRDefault="00B20F1E" w:rsidP="00632D35">
                  <w:pPr>
                    <w:pStyle w:val="Tablehead"/>
                    <w:rPr>
                      <w:rFonts w:eastAsia="Calibri"/>
                      <w:lang w:val="es-ES"/>
                    </w:rPr>
                  </w:pPr>
                  <w:r>
                    <w:rPr>
                      <w:rFonts w:eastAsia="Calibri"/>
                      <w:lang w:val="es-ES"/>
                    </w:rPr>
                    <w:t>A</w:t>
                  </w:r>
                  <w:r w:rsidRPr="000D2717">
                    <w:rPr>
                      <w:rFonts w:eastAsia="Calibri"/>
                      <w:lang w:val="es-ES"/>
                    </w:rPr>
                    <w:t xml:space="preserve">ltitud mínima </w:t>
                  </w:r>
                  <w:r>
                    <w:rPr>
                      <w:rFonts w:eastAsia="Calibri"/>
                      <w:lang w:val="es-ES"/>
                    </w:rPr>
                    <w:t>operativa</w:t>
                  </w:r>
                  <w:r w:rsidRPr="000D2717">
                    <w:rPr>
                      <w:rFonts w:eastAsia="Calibri"/>
                      <w:lang w:val="es-ES"/>
                    </w:rPr>
                    <w:t xml:space="preserve"> &gt;2 000 km</w:t>
                  </w:r>
                </w:p>
              </w:tc>
            </w:tr>
            <w:tr w:rsidR="00B20F1E" w:rsidRPr="00B707C8" w14:paraId="4E8560C5" w14:textId="77777777" w:rsidTr="00DB48C6">
              <w:trPr>
                <w:jc w:val="center"/>
              </w:trPr>
              <w:tc>
                <w:tcPr>
                  <w:tcW w:w="2425" w:type="dxa"/>
                </w:tcPr>
                <w:p w14:paraId="4849938F" w14:textId="77777777" w:rsidR="00B20F1E" w:rsidRPr="000D2717" w:rsidRDefault="00B20F1E" w:rsidP="00632D35">
                  <w:pPr>
                    <w:pStyle w:val="Tablehead"/>
                    <w:rPr>
                      <w:rFonts w:eastAsia="Calibri"/>
                      <w:lang w:val="es-ES"/>
                    </w:rPr>
                  </w:pPr>
                  <w:r w:rsidRPr="00A31086">
                    <w:rPr>
                      <w:rFonts w:eastAsia="Calibri"/>
                      <w:lang w:val="es-ES"/>
                    </w:rPr>
                    <w:t>Altitud operativa de la estación espacial no OSG transmisora (km</w:t>
                  </w:r>
                  <w:r>
                    <w:rPr>
                      <w:rFonts w:eastAsia="Calibri"/>
                      <w:lang w:val="es-ES"/>
                    </w:rPr>
                    <w:t>)</w:t>
                  </w:r>
                </w:p>
              </w:tc>
              <w:tc>
                <w:tcPr>
                  <w:tcW w:w="1710" w:type="dxa"/>
                </w:tcPr>
                <w:p w14:paraId="49AEB5E8" w14:textId="77777777" w:rsidR="00B20F1E" w:rsidRPr="000D2717" w:rsidRDefault="00B20F1E" w:rsidP="00632D35">
                  <w:pPr>
                    <w:pStyle w:val="Tablehead"/>
                    <w:rPr>
                      <w:rFonts w:eastAsia="Calibri"/>
                      <w:lang w:val="es-ES"/>
                    </w:rPr>
                  </w:pPr>
                  <w:proofErr w:type="spellStart"/>
                  <w:r w:rsidRPr="000D2717">
                    <w:rPr>
                      <w:rFonts w:eastAsia="Calibri"/>
                      <w:lang w:val="es-ES"/>
                    </w:rPr>
                    <w:t>P.i.r.e</w:t>
                  </w:r>
                  <w:proofErr w:type="spellEnd"/>
                  <w:r w:rsidRPr="000D2717">
                    <w:rPr>
                      <w:rFonts w:eastAsia="Calibri"/>
                      <w:lang w:val="es-ES"/>
                    </w:rPr>
                    <w:t>. total máxima (</w:t>
                  </w:r>
                  <w:proofErr w:type="spellStart"/>
                  <w:r w:rsidRPr="000D2717">
                    <w:rPr>
                      <w:rFonts w:eastAsia="Calibri"/>
                      <w:lang w:val="es-ES"/>
                    </w:rPr>
                    <w:t>dBW</w:t>
                  </w:r>
                  <w:proofErr w:type="spellEnd"/>
                  <w:r w:rsidRPr="000D2717">
                    <w:rPr>
                      <w:rFonts w:eastAsia="Calibri"/>
                      <w:lang w:val="es-ES"/>
                    </w:rPr>
                    <w:t>)</w:t>
                  </w:r>
                </w:p>
              </w:tc>
            </w:tr>
            <w:tr w:rsidR="00B20F1E" w:rsidRPr="00B707C8" w14:paraId="343433BE" w14:textId="77777777" w:rsidTr="00DB48C6">
              <w:trPr>
                <w:jc w:val="center"/>
              </w:trPr>
              <w:tc>
                <w:tcPr>
                  <w:tcW w:w="2425" w:type="dxa"/>
                </w:tcPr>
                <w:p w14:paraId="6DDE3716" w14:textId="77777777" w:rsidR="00B20F1E" w:rsidRPr="000D2717" w:rsidRDefault="00B20F1E" w:rsidP="00193D1C">
                  <w:pPr>
                    <w:pStyle w:val="Tabletext"/>
                    <w:jc w:val="center"/>
                    <w:rPr>
                      <w:rFonts w:eastAsia="Calibri"/>
                      <w:lang w:val="es-ES"/>
                    </w:rPr>
                  </w:pPr>
                  <w:r w:rsidRPr="000D2717">
                    <w:rPr>
                      <w:rFonts w:eastAsia="Calibri"/>
                      <w:lang w:val="es-ES"/>
                    </w:rPr>
                    <w:t>altitud &lt; 450</w:t>
                  </w:r>
                </w:p>
              </w:tc>
              <w:tc>
                <w:tcPr>
                  <w:tcW w:w="1710" w:type="dxa"/>
                </w:tcPr>
                <w:p w14:paraId="00F438D0" w14:textId="77777777" w:rsidR="00B20F1E" w:rsidRPr="000D2717" w:rsidRDefault="00B20F1E" w:rsidP="00193D1C">
                  <w:pPr>
                    <w:pStyle w:val="Tabletext"/>
                    <w:jc w:val="center"/>
                    <w:rPr>
                      <w:rFonts w:eastAsia="Calibri"/>
                      <w:lang w:val="es-ES"/>
                    </w:rPr>
                  </w:pPr>
                  <w:r w:rsidRPr="000D2717">
                    <w:rPr>
                      <w:rFonts w:eastAsia="Calibri"/>
                      <w:lang w:val="es-ES"/>
                    </w:rPr>
                    <w:t>63</w:t>
                  </w:r>
                </w:p>
              </w:tc>
            </w:tr>
            <w:tr w:rsidR="00B20F1E" w:rsidRPr="00B707C8" w14:paraId="6C0B920F" w14:textId="77777777" w:rsidTr="00DB48C6">
              <w:trPr>
                <w:jc w:val="center"/>
              </w:trPr>
              <w:tc>
                <w:tcPr>
                  <w:tcW w:w="2425" w:type="dxa"/>
                </w:tcPr>
                <w:p w14:paraId="51B1D1FF" w14:textId="77777777" w:rsidR="00B20F1E" w:rsidRPr="000D2717" w:rsidRDefault="00B20F1E" w:rsidP="00193D1C">
                  <w:pPr>
                    <w:pStyle w:val="Tabletext"/>
                    <w:jc w:val="center"/>
                    <w:rPr>
                      <w:rFonts w:eastAsia="Calibri"/>
                      <w:lang w:val="es-ES"/>
                    </w:rPr>
                  </w:pPr>
                  <w:r w:rsidRPr="000D2717">
                    <w:rPr>
                      <w:rFonts w:eastAsia="Calibri"/>
                      <w:lang w:val="es-ES"/>
                    </w:rPr>
                    <w:t>450 ≤ altitud &lt; 600</w:t>
                  </w:r>
                </w:p>
              </w:tc>
              <w:tc>
                <w:tcPr>
                  <w:tcW w:w="1710" w:type="dxa"/>
                </w:tcPr>
                <w:p w14:paraId="2DD1FE0A" w14:textId="77777777" w:rsidR="00B20F1E" w:rsidRPr="000D2717" w:rsidRDefault="00B20F1E" w:rsidP="00193D1C">
                  <w:pPr>
                    <w:pStyle w:val="Tabletext"/>
                    <w:jc w:val="center"/>
                    <w:rPr>
                      <w:rFonts w:eastAsia="Calibri"/>
                      <w:lang w:val="es-ES"/>
                    </w:rPr>
                  </w:pPr>
                  <w:r w:rsidRPr="000D2717">
                    <w:rPr>
                      <w:rFonts w:eastAsia="Calibri"/>
                      <w:lang w:val="es-ES"/>
                    </w:rPr>
                    <w:t>61</w:t>
                  </w:r>
                </w:p>
              </w:tc>
            </w:tr>
            <w:tr w:rsidR="00B20F1E" w:rsidRPr="00B707C8" w14:paraId="555FAC8A" w14:textId="77777777" w:rsidTr="00DB48C6">
              <w:trPr>
                <w:jc w:val="center"/>
              </w:trPr>
              <w:tc>
                <w:tcPr>
                  <w:tcW w:w="2425" w:type="dxa"/>
                </w:tcPr>
                <w:p w14:paraId="12EF2DC8" w14:textId="77777777" w:rsidR="00B20F1E" w:rsidRPr="000D2717" w:rsidRDefault="00B20F1E" w:rsidP="00193D1C">
                  <w:pPr>
                    <w:pStyle w:val="Tabletext"/>
                    <w:jc w:val="center"/>
                    <w:rPr>
                      <w:rFonts w:eastAsia="Calibri"/>
                      <w:lang w:val="es-ES"/>
                    </w:rPr>
                  </w:pPr>
                  <w:r w:rsidRPr="000D2717">
                    <w:rPr>
                      <w:rFonts w:eastAsia="Calibri"/>
                      <w:lang w:val="es-ES"/>
                    </w:rPr>
                    <w:t>600 ≤ altitud &lt; 750</w:t>
                  </w:r>
                </w:p>
              </w:tc>
              <w:tc>
                <w:tcPr>
                  <w:tcW w:w="1710" w:type="dxa"/>
                </w:tcPr>
                <w:p w14:paraId="7CBC0D85" w14:textId="77777777" w:rsidR="00B20F1E" w:rsidRPr="000D2717" w:rsidRDefault="00B20F1E" w:rsidP="00193D1C">
                  <w:pPr>
                    <w:pStyle w:val="Tabletext"/>
                    <w:jc w:val="center"/>
                    <w:rPr>
                      <w:rFonts w:eastAsia="Calibri"/>
                      <w:lang w:val="es-ES"/>
                    </w:rPr>
                  </w:pPr>
                  <w:r w:rsidRPr="000D2717">
                    <w:rPr>
                      <w:rFonts w:eastAsia="Calibri"/>
                      <w:lang w:val="es-ES"/>
                    </w:rPr>
                    <w:t>58</w:t>
                  </w:r>
                </w:p>
              </w:tc>
            </w:tr>
            <w:tr w:rsidR="00B20F1E" w:rsidRPr="00B707C8" w14:paraId="44103A91" w14:textId="77777777" w:rsidTr="00DB48C6">
              <w:trPr>
                <w:jc w:val="center"/>
              </w:trPr>
              <w:tc>
                <w:tcPr>
                  <w:tcW w:w="2425" w:type="dxa"/>
                </w:tcPr>
                <w:p w14:paraId="526B0279" w14:textId="77777777" w:rsidR="00B20F1E" w:rsidRPr="000D2717" w:rsidRDefault="00B20F1E" w:rsidP="00193D1C">
                  <w:pPr>
                    <w:pStyle w:val="Tabletext"/>
                    <w:jc w:val="center"/>
                    <w:rPr>
                      <w:rFonts w:eastAsia="Calibri"/>
                      <w:lang w:val="es-ES"/>
                    </w:rPr>
                  </w:pPr>
                  <w:r w:rsidRPr="000D2717">
                    <w:rPr>
                      <w:rFonts w:eastAsia="Calibri"/>
                      <w:lang w:val="es-ES"/>
                    </w:rPr>
                    <w:t>750 ≤ altitud &lt; 900</w:t>
                  </w:r>
                </w:p>
              </w:tc>
              <w:tc>
                <w:tcPr>
                  <w:tcW w:w="1710" w:type="dxa"/>
                </w:tcPr>
                <w:p w14:paraId="6E4ABBB6" w14:textId="77777777" w:rsidR="00B20F1E" w:rsidRPr="000D2717" w:rsidRDefault="00B20F1E" w:rsidP="00193D1C">
                  <w:pPr>
                    <w:pStyle w:val="Tabletext"/>
                    <w:jc w:val="center"/>
                    <w:rPr>
                      <w:rFonts w:eastAsia="Calibri"/>
                      <w:lang w:val="es-ES"/>
                    </w:rPr>
                  </w:pPr>
                  <w:r w:rsidRPr="000D2717">
                    <w:rPr>
                      <w:rFonts w:eastAsia="Calibri"/>
                      <w:lang w:val="es-ES"/>
                    </w:rPr>
                    <w:t>55</w:t>
                  </w:r>
                </w:p>
              </w:tc>
            </w:tr>
            <w:tr w:rsidR="00B20F1E" w:rsidRPr="00B707C8" w14:paraId="73E0AE48" w14:textId="77777777" w:rsidTr="00DB48C6">
              <w:trPr>
                <w:jc w:val="center"/>
              </w:trPr>
              <w:tc>
                <w:tcPr>
                  <w:tcW w:w="2425" w:type="dxa"/>
                </w:tcPr>
                <w:p w14:paraId="3DA3937C" w14:textId="77777777" w:rsidR="00B20F1E" w:rsidRPr="000D2717" w:rsidRDefault="00B20F1E" w:rsidP="00193D1C">
                  <w:pPr>
                    <w:pStyle w:val="Tabletext"/>
                    <w:jc w:val="center"/>
                    <w:rPr>
                      <w:rFonts w:eastAsia="Calibri"/>
                      <w:lang w:val="es-ES"/>
                    </w:rPr>
                  </w:pPr>
                  <w:r w:rsidRPr="000D2717">
                    <w:rPr>
                      <w:rFonts w:eastAsia="Calibri"/>
                      <w:lang w:val="es-ES"/>
                    </w:rPr>
                    <w:t>900 ≤ altitud &lt; 1 290</w:t>
                  </w:r>
                </w:p>
              </w:tc>
              <w:tc>
                <w:tcPr>
                  <w:tcW w:w="1710" w:type="dxa"/>
                </w:tcPr>
                <w:p w14:paraId="475DC879" w14:textId="77777777" w:rsidR="00B20F1E" w:rsidRPr="000D2717" w:rsidRDefault="00B20F1E" w:rsidP="00193D1C">
                  <w:pPr>
                    <w:pStyle w:val="Tabletext"/>
                    <w:jc w:val="center"/>
                    <w:rPr>
                      <w:rFonts w:eastAsia="Calibri"/>
                      <w:lang w:val="es-ES"/>
                    </w:rPr>
                  </w:pPr>
                  <w:r w:rsidRPr="000D2717">
                    <w:rPr>
                      <w:rFonts w:eastAsia="Calibri"/>
                      <w:lang w:val="es-ES"/>
                    </w:rPr>
                    <w:t>N/A</w:t>
                  </w:r>
                </w:p>
              </w:tc>
            </w:tr>
            <w:tr w:rsidR="00B20F1E" w:rsidRPr="00B707C8" w14:paraId="786D6AB6" w14:textId="77777777" w:rsidTr="00DB48C6">
              <w:trPr>
                <w:jc w:val="center"/>
              </w:trPr>
              <w:tc>
                <w:tcPr>
                  <w:tcW w:w="2425" w:type="dxa"/>
                </w:tcPr>
                <w:p w14:paraId="0D8B08AE" w14:textId="77777777" w:rsidR="00B20F1E" w:rsidRPr="000D2717" w:rsidRDefault="00B20F1E" w:rsidP="00193D1C">
                  <w:pPr>
                    <w:pStyle w:val="Tabletext"/>
                    <w:jc w:val="center"/>
                    <w:rPr>
                      <w:rFonts w:eastAsia="Calibri"/>
                      <w:lang w:val="es-ES"/>
                    </w:rPr>
                  </w:pPr>
                  <w:r w:rsidRPr="000D2717">
                    <w:rPr>
                      <w:rFonts w:eastAsia="Calibri"/>
                      <w:lang w:val="es-ES"/>
                    </w:rPr>
                    <w:t>altitud ≥ 1 290</w:t>
                  </w:r>
                </w:p>
              </w:tc>
              <w:tc>
                <w:tcPr>
                  <w:tcW w:w="1710" w:type="dxa"/>
                </w:tcPr>
                <w:p w14:paraId="29D8ACE4" w14:textId="77777777" w:rsidR="00B20F1E" w:rsidRPr="000D2717" w:rsidRDefault="00B20F1E" w:rsidP="00193D1C">
                  <w:pPr>
                    <w:pStyle w:val="Tabletext"/>
                    <w:jc w:val="center"/>
                    <w:rPr>
                      <w:rFonts w:eastAsia="Calibri"/>
                      <w:lang w:val="es-ES"/>
                    </w:rPr>
                  </w:pPr>
                  <w:r w:rsidRPr="000D2717">
                    <w:rPr>
                      <w:rFonts w:eastAsia="Calibri"/>
                      <w:lang w:val="es-ES"/>
                    </w:rPr>
                    <w:t>N/A</w:t>
                  </w:r>
                </w:p>
              </w:tc>
            </w:tr>
          </w:tbl>
          <w:p w14:paraId="18A3B7B0" w14:textId="16AF56D0" w:rsidR="00B20F1E" w:rsidRPr="000D2717" w:rsidRDefault="00632D35" w:rsidP="00632D35">
            <w:pPr>
              <w:pStyle w:val="Tabletext"/>
              <w:ind w:left="851" w:hanging="851"/>
              <w:rPr>
                <w:rFonts w:eastAsia="Calibri"/>
                <w:i/>
                <w:color w:val="000000"/>
                <w:lang w:val="es-ES"/>
              </w:rPr>
            </w:pPr>
            <w:r>
              <w:rPr>
                <w:rFonts w:eastAsia="Calibri"/>
                <w:i/>
                <w:color w:val="000000"/>
                <w:lang w:val="es-ES"/>
              </w:rPr>
              <w:tab/>
            </w:r>
            <w:r>
              <w:rPr>
                <w:rFonts w:eastAsia="Calibri"/>
                <w:i/>
                <w:color w:val="000000"/>
                <w:lang w:val="es-ES"/>
              </w:rPr>
              <w:tab/>
            </w:r>
            <w:r>
              <w:rPr>
                <w:rFonts w:eastAsia="Calibri"/>
                <w:i/>
                <w:color w:val="000000"/>
                <w:lang w:val="es-ES"/>
              </w:rPr>
              <w:tab/>
            </w:r>
            <w:r w:rsidR="00B20F1E" w:rsidRPr="00202042">
              <w:rPr>
                <w:rFonts w:eastAsia="Calibri"/>
                <w:i/>
                <w:color w:val="000000"/>
                <w:lang w:val="es-ES"/>
              </w:rPr>
              <w:t xml:space="preserve">Las emisiones de toda estación espacial no OSG que transmita en las bandas de frecuencias 27,5-29,1 GHz y 29,5-30 GHz para comunicarse con un sistema no OSG con una altitud operativa mínima inferior a 2 000 km no rebasará una densidad espectral de </w:t>
            </w:r>
            <w:proofErr w:type="spellStart"/>
            <w:r w:rsidR="00B20F1E" w:rsidRPr="00202042">
              <w:rPr>
                <w:rFonts w:eastAsia="Calibri"/>
                <w:i/>
                <w:color w:val="000000"/>
                <w:lang w:val="es-ES"/>
              </w:rPr>
              <w:t>p.i.r.e</w:t>
            </w:r>
            <w:proofErr w:type="spellEnd"/>
            <w:r w:rsidR="00B20F1E" w:rsidRPr="00202042">
              <w:rPr>
                <w:rFonts w:eastAsia="Calibri"/>
                <w:i/>
                <w:color w:val="000000"/>
                <w:lang w:val="es-ES"/>
              </w:rPr>
              <w:t xml:space="preserve">. en el eje de –30 </w:t>
            </w:r>
            <w:proofErr w:type="spellStart"/>
            <w:r w:rsidR="00B20F1E" w:rsidRPr="00202042">
              <w:rPr>
                <w:rFonts w:eastAsia="Calibri"/>
                <w:i/>
                <w:color w:val="000000"/>
                <w:lang w:val="es-ES"/>
              </w:rPr>
              <w:t>dBW</w:t>
            </w:r>
            <w:proofErr w:type="spellEnd"/>
            <w:r w:rsidR="00B20F1E" w:rsidRPr="00202042">
              <w:rPr>
                <w:rFonts w:eastAsia="Calibri"/>
                <w:i/>
                <w:color w:val="000000"/>
                <w:lang w:val="es-ES"/>
              </w:rPr>
              <w:t xml:space="preserve">/Hz y la </w:t>
            </w:r>
            <w:proofErr w:type="spellStart"/>
            <w:r w:rsidR="00B20F1E" w:rsidRPr="00202042">
              <w:rPr>
                <w:rFonts w:eastAsia="Calibri"/>
                <w:i/>
                <w:color w:val="000000"/>
                <w:lang w:val="es-ES"/>
              </w:rPr>
              <w:t>p.i.r.e</w:t>
            </w:r>
            <w:proofErr w:type="spellEnd"/>
            <w:r w:rsidR="00B20F1E" w:rsidRPr="00202042">
              <w:rPr>
                <w:rFonts w:eastAsia="Calibri"/>
                <w:i/>
                <w:color w:val="000000"/>
                <w:lang w:val="es-ES"/>
              </w:rPr>
              <w:t>. total de cualquier estación espacial no OSG no será superior a</w:t>
            </w:r>
            <w:r w:rsidR="00B20F1E" w:rsidRPr="000D2717">
              <w:rPr>
                <w:rFonts w:eastAsia="Calibri"/>
                <w:i/>
                <w:color w:val="000000"/>
                <w:lang w:val="es-ES"/>
              </w:rPr>
              <w:t>:</w:t>
            </w:r>
          </w:p>
          <w:p w14:paraId="5BCAA03F" w14:textId="77777777" w:rsidR="00B20F1E" w:rsidRPr="000D2717" w:rsidRDefault="00B20F1E" w:rsidP="00632D35">
            <w:pPr>
              <w:pStyle w:val="Tabletext"/>
              <w:rPr>
                <w:rFonts w:eastAsia="Calibri"/>
                <w:i/>
                <w:color w:val="000000"/>
                <w:lang w:val="es-ES"/>
              </w:rPr>
            </w:pPr>
          </w:p>
          <w:tbl>
            <w:tblPr>
              <w:tblW w:w="444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40"/>
              <w:gridCol w:w="1800"/>
            </w:tblGrid>
            <w:tr w:rsidR="00B20F1E" w:rsidRPr="000D2717" w14:paraId="4B8F1214" w14:textId="77777777" w:rsidTr="00DB48C6">
              <w:trPr>
                <w:jc w:val="center"/>
              </w:trPr>
              <w:tc>
                <w:tcPr>
                  <w:tcW w:w="4440" w:type="dxa"/>
                  <w:gridSpan w:val="2"/>
                </w:tcPr>
                <w:p w14:paraId="07726B67" w14:textId="77777777" w:rsidR="00B20F1E" w:rsidRPr="000D2717" w:rsidRDefault="00B20F1E" w:rsidP="00632D35">
                  <w:pPr>
                    <w:pStyle w:val="Tablehead"/>
                    <w:rPr>
                      <w:rFonts w:eastAsia="Calibri"/>
                      <w:lang w:val="es-ES"/>
                    </w:rPr>
                  </w:pPr>
                  <w:r>
                    <w:rPr>
                      <w:rFonts w:eastAsia="Calibri"/>
                      <w:lang w:val="es-ES"/>
                    </w:rPr>
                    <w:t>A</w:t>
                  </w:r>
                  <w:r w:rsidRPr="000D2717">
                    <w:rPr>
                      <w:rFonts w:eastAsia="Calibri"/>
                      <w:lang w:val="es-ES"/>
                    </w:rPr>
                    <w:t xml:space="preserve">ltitud mínima </w:t>
                  </w:r>
                  <w:r>
                    <w:rPr>
                      <w:rFonts w:eastAsia="Calibri"/>
                      <w:lang w:val="es-ES"/>
                    </w:rPr>
                    <w:t>operativa</w:t>
                  </w:r>
                  <w:r w:rsidRPr="000D2717">
                    <w:rPr>
                      <w:rFonts w:eastAsia="Calibri"/>
                      <w:lang w:val="es-ES"/>
                    </w:rPr>
                    <w:t xml:space="preserve"> &lt;2 000 km</w:t>
                  </w:r>
                </w:p>
              </w:tc>
            </w:tr>
            <w:tr w:rsidR="00B20F1E" w:rsidRPr="00B707C8" w14:paraId="1D95D8DF" w14:textId="77777777" w:rsidTr="00DB48C6">
              <w:trPr>
                <w:jc w:val="center"/>
              </w:trPr>
              <w:tc>
                <w:tcPr>
                  <w:tcW w:w="2640" w:type="dxa"/>
                </w:tcPr>
                <w:p w14:paraId="4AB563EE" w14:textId="77777777" w:rsidR="00B20F1E" w:rsidRPr="000D2717" w:rsidRDefault="00B20F1E" w:rsidP="00632D35">
                  <w:pPr>
                    <w:pStyle w:val="Tablehead"/>
                    <w:rPr>
                      <w:rFonts w:eastAsia="Calibri"/>
                      <w:lang w:val="es-ES"/>
                    </w:rPr>
                  </w:pPr>
                  <w:r w:rsidRPr="001A2B09">
                    <w:rPr>
                      <w:rFonts w:eastAsia="Calibri"/>
                      <w:lang w:val="es-ES"/>
                    </w:rPr>
                    <w:t>Altitud operativa de la estación espacial no OSG transmisora (km</w:t>
                  </w:r>
                  <w:r w:rsidRPr="000D2717">
                    <w:rPr>
                      <w:rFonts w:eastAsia="Calibri"/>
                      <w:lang w:val="es-ES"/>
                    </w:rPr>
                    <w:t>)</w:t>
                  </w:r>
                </w:p>
              </w:tc>
              <w:tc>
                <w:tcPr>
                  <w:tcW w:w="1800" w:type="dxa"/>
                </w:tcPr>
                <w:p w14:paraId="2BC7730F" w14:textId="77777777" w:rsidR="00B20F1E" w:rsidRPr="000D2717" w:rsidRDefault="00B20F1E" w:rsidP="00632D35">
                  <w:pPr>
                    <w:pStyle w:val="Tablehead"/>
                    <w:rPr>
                      <w:rFonts w:eastAsia="Calibri"/>
                      <w:lang w:val="es-ES"/>
                    </w:rPr>
                  </w:pPr>
                  <w:proofErr w:type="spellStart"/>
                  <w:r w:rsidRPr="001A2B09">
                    <w:rPr>
                      <w:rFonts w:eastAsia="Calibri"/>
                      <w:lang w:val="es-ES"/>
                    </w:rPr>
                    <w:t>p.i.r.e</w:t>
                  </w:r>
                  <w:proofErr w:type="spellEnd"/>
                  <w:r w:rsidRPr="001A2B09">
                    <w:rPr>
                      <w:rFonts w:eastAsia="Calibri"/>
                      <w:lang w:val="es-ES"/>
                    </w:rPr>
                    <w:t>. total máxima (</w:t>
                  </w:r>
                  <w:proofErr w:type="spellStart"/>
                  <w:r w:rsidRPr="001A2B09">
                    <w:rPr>
                      <w:rFonts w:eastAsia="Calibri"/>
                      <w:lang w:val="es-ES"/>
                    </w:rPr>
                    <w:t>dBW</w:t>
                  </w:r>
                  <w:proofErr w:type="spellEnd"/>
                  <w:r>
                    <w:rPr>
                      <w:rFonts w:eastAsia="Calibri"/>
                      <w:lang w:val="es-ES"/>
                    </w:rPr>
                    <w:t>)</w:t>
                  </w:r>
                </w:p>
              </w:tc>
            </w:tr>
            <w:tr w:rsidR="00B20F1E" w:rsidRPr="000D2717" w14:paraId="0FCF68FA" w14:textId="77777777" w:rsidTr="00DB48C6">
              <w:trPr>
                <w:jc w:val="center"/>
              </w:trPr>
              <w:tc>
                <w:tcPr>
                  <w:tcW w:w="2640" w:type="dxa"/>
                </w:tcPr>
                <w:p w14:paraId="18ADB55C" w14:textId="77777777" w:rsidR="00B20F1E" w:rsidRPr="000D2717" w:rsidRDefault="00B20F1E" w:rsidP="00193D1C">
                  <w:pPr>
                    <w:pStyle w:val="Tabletext"/>
                    <w:jc w:val="center"/>
                    <w:rPr>
                      <w:rFonts w:eastAsia="Calibri"/>
                      <w:lang w:val="es-ES"/>
                    </w:rPr>
                  </w:pPr>
                  <w:r w:rsidRPr="000D2717">
                    <w:rPr>
                      <w:rFonts w:eastAsia="Calibri"/>
                      <w:lang w:val="es-ES"/>
                    </w:rPr>
                    <w:t>altitud &lt; 450</w:t>
                  </w:r>
                </w:p>
              </w:tc>
              <w:tc>
                <w:tcPr>
                  <w:tcW w:w="1800" w:type="dxa"/>
                </w:tcPr>
                <w:p w14:paraId="5B1355CC" w14:textId="77777777" w:rsidR="00B20F1E" w:rsidRPr="000D2717" w:rsidRDefault="00B20F1E" w:rsidP="00193D1C">
                  <w:pPr>
                    <w:pStyle w:val="Tabletext"/>
                    <w:jc w:val="center"/>
                    <w:rPr>
                      <w:rFonts w:eastAsia="Calibri"/>
                      <w:lang w:val="es-ES"/>
                    </w:rPr>
                  </w:pPr>
                  <w:r w:rsidRPr="000D2717">
                    <w:rPr>
                      <w:rFonts w:eastAsia="Calibri"/>
                      <w:lang w:val="es-ES"/>
                    </w:rPr>
                    <w:t>60</w:t>
                  </w:r>
                </w:p>
              </w:tc>
            </w:tr>
            <w:tr w:rsidR="00B20F1E" w:rsidRPr="000D2717" w14:paraId="3B1DC02E" w14:textId="77777777" w:rsidTr="00DB48C6">
              <w:trPr>
                <w:jc w:val="center"/>
              </w:trPr>
              <w:tc>
                <w:tcPr>
                  <w:tcW w:w="2640" w:type="dxa"/>
                </w:tcPr>
                <w:p w14:paraId="22FAE795" w14:textId="77777777" w:rsidR="00B20F1E" w:rsidRPr="000D2717" w:rsidRDefault="00B20F1E" w:rsidP="00193D1C">
                  <w:pPr>
                    <w:pStyle w:val="Tabletext"/>
                    <w:jc w:val="center"/>
                    <w:rPr>
                      <w:rFonts w:eastAsia="Calibri"/>
                      <w:lang w:val="es-ES"/>
                    </w:rPr>
                  </w:pPr>
                  <w:r w:rsidRPr="000D2717">
                    <w:rPr>
                      <w:rFonts w:eastAsia="Calibri"/>
                      <w:lang w:val="es-ES"/>
                    </w:rPr>
                    <w:t>450 ≤ altitud &lt; 600</w:t>
                  </w:r>
                </w:p>
              </w:tc>
              <w:tc>
                <w:tcPr>
                  <w:tcW w:w="1800" w:type="dxa"/>
                </w:tcPr>
                <w:p w14:paraId="0E9311C7" w14:textId="77777777" w:rsidR="00B20F1E" w:rsidRPr="000D2717" w:rsidRDefault="00B20F1E" w:rsidP="00193D1C">
                  <w:pPr>
                    <w:pStyle w:val="Tabletext"/>
                    <w:jc w:val="center"/>
                    <w:rPr>
                      <w:rFonts w:eastAsia="Calibri"/>
                      <w:lang w:val="es-ES"/>
                    </w:rPr>
                  </w:pPr>
                  <w:r w:rsidRPr="000D2717">
                    <w:rPr>
                      <w:rFonts w:eastAsia="Calibri"/>
                      <w:lang w:val="es-ES"/>
                    </w:rPr>
                    <w:t>58</w:t>
                  </w:r>
                </w:p>
              </w:tc>
            </w:tr>
            <w:tr w:rsidR="00B20F1E" w:rsidRPr="000D2717" w14:paraId="1426B5BF" w14:textId="77777777" w:rsidTr="00DB48C6">
              <w:trPr>
                <w:jc w:val="center"/>
              </w:trPr>
              <w:tc>
                <w:tcPr>
                  <w:tcW w:w="2640" w:type="dxa"/>
                </w:tcPr>
                <w:p w14:paraId="7F628A16" w14:textId="77777777" w:rsidR="00B20F1E" w:rsidRPr="000D2717" w:rsidRDefault="00B20F1E" w:rsidP="00193D1C">
                  <w:pPr>
                    <w:pStyle w:val="Tabletext"/>
                    <w:jc w:val="center"/>
                    <w:rPr>
                      <w:rFonts w:eastAsia="Calibri"/>
                      <w:lang w:val="es-ES"/>
                    </w:rPr>
                  </w:pPr>
                  <w:r w:rsidRPr="000D2717">
                    <w:rPr>
                      <w:rFonts w:eastAsia="Calibri"/>
                      <w:lang w:val="es-ES"/>
                    </w:rPr>
                    <w:t>600 ≤ altitud &lt; 750</w:t>
                  </w:r>
                </w:p>
              </w:tc>
              <w:tc>
                <w:tcPr>
                  <w:tcW w:w="1800" w:type="dxa"/>
                </w:tcPr>
                <w:p w14:paraId="025864FB" w14:textId="77777777" w:rsidR="00B20F1E" w:rsidRPr="000D2717" w:rsidRDefault="00B20F1E" w:rsidP="00193D1C">
                  <w:pPr>
                    <w:pStyle w:val="Tabletext"/>
                    <w:jc w:val="center"/>
                    <w:rPr>
                      <w:rFonts w:eastAsia="Calibri"/>
                      <w:lang w:val="es-ES"/>
                    </w:rPr>
                  </w:pPr>
                  <w:r w:rsidRPr="000D2717">
                    <w:rPr>
                      <w:rFonts w:eastAsia="Calibri"/>
                      <w:lang w:val="es-ES"/>
                    </w:rPr>
                    <w:t>55</w:t>
                  </w:r>
                </w:p>
              </w:tc>
            </w:tr>
            <w:tr w:rsidR="00B20F1E" w:rsidRPr="000D2717" w14:paraId="0247616F" w14:textId="77777777" w:rsidTr="00DB48C6">
              <w:trPr>
                <w:jc w:val="center"/>
              </w:trPr>
              <w:tc>
                <w:tcPr>
                  <w:tcW w:w="2640" w:type="dxa"/>
                </w:tcPr>
                <w:p w14:paraId="2C171B95" w14:textId="77777777" w:rsidR="00B20F1E" w:rsidRPr="000D2717" w:rsidRDefault="00B20F1E" w:rsidP="00193D1C">
                  <w:pPr>
                    <w:pStyle w:val="Tabletext"/>
                    <w:jc w:val="center"/>
                    <w:rPr>
                      <w:rFonts w:eastAsia="Calibri"/>
                      <w:lang w:val="es-ES"/>
                    </w:rPr>
                  </w:pPr>
                  <w:r w:rsidRPr="000D2717">
                    <w:rPr>
                      <w:rFonts w:eastAsia="Calibri"/>
                      <w:lang w:val="es-ES"/>
                    </w:rPr>
                    <w:t>750 ≤ altitud &lt; 900</w:t>
                  </w:r>
                </w:p>
              </w:tc>
              <w:tc>
                <w:tcPr>
                  <w:tcW w:w="1800" w:type="dxa"/>
                </w:tcPr>
                <w:p w14:paraId="0D8A00A5" w14:textId="77777777" w:rsidR="00B20F1E" w:rsidRPr="000D2717" w:rsidRDefault="00B20F1E" w:rsidP="00193D1C">
                  <w:pPr>
                    <w:pStyle w:val="Tabletext"/>
                    <w:jc w:val="center"/>
                    <w:rPr>
                      <w:rFonts w:eastAsia="Calibri"/>
                      <w:lang w:val="es-ES"/>
                    </w:rPr>
                  </w:pPr>
                  <w:r w:rsidRPr="000D2717">
                    <w:rPr>
                      <w:rFonts w:eastAsia="Calibri"/>
                      <w:lang w:val="es-ES"/>
                    </w:rPr>
                    <w:t>53</w:t>
                  </w:r>
                </w:p>
              </w:tc>
            </w:tr>
            <w:tr w:rsidR="00B20F1E" w:rsidRPr="000D2717" w14:paraId="528CED3D" w14:textId="77777777" w:rsidTr="00DB48C6">
              <w:trPr>
                <w:jc w:val="center"/>
              </w:trPr>
              <w:tc>
                <w:tcPr>
                  <w:tcW w:w="2640" w:type="dxa"/>
                </w:tcPr>
                <w:p w14:paraId="0771883D" w14:textId="77777777" w:rsidR="00B20F1E" w:rsidRPr="000D2717" w:rsidRDefault="00B20F1E" w:rsidP="00193D1C">
                  <w:pPr>
                    <w:pStyle w:val="Tabletext"/>
                    <w:jc w:val="center"/>
                    <w:rPr>
                      <w:rFonts w:eastAsia="Calibri"/>
                      <w:lang w:val="es-ES"/>
                    </w:rPr>
                  </w:pPr>
                  <w:r w:rsidRPr="000D2717">
                    <w:rPr>
                      <w:rFonts w:eastAsia="Calibri"/>
                      <w:lang w:val="es-ES"/>
                    </w:rPr>
                    <w:t>900 ≤ altitud &lt; 1 290</w:t>
                  </w:r>
                </w:p>
              </w:tc>
              <w:tc>
                <w:tcPr>
                  <w:tcW w:w="1800" w:type="dxa"/>
                </w:tcPr>
                <w:p w14:paraId="29844662" w14:textId="77777777" w:rsidR="00B20F1E" w:rsidRPr="000D2717" w:rsidRDefault="00B20F1E" w:rsidP="00193D1C">
                  <w:pPr>
                    <w:pStyle w:val="Tabletext"/>
                    <w:jc w:val="center"/>
                    <w:rPr>
                      <w:rFonts w:eastAsia="Calibri"/>
                      <w:lang w:val="es-ES"/>
                    </w:rPr>
                  </w:pPr>
                  <w:r w:rsidRPr="000D2717">
                    <w:rPr>
                      <w:rFonts w:eastAsia="Calibri"/>
                      <w:lang w:val="es-ES"/>
                    </w:rPr>
                    <w:t>N/A</w:t>
                  </w:r>
                </w:p>
              </w:tc>
            </w:tr>
            <w:tr w:rsidR="00B20F1E" w:rsidRPr="000D2717" w14:paraId="4F377060" w14:textId="77777777" w:rsidTr="00DB48C6">
              <w:trPr>
                <w:jc w:val="center"/>
              </w:trPr>
              <w:tc>
                <w:tcPr>
                  <w:tcW w:w="2640" w:type="dxa"/>
                </w:tcPr>
                <w:p w14:paraId="03763157" w14:textId="77777777" w:rsidR="00B20F1E" w:rsidRPr="000D2717" w:rsidRDefault="00B20F1E" w:rsidP="00193D1C">
                  <w:pPr>
                    <w:pStyle w:val="Tabletext"/>
                    <w:jc w:val="center"/>
                    <w:rPr>
                      <w:rFonts w:eastAsia="Calibri"/>
                      <w:lang w:val="es-ES"/>
                    </w:rPr>
                  </w:pPr>
                  <w:r w:rsidRPr="000D2717">
                    <w:rPr>
                      <w:rFonts w:eastAsia="Calibri"/>
                      <w:lang w:val="es-ES"/>
                    </w:rPr>
                    <w:t>altitud ≥ 1 290</w:t>
                  </w:r>
                </w:p>
              </w:tc>
              <w:tc>
                <w:tcPr>
                  <w:tcW w:w="1800" w:type="dxa"/>
                </w:tcPr>
                <w:p w14:paraId="684F8F40" w14:textId="77777777" w:rsidR="00B20F1E" w:rsidRPr="000D2717" w:rsidRDefault="00B20F1E" w:rsidP="00193D1C">
                  <w:pPr>
                    <w:pStyle w:val="Tabletext"/>
                    <w:jc w:val="center"/>
                    <w:rPr>
                      <w:rFonts w:eastAsia="Calibri"/>
                      <w:lang w:val="es-ES"/>
                    </w:rPr>
                  </w:pPr>
                  <w:r w:rsidRPr="000D2717">
                    <w:rPr>
                      <w:rFonts w:eastAsia="Calibri"/>
                      <w:lang w:val="es-ES"/>
                    </w:rPr>
                    <w:t>N/A</w:t>
                  </w:r>
                </w:p>
              </w:tc>
            </w:tr>
          </w:tbl>
          <w:p w14:paraId="1CDF02D2" w14:textId="3CC001A7" w:rsidR="00B20F1E" w:rsidRPr="000D2717" w:rsidRDefault="00632D35" w:rsidP="00632D35">
            <w:pPr>
              <w:pStyle w:val="Tabletext"/>
              <w:rPr>
                <w:rFonts w:eastAsia="Calibri"/>
                <w:color w:val="000000"/>
                <w:lang w:val="es-ES"/>
              </w:rPr>
            </w:pPr>
            <w:r w:rsidRPr="00632D35">
              <w:rPr>
                <w:rFonts w:eastAsia="Calibri"/>
                <w:iCs/>
                <w:color w:val="000000"/>
                <w:lang w:val="es-ES"/>
              </w:rPr>
              <w:tab/>
            </w:r>
            <w:r w:rsidRPr="00632D35">
              <w:rPr>
                <w:rFonts w:eastAsia="Calibri"/>
                <w:iCs/>
                <w:color w:val="000000"/>
                <w:lang w:val="es-ES"/>
              </w:rPr>
              <w:tab/>
            </w:r>
            <w:r w:rsidRPr="00632D35">
              <w:rPr>
                <w:rFonts w:eastAsia="Calibri"/>
                <w:iCs/>
              </w:rPr>
              <w:t>•</w:t>
            </w:r>
            <w:r w:rsidRPr="00632D35">
              <w:rPr>
                <w:rFonts w:eastAsia="Calibri"/>
                <w:iCs/>
              </w:rPr>
              <w:tab/>
            </w:r>
            <w:r w:rsidR="00B20F1E" w:rsidRPr="000D2717">
              <w:rPr>
                <w:rFonts w:eastAsia="Calibri"/>
                <w:i/>
                <w:color w:val="000000"/>
                <w:lang w:val="es-ES"/>
              </w:rPr>
              <w:t xml:space="preserve">Anexo 5: </w:t>
            </w:r>
            <w:r w:rsidR="00B20F1E">
              <w:rPr>
                <w:rFonts w:eastAsia="Calibri"/>
                <w:i/>
                <w:color w:val="000000"/>
                <w:lang w:val="es-ES"/>
              </w:rPr>
              <w:t>apoyo a</w:t>
            </w:r>
            <w:r w:rsidR="00B20F1E" w:rsidRPr="000D2717">
              <w:rPr>
                <w:rFonts w:eastAsia="Calibri"/>
                <w:i/>
                <w:color w:val="000000"/>
                <w:lang w:val="es-ES"/>
              </w:rPr>
              <w:t xml:space="preserve"> la opción B.</w:t>
            </w:r>
          </w:p>
          <w:p w14:paraId="327BF401" w14:textId="47AF2C46" w:rsidR="00B20F1E" w:rsidRPr="000D2717" w:rsidRDefault="00632D35" w:rsidP="00632D35">
            <w:pPr>
              <w:pStyle w:val="Tabletext"/>
              <w:ind w:left="284" w:hanging="284"/>
              <w:rPr>
                <w:rFonts w:eastAsia="Calibri"/>
                <w:color w:val="000000"/>
                <w:lang w:val="es-ES"/>
              </w:rPr>
            </w:pPr>
            <w:r>
              <w:rPr>
                <w:rFonts w:eastAsia="Calibri"/>
                <w:color w:val="000000"/>
                <w:lang w:val="es-ES"/>
              </w:rPr>
              <w:lastRenderedPageBreak/>
              <w:t>3</w:t>
            </w:r>
            <w:r>
              <w:rPr>
                <w:rFonts w:eastAsia="Calibri"/>
                <w:color w:val="000000"/>
                <w:lang w:val="es-ES"/>
              </w:rPr>
              <w:tab/>
            </w:r>
            <w:r w:rsidR="00B20F1E" w:rsidRPr="00632D35">
              <w:rPr>
                <w:rFonts w:eastAsia="Calibri"/>
                <w:b/>
                <w:bCs/>
                <w:color w:val="000000"/>
                <w:lang w:val="es-ES"/>
              </w:rPr>
              <w:t>Apoyar</w:t>
            </w:r>
            <w:r w:rsidR="00B20F1E" w:rsidRPr="000D2717">
              <w:rPr>
                <w:rFonts w:eastAsia="Calibri"/>
                <w:color w:val="000000"/>
                <w:lang w:val="es-ES"/>
              </w:rPr>
              <w:t xml:space="preserve"> </w:t>
            </w:r>
            <w:r w:rsidR="00B20F1E" w:rsidRPr="00AE493B">
              <w:rPr>
                <w:rFonts w:eastAsia="Calibri"/>
                <w:bCs/>
                <w:color w:val="000000"/>
                <w:lang w:val="es-ES"/>
              </w:rPr>
              <w:t>que se facilite</w:t>
            </w:r>
            <w:r w:rsidR="00B20F1E" w:rsidRPr="000D2717">
              <w:rPr>
                <w:rFonts w:eastAsia="Calibri"/>
                <w:color w:val="000000"/>
                <w:lang w:val="es-ES"/>
              </w:rPr>
              <w:t xml:space="preserve"> </w:t>
            </w:r>
            <w:r w:rsidR="00B20F1E">
              <w:rPr>
                <w:rFonts w:eastAsia="Calibri"/>
                <w:color w:val="000000"/>
                <w:lang w:val="es-ES"/>
              </w:rPr>
              <w:t>una</w:t>
            </w:r>
            <w:r w:rsidR="00B20F1E" w:rsidRPr="000D2717">
              <w:rPr>
                <w:rFonts w:eastAsia="Calibri"/>
                <w:color w:val="000000"/>
                <w:lang w:val="es-ES"/>
              </w:rPr>
              <w:t xml:space="preserve"> descripción </w:t>
            </w:r>
            <w:r w:rsidR="00B20F1E">
              <w:rPr>
                <w:rFonts w:eastAsia="Calibri"/>
                <w:color w:val="000000"/>
                <w:lang w:val="es-ES"/>
              </w:rPr>
              <w:t>de los</w:t>
            </w:r>
            <w:r w:rsidR="00B20F1E" w:rsidRPr="000D2717">
              <w:rPr>
                <w:rFonts w:eastAsia="Calibri"/>
                <w:color w:val="000000"/>
                <w:lang w:val="es-ES"/>
              </w:rPr>
              <w:t xml:space="preserve"> sistemas de gestión de </w:t>
            </w:r>
            <w:r w:rsidR="00B20F1E">
              <w:rPr>
                <w:rFonts w:eastAsia="Calibri"/>
                <w:color w:val="000000"/>
                <w:lang w:val="es-ES"/>
              </w:rPr>
              <w:t xml:space="preserve">la </w:t>
            </w:r>
            <w:r w:rsidR="00B20F1E" w:rsidRPr="000D2717">
              <w:rPr>
                <w:rFonts w:eastAsia="Calibri"/>
                <w:color w:val="000000"/>
                <w:lang w:val="es-ES"/>
              </w:rPr>
              <w:t>interferencia</w:t>
            </w:r>
            <w:r w:rsidR="00B20F1E">
              <w:rPr>
                <w:rFonts w:eastAsia="Calibri"/>
                <w:color w:val="000000"/>
                <w:lang w:val="es-ES"/>
              </w:rPr>
              <w:t xml:space="preserve"> e</w:t>
            </w:r>
            <w:r w:rsidR="00B20F1E" w:rsidRPr="000D2717">
              <w:rPr>
                <w:rFonts w:eastAsia="Calibri"/>
                <w:color w:val="000000"/>
                <w:lang w:val="es-ES"/>
              </w:rPr>
              <w:t xml:space="preserve"> instalaciones de </w:t>
            </w:r>
            <w:r w:rsidR="00B20F1E">
              <w:rPr>
                <w:rFonts w:eastAsia="Calibri"/>
                <w:color w:val="000000"/>
                <w:lang w:val="es-ES"/>
              </w:rPr>
              <w:t>comprobación</w:t>
            </w:r>
            <w:r w:rsidR="00B20F1E" w:rsidRPr="000D2717">
              <w:rPr>
                <w:rFonts w:eastAsia="Calibri"/>
                <w:color w:val="000000"/>
                <w:lang w:val="es-ES"/>
              </w:rPr>
              <w:t xml:space="preserve"> (</w:t>
            </w:r>
            <w:r w:rsidR="00B20F1E">
              <w:rPr>
                <w:rFonts w:eastAsia="Calibri"/>
                <w:color w:val="000000"/>
                <w:lang w:val="es-ES"/>
              </w:rPr>
              <w:t>CCSR</w:t>
            </w:r>
            <w:r w:rsidR="00B20F1E" w:rsidRPr="000D2717">
              <w:rPr>
                <w:rFonts w:eastAsia="Calibri"/>
                <w:color w:val="000000"/>
                <w:lang w:val="es-ES"/>
              </w:rPr>
              <w:t>)</w:t>
            </w:r>
            <w:r w:rsidR="00B20F1E">
              <w:rPr>
                <w:rFonts w:eastAsia="Calibri"/>
                <w:color w:val="000000"/>
                <w:lang w:val="es-ES"/>
              </w:rPr>
              <w:t xml:space="preserve"> </w:t>
            </w:r>
            <w:r w:rsidR="00B20F1E" w:rsidRPr="000D2717">
              <w:rPr>
                <w:rFonts w:eastAsia="Calibri"/>
                <w:color w:val="000000"/>
                <w:lang w:val="es-ES"/>
              </w:rPr>
              <w:t>que se ocupan del cese de la transmisión con el fin de proporcionar una resolución satisfactoria del problema.</w:t>
            </w:r>
          </w:p>
          <w:p w14:paraId="584C894D" w14:textId="570BCC0F" w:rsidR="00B20F1E" w:rsidRPr="000D2717" w:rsidRDefault="00632D35" w:rsidP="00632D35">
            <w:pPr>
              <w:pStyle w:val="Tabletext"/>
              <w:ind w:left="284" w:hanging="284"/>
              <w:rPr>
                <w:rFonts w:eastAsia="Calibri"/>
                <w:color w:val="000000"/>
                <w:lang w:val="es-ES"/>
              </w:rPr>
            </w:pPr>
            <w:r>
              <w:rPr>
                <w:rFonts w:eastAsia="Calibri"/>
                <w:color w:val="000000"/>
                <w:lang w:val="es-ES"/>
              </w:rPr>
              <w:t>4</w:t>
            </w:r>
            <w:r>
              <w:rPr>
                <w:rFonts w:eastAsia="Calibri"/>
                <w:color w:val="000000"/>
                <w:lang w:val="es-ES"/>
              </w:rPr>
              <w:tab/>
            </w:r>
            <w:r w:rsidR="00B20F1E" w:rsidRPr="00632D35">
              <w:rPr>
                <w:rFonts w:eastAsia="Calibri"/>
                <w:b/>
                <w:bCs/>
                <w:color w:val="000000"/>
                <w:lang w:val="es-ES"/>
              </w:rPr>
              <w:t>Apoyar</w:t>
            </w:r>
            <w:r w:rsidR="00B20F1E" w:rsidRPr="000D2717">
              <w:rPr>
                <w:rFonts w:eastAsia="Calibri"/>
                <w:color w:val="000000"/>
                <w:lang w:val="es-ES"/>
              </w:rPr>
              <w:t xml:space="preserve"> </w:t>
            </w:r>
            <w:r w:rsidR="00B20F1E">
              <w:rPr>
                <w:rFonts w:eastAsia="Calibri"/>
                <w:bCs/>
                <w:color w:val="000000"/>
                <w:lang w:val="es-ES"/>
              </w:rPr>
              <w:t>que se establezca</w:t>
            </w:r>
            <w:r w:rsidR="00B20F1E" w:rsidRPr="000D2717">
              <w:rPr>
                <w:rFonts w:eastAsia="Calibri"/>
                <w:color w:val="000000"/>
                <w:lang w:val="es-ES"/>
              </w:rPr>
              <w:t xml:space="preserve"> un</w:t>
            </w:r>
            <w:r w:rsidR="00B20F1E">
              <w:rPr>
                <w:rFonts w:eastAsia="Calibri"/>
                <w:color w:val="000000"/>
                <w:lang w:val="es-ES"/>
              </w:rPr>
              <w:t xml:space="preserve"> valor de</w:t>
            </w:r>
            <w:r w:rsidR="00B20F1E" w:rsidRPr="000D2717">
              <w:rPr>
                <w:rFonts w:eastAsia="Calibri"/>
                <w:color w:val="000000"/>
                <w:lang w:val="es-ES"/>
              </w:rPr>
              <w:t xml:space="preserve"> densidad de flujo de potencia aceptable en la superficie de la Tierra hacia </w:t>
            </w:r>
            <w:r w:rsidR="00B20F1E">
              <w:rPr>
                <w:rFonts w:eastAsia="Calibri"/>
                <w:color w:val="000000"/>
                <w:lang w:val="es-ES"/>
              </w:rPr>
              <w:t>una estación</w:t>
            </w:r>
            <w:r w:rsidR="00B20F1E" w:rsidRPr="00621156">
              <w:rPr>
                <w:rFonts w:eastAsia="Calibri"/>
                <w:color w:val="000000"/>
                <w:lang w:val="es-ES"/>
              </w:rPr>
              <w:t xml:space="preserve"> móvil de pasarela de satélite no OSG</w:t>
            </w:r>
            <w:r w:rsidR="00B20F1E" w:rsidRPr="000D2717">
              <w:rPr>
                <w:rFonts w:eastAsia="Calibri"/>
                <w:color w:val="000000"/>
                <w:lang w:val="es-ES"/>
              </w:rPr>
              <w:t xml:space="preserve"> para enlaces espacio-espacio en la banda de frecuencias 19,3-19,7 GHz.</w:t>
            </w:r>
          </w:p>
          <w:p w14:paraId="0B3C3EFE" w14:textId="5FBD1900" w:rsidR="00B20F1E" w:rsidRPr="000D2717" w:rsidRDefault="00632D35" w:rsidP="00632D35">
            <w:pPr>
              <w:pStyle w:val="Tabletext"/>
              <w:ind w:left="284" w:hanging="284"/>
              <w:rPr>
                <w:rFonts w:eastAsia="Calibri"/>
                <w:color w:val="000000"/>
                <w:lang w:val="es-ES"/>
              </w:rPr>
            </w:pPr>
            <w:r>
              <w:rPr>
                <w:rFonts w:eastAsia="Calibri"/>
                <w:color w:val="000000"/>
                <w:lang w:val="es-ES"/>
              </w:rPr>
              <w:t>5</w:t>
            </w:r>
            <w:r>
              <w:rPr>
                <w:rFonts w:eastAsia="Calibri"/>
                <w:color w:val="000000"/>
                <w:lang w:val="es-ES"/>
              </w:rPr>
              <w:tab/>
            </w:r>
            <w:r w:rsidR="00B20F1E" w:rsidRPr="00632D35">
              <w:rPr>
                <w:rFonts w:eastAsia="Calibri"/>
                <w:b/>
                <w:bCs/>
                <w:color w:val="000000"/>
                <w:lang w:val="es-ES"/>
              </w:rPr>
              <w:t>Considerar</w:t>
            </w:r>
            <w:r w:rsidR="00B20F1E" w:rsidRPr="000D2717">
              <w:rPr>
                <w:rFonts w:eastAsia="Calibri"/>
                <w:color w:val="000000"/>
                <w:lang w:val="es-ES"/>
              </w:rPr>
              <w:t xml:space="preserve"> la modificación de la definición del concepto de </w:t>
            </w:r>
            <w:r>
              <w:rPr>
                <w:rFonts w:eastAsia="Calibri"/>
                <w:color w:val="000000"/>
                <w:lang w:val="es-ES"/>
              </w:rPr>
              <w:t>«</w:t>
            </w:r>
            <w:r w:rsidR="00B20F1E" w:rsidRPr="000D2717">
              <w:rPr>
                <w:rFonts w:eastAsia="Calibri"/>
                <w:color w:val="000000"/>
                <w:lang w:val="es-ES"/>
              </w:rPr>
              <w:t xml:space="preserve">cono </w:t>
            </w:r>
            <w:r w:rsidR="00B20F1E">
              <w:rPr>
                <w:rFonts w:eastAsia="Calibri"/>
                <w:color w:val="000000"/>
                <w:lang w:val="es-ES"/>
              </w:rPr>
              <w:t>ampliado</w:t>
            </w:r>
            <w:r>
              <w:rPr>
                <w:rFonts w:eastAsia="Calibri"/>
                <w:color w:val="000000"/>
                <w:lang w:val="es-ES"/>
              </w:rPr>
              <w:t>»</w:t>
            </w:r>
            <w:r w:rsidR="00B20F1E" w:rsidRPr="000D2717">
              <w:rPr>
                <w:rFonts w:eastAsia="Calibri"/>
                <w:color w:val="000000"/>
                <w:lang w:val="es-ES"/>
              </w:rPr>
              <w:t xml:space="preserve"> </w:t>
            </w:r>
            <w:r w:rsidR="00B20F1E">
              <w:rPr>
                <w:rFonts w:eastAsia="Calibri"/>
                <w:color w:val="000000"/>
                <w:lang w:val="es-ES"/>
              </w:rPr>
              <w:t>mediante la fijación de límites</w:t>
            </w:r>
            <w:r w:rsidR="00B20F1E" w:rsidRPr="000D2717">
              <w:rPr>
                <w:rFonts w:eastAsia="Calibri"/>
                <w:color w:val="000000"/>
                <w:lang w:val="es-ES"/>
              </w:rPr>
              <w:t xml:space="preserve"> de altitud a proveedores y usuarios de servicios y </w:t>
            </w:r>
            <w:r w:rsidR="00B20F1E">
              <w:rPr>
                <w:rFonts w:eastAsia="Calibri"/>
                <w:color w:val="000000"/>
                <w:lang w:val="es-ES"/>
              </w:rPr>
              <w:t xml:space="preserve">la exclusión de </w:t>
            </w:r>
            <w:r w:rsidR="00B20F1E" w:rsidRPr="000D2717">
              <w:rPr>
                <w:rFonts w:eastAsia="Calibri"/>
                <w:color w:val="000000"/>
                <w:lang w:val="es-ES"/>
              </w:rPr>
              <w:t>enlaces LEO-LEO.</w:t>
            </w:r>
          </w:p>
          <w:p w14:paraId="21495EF5" w14:textId="77777777" w:rsidR="00B20F1E" w:rsidRPr="000D2717" w:rsidRDefault="00B20F1E" w:rsidP="00632D35">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16CC97D3" w14:textId="77777777" w:rsidR="00B20F1E" w:rsidRPr="00632D35" w:rsidRDefault="00B20F1E" w:rsidP="00632D35">
            <w:pPr>
              <w:pStyle w:val="Tabletext"/>
              <w:rPr>
                <w:rFonts w:eastAsia="Calibri"/>
                <w:b/>
                <w:bCs/>
                <w:color w:val="000000"/>
                <w:lang w:val="es-ES"/>
              </w:rPr>
            </w:pPr>
            <w:r w:rsidRPr="00632D35">
              <w:rPr>
                <w:rFonts w:eastAsia="Calibri"/>
                <w:b/>
                <w:bCs/>
                <w:i/>
                <w:color w:val="000000"/>
                <w:lang w:val="es-ES"/>
              </w:rPr>
              <w:t>Solicitar a las administraciones de la UAT que:</w:t>
            </w:r>
          </w:p>
          <w:p w14:paraId="41E943AF" w14:textId="6B4961EC" w:rsidR="00B20F1E" w:rsidRPr="000D2717" w:rsidRDefault="00632D35" w:rsidP="00632D35">
            <w:pPr>
              <w:pStyle w:val="Tabletext"/>
              <w:ind w:left="284" w:hanging="284"/>
              <w:rPr>
                <w:rFonts w:eastAsia="Calibri"/>
                <w:color w:val="000000"/>
                <w:lang w:val="es-ES"/>
              </w:rPr>
            </w:pPr>
            <w:r>
              <w:rPr>
                <w:rFonts w:eastAsia="Calibri"/>
                <w:color w:val="000000"/>
                <w:lang w:val="es-ES"/>
              </w:rPr>
              <w:t>1</w:t>
            </w:r>
            <w:r>
              <w:rPr>
                <w:rFonts w:eastAsia="Calibri"/>
                <w:color w:val="000000"/>
                <w:lang w:val="es-ES"/>
              </w:rPr>
              <w:tab/>
            </w:r>
            <w:r w:rsidR="00B20F1E" w:rsidRPr="00632D35">
              <w:rPr>
                <w:rFonts w:eastAsia="Calibri"/>
                <w:b/>
                <w:bCs/>
                <w:color w:val="000000"/>
                <w:lang w:val="es-ES"/>
              </w:rPr>
              <w:t>Apoyen</w:t>
            </w:r>
            <w:r w:rsidR="00B20F1E" w:rsidRPr="000D2717">
              <w:rPr>
                <w:rFonts w:eastAsia="Calibri"/>
                <w:color w:val="000000"/>
                <w:lang w:val="es-ES"/>
              </w:rPr>
              <w:t xml:space="preserve"> la </w:t>
            </w:r>
            <w:r w:rsidR="00B20F1E">
              <w:rPr>
                <w:rFonts w:eastAsia="Calibri"/>
                <w:color w:val="000000"/>
                <w:lang w:val="es-ES"/>
              </w:rPr>
              <w:t>AFCP</w:t>
            </w:r>
            <w:r w:rsidR="00B20F1E" w:rsidRPr="000D2717">
              <w:rPr>
                <w:rFonts w:eastAsia="Calibri"/>
                <w:color w:val="000000"/>
                <w:lang w:val="es-ES"/>
              </w:rPr>
              <w:t xml:space="preserve"> en </w:t>
            </w:r>
            <w:r w:rsidR="00B20F1E">
              <w:rPr>
                <w:rFonts w:eastAsia="Calibri"/>
                <w:color w:val="000000"/>
                <w:lang w:val="es-ES"/>
              </w:rPr>
              <w:t>relación con este</w:t>
            </w:r>
            <w:r w:rsidR="00B20F1E" w:rsidRPr="000D2717">
              <w:rPr>
                <w:rFonts w:eastAsia="Calibri"/>
                <w:color w:val="000000"/>
                <w:lang w:val="es-ES"/>
              </w:rPr>
              <w:t xml:space="preserve"> punto del orden del día (cuyos elementos clave se recogen en el </w:t>
            </w:r>
            <w:r w:rsidR="00B20F1E">
              <w:rPr>
                <w:rFonts w:eastAsia="Calibri"/>
                <w:color w:val="000000"/>
                <w:lang w:val="es-ES"/>
              </w:rPr>
              <w:t xml:space="preserve">presente </w:t>
            </w:r>
            <w:r w:rsidR="00B20F1E" w:rsidRPr="000D2717">
              <w:rPr>
                <w:rFonts w:eastAsia="Calibri"/>
                <w:color w:val="000000"/>
                <w:lang w:val="es-ES"/>
              </w:rPr>
              <w:t xml:space="preserve">proyecto de </w:t>
            </w:r>
            <w:r w:rsidR="00B20F1E">
              <w:rPr>
                <w:rFonts w:eastAsia="Calibri"/>
                <w:color w:val="000000"/>
                <w:lang w:val="es-ES"/>
              </w:rPr>
              <w:t>AFCP</w:t>
            </w:r>
            <w:r w:rsidR="00B20F1E" w:rsidRPr="000D2717">
              <w:rPr>
                <w:rFonts w:eastAsia="Calibri"/>
                <w:color w:val="000000"/>
                <w:lang w:val="es-ES"/>
              </w:rPr>
              <w:t xml:space="preserve"> a la CMR-23).</w:t>
            </w:r>
          </w:p>
          <w:p w14:paraId="2CD655BC" w14:textId="06A0A7CB" w:rsidR="00B20F1E" w:rsidRPr="000D2717" w:rsidRDefault="00632D35" w:rsidP="00632D35">
            <w:pPr>
              <w:pStyle w:val="Tabletext"/>
              <w:ind w:left="284" w:hanging="284"/>
              <w:rPr>
                <w:rFonts w:eastAsia="Calibri"/>
                <w:color w:val="000000"/>
                <w:lang w:val="es-ES"/>
              </w:rPr>
            </w:pPr>
            <w:r>
              <w:rPr>
                <w:rFonts w:eastAsia="Calibri"/>
                <w:color w:val="000000"/>
                <w:lang w:val="es-ES"/>
              </w:rPr>
              <w:t>2</w:t>
            </w:r>
            <w:r>
              <w:rPr>
                <w:rFonts w:eastAsia="Calibri"/>
                <w:color w:val="000000"/>
                <w:lang w:val="es-ES"/>
              </w:rPr>
              <w:tab/>
            </w:r>
            <w:r w:rsidR="00B20F1E" w:rsidRPr="00632D35">
              <w:rPr>
                <w:rFonts w:eastAsia="Calibri"/>
                <w:b/>
                <w:bCs/>
                <w:color w:val="000000"/>
                <w:lang w:val="es-ES"/>
              </w:rPr>
              <w:t>Participen activamente</w:t>
            </w:r>
            <w:r w:rsidR="00B20F1E" w:rsidRPr="000D2717">
              <w:rPr>
                <w:rFonts w:eastAsia="Calibri"/>
                <w:color w:val="000000"/>
                <w:lang w:val="es-ES"/>
              </w:rPr>
              <w:t xml:space="preserve"> en los debates sobre este punto del orden del día para garantizar la protección de las estaciones GSO y NGSO adyacentes, </w:t>
            </w:r>
            <w:r w:rsidR="00B20F1E">
              <w:rPr>
                <w:rFonts w:eastAsia="Calibri"/>
                <w:color w:val="000000"/>
                <w:lang w:val="es-ES"/>
              </w:rPr>
              <w:t>y</w:t>
            </w:r>
            <w:r w:rsidR="00B20F1E" w:rsidRPr="000D2717">
              <w:rPr>
                <w:rFonts w:eastAsia="Calibri"/>
                <w:color w:val="000000"/>
                <w:lang w:val="es-ES"/>
              </w:rPr>
              <w:t xml:space="preserve"> de las estaciones </w:t>
            </w:r>
            <w:r w:rsidR="00B20F1E">
              <w:rPr>
                <w:rFonts w:eastAsia="Calibri"/>
                <w:color w:val="000000"/>
                <w:lang w:val="es-ES"/>
              </w:rPr>
              <w:t>terrenas</w:t>
            </w:r>
            <w:r w:rsidR="00B20F1E" w:rsidRPr="000D2717">
              <w:rPr>
                <w:rFonts w:eastAsia="Calibri"/>
                <w:color w:val="000000"/>
                <w:lang w:val="es-ES"/>
              </w:rPr>
              <w:t xml:space="preserve"> frente a las emisiones fuera del eje.</w:t>
            </w:r>
          </w:p>
          <w:p w14:paraId="35A3D9E0" w14:textId="49DBBD76" w:rsidR="00B20F1E" w:rsidRPr="000D2717" w:rsidRDefault="00632D35" w:rsidP="00632D35">
            <w:pPr>
              <w:pStyle w:val="Tabletext"/>
              <w:ind w:left="284" w:hanging="284"/>
              <w:rPr>
                <w:rFonts w:eastAsia="Calibri"/>
                <w:color w:val="000000"/>
                <w:lang w:val="es-ES"/>
              </w:rPr>
            </w:pPr>
            <w:r>
              <w:rPr>
                <w:rFonts w:eastAsia="Calibri"/>
                <w:color w:val="000000"/>
                <w:lang w:val="es-ES"/>
              </w:rPr>
              <w:t>3</w:t>
            </w:r>
            <w:r>
              <w:rPr>
                <w:rFonts w:eastAsia="Calibri"/>
                <w:color w:val="000000"/>
                <w:lang w:val="es-ES"/>
              </w:rPr>
              <w:tab/>
            </w:r>
            <w:r w:rsidR="00B20F1E" w:rsidRPr="00632D35">
              <w:rPr>
                <w:rFonts w:eastAsia="Calibri"/>
                <w:b/>
                <w:bCs/>
                <w:color w:val="000000"/>
                <w:lang w:val="es-ES"/>
              </w:rPr>
              <w:t>Examinen</w:t>
            </w:r>
            <w:r w:rsidR="00B20F1E" w:rsidRPr="000D2717">
              <w:rPr>
                <w:rFonts w:eastAsia="Calibri"/>
                <w:color w:val="000000"/>
                <w:lang w:val="es-ES"/>
              </w:rPr>
              <w:t xml:space="preserve"> la aplicabilidad de la normativa vigente para proteger el SFS OSG </w:t>
            </w:r>
            <w:r w:rsidR="00B20F1E">
              <w:rPr>
                <w:rFonts w:eastAsia="Calibri"/>
                <w:color w:val="000000"/>
                <w:lang w:val="es-ES"/>
              </w:rPr>
              <w:t>con arreglo al número</w:t>
            </w:r>
            <w:r w:rsidR="00B20F1E" w:rsidRPr="000D2717">
              <w:rPr>
                <w:rFonts w:eastAsia="Calibri"/>
                <w:color w:val="000000"/>
                <w:lang w:val="es-ES"/>
              </w:rPr>
              <w:t xml:space="preserve"> 9.11A y </w:t>
            </w:r>
            <w:r w:rsidR="00B20F1E">
              <w:rPr>
                <w:rFonts w:eastAsia="Calibri"/>
                <w:color w:val="000000"/>
                <w:lang w:val="es-ES"/>
              </w:rPr>
              <w:t xml:space="preserve">a </w:t>
            </w:r>
            <w:r w:rsidR="00B20F1E" w:rsidRPr="000D2717">
              <w:rPr>
                <w:rFonts w:eastAsia="Calibri"/>
                <w:color w:val="000000"/>
                <w:lang w:val="es-ES"/>
              </w:rPr>
              <w:t xml:space="preserve">los límites </w:t>
            </w:r>
            <w:r w:rsidR="00B20F1E">
              <w:rPr>
                <w:rFonts w:eastAsia="Calibri"/>
                <w:color w:val="000000"/>
                <w:lang w:val="es-ES"/>
              </w:rPr>
              <w:t>que figuran en el cuadro</w:t>
            </w:r>
            <w:r w:rsidR="00B20F1E" w:rsidRPr="000D2717">
              <w:rPr>
                <w:rFonts w:eastAsia="Calibri"/>
                <w:color w:val="000000"/>
                <w:lang w:val="es-ES"/>
              </w:rPr>
              <w:t xml:space="preserve"> 22-2.</w:t>
            </w:r>
          </w:p>
          <w:p w14:paraId="69EA3246" w14:textId="37B0C7BD" w:rsidR="00B20F1E" w:rsidRPr="000D2717" w:rsidRDefault="00632D35" w:rsidP="00632D35">
            <w:pPr>
              <w:pStyle w:val="Tabletext"/>
              <w:ind w:left="284" w:hanging="284"/>
              <w:rPr>
                <w:rFonts w:eastAsia="Calibri"/>
                <w:color w:val="000000"/>
                <w:lang w:val="es-ES"/>
              </w:rPr>
            </w:pPr>
            <w:r>
              <w:rPr>
                <w:rFonts w:eastAsia="Calibri"/>
                <w:color w:val="000000"/>
                <w:lang w:val="es-ES"/>
              </w:rPr>
              <w:t>4</w:t>
            </w:r>
            <w:r>
              <w:rPr>
                <w:rFonts w:eastAsia="Calibri"/>
                <w:color w:val="000000"/>
                <w:lang w:val="es-ES"/>
              </w:rPr>
              <w:tab/>
            </w:r>
            <w:r w:rsidR="00B20F1E" w:rsidRPr="00632D35">
              <w:rPr>
                <w:rFonts w:eastAsia="Calibri"/>
                <w:b/>
                <w:bCs/>
                <w:color w:val="000000"/>
                <w:lang w:val="es-ES"/>
              </w:rPr>
              <w:t>Examinen</w:t>
            </w:r>
            <w:r w:rsidR="00B20F1E">
              <w:rPr>
                <w:rFonts w:eastAsia="Calibri"/>
                <w:color w:val="000000"/>
                <w:lang w:val="es-ES"/>
              </w:rPr>
              <w:t xml:space="preserve"> </w:t>
            </w:r>
            <w:r w:rsidR="00B20F1E" w:rsidRPr="00217075">
              <w:rPr>
                <w:rFonts w:eastAsia="Calibri"/>
                <w:bCs/>
                <w:color w:val="000000"/>
                <w:lang w:val="es-ES"/>
              </w:rPr>
              <w:t>la</w:t>
            </w:r>
            <w:r w:rsidR="00B20F1E" w:rsidRPr="000D2717">
              <w:rPr>
                <w:rFonts w:eastAsia="Calibri"/>
                <w:color w:val="000000"/>
                <w:lang w:val="es-ES"/>
              </w:rPr>
              <w:t xml:space="preserve"> aplicabilidad de la normativa </w:t>
            </w:r>
            <w:r w:rsidR="00B20F1E">
              <w:rPr>
                <w:rFonts w:eastAsia="Calibri"/>
                <w:color w:val="000000"/>
                <w:lang w:val="es-ES"/>
              </w:rPr>
              <w:t>vigente</w:t>
            </w:r>
            <w:r w:rsidR="00B20F1E" w:rsidRPr="000D2717">
              <w:rPr>
                <w:rFonts w:eastAsia="Calibri"/>
                <w:color w:val="000000"/>
                <w:lang w:val="es-ES"/>
              </w:rPr>
              <w:t xml:space="preserve"> para proteger el SFS no OSG </w:t>
            </w:r>
            <w:r w:rsidR="00B20F1E">
              <w:rPr>
                <w:rFonts w:eastAsia="Calibri"/>
                <w:color w:val="000000"/>
                <w:lang w:val="es-ES"/>
              </w:rPr>
              <w:t>con arreglo a</w:t>
            </w:r>
            <w:r w:rsidR="00B20F1E" w:rsidRPr="000D2717">
              <w:rPr>
                <w:rFonts w:eastAsia="Calibri"/>
                <w:color w:val="000000"/>
                <w:lang w:val="es-ES"/>
              </w:rPr>
              <w:t xml:space="preserve"> los límites especificados en el anexo 4 del proyecto de nueva resolución.</w:t>
            </w:r>
          </w:p>
          <w:p w14:paraId="5897A7B5" w14:textId="49BC0D89" w:rsidR="00B20F1E" w:rsidRPr="000D2717" w:rsidRDefault="00632D35" w:rsidP="00632D35">
            <w:pPr>
              <w:pStyle w:val="Tabletext"/>
              <w:ind w:left="284" w:hanging="284"/>
              <w:rPr>
                <w:rFonts w:eastAsia="Calibri"/>
                <w:i/>
                <w:color w:val="000000"/>
                <w:lang w:val="es-ES"/>
              </w:rPr>
            </w:pPr>
            <w:r>
              <w:rPr>
                <w:rFonts w:eastAsia="Calibri"/>
                <w:color w:val="000000"/>
                <w:lang w:val="es-ES"/>
              </w:rPr>
              <w:t>5</w:t>
            </w:r>
            <w:r>
              <w:rPr>
                <w:rFonts w:eastAsia="Calibri"/>
                <w:color w:val="000000"/>
                <w:lang w:val="es-ES"/>
              </w:rPr>
              <w:tab/>
            </w:r>
            <w:r w:rsidR="00B20F1E" w:rsidRPr="00632D35">
              <w:rPr>
                <w:rFonts w:eastAsia="Calibri"/>
                <w:b/>
                <w:bCs/>
                <w:color w:val="000000"/>
                <w:lang w:val="es-ES"/>
              </w:rPr>
              <w:t>Examinen</w:t>
            </w:r>
            <w:r w:rsidR="00B20F1E" w:rsidRPr="000D2717">
              <w:rPr>
                <w:rFonts w:eastAsia="Calibri"/>
                <w:color w:val="000000"/>
                <w:lang w:val="es-ES"/>
              </w:rPr>
              <w:t xml:space="preserve"> los estudios de compartición y compatibilidad entre los enlaces de satélite a satélite y otros servicios en las mismas bandas y en bandas adyacentes con el fin de </w:t>
            </w:r>
            <w:r w:rsidR="00B20F1E">
              <w:rPr>
                <w:rFonts w:eastAsia="Calibri"/>
                <w:color w:val="000000"/>
                <w:lang w:val="es-ES"/>
              </w:rPr>
              <w:t>formular</w:t>
            </w:r>
            <w:r w:rsidR="00B20F1E" w:rsidRPr="000D2717">
              <w:rPr>
                <w:rFonts w:eastAsia="Calibri"/>
                <w:color w:val="000000"/>
                <w:lang w:val="es-ES"/>
              </w:rPr>
              <w:t xml:space="preserve"> condiciones técnicas y disposiciones reglamentarias </w:t>
            </w:r>
            <w:r w:rsidR="00B20F1E">
              <w:rPr>
                <w:rFonts w:eastAsia="Calibri"/>
                <w:color w:val="000000"/>
                <w:lang w:val="es-ES"/>
              </w:rPr>
              <w:t>para la comunicación entre satélites</w:t>
            </w:r>
            <w:r w:rsidR="00B20F1E" w:rsidRPr="000D2717">
              <w:rPr>
                <w:rFonts w:eastAsia="Calibri"/>
                <w:color w:val="000000"/>
                <w:lang w:val="es-ES"/>
              </w:rPr>
              <w:t xml:space="preserve"> en las bandas de frecuencias de 18,1-18,6 GHz, 18,8-20,2 GHz y 27,5-30 GHz</w:t>
            </w:r>
            <w:r w:rsidR="00B20F1E">
              <w:rPr>
                <w:rFonts w:eastAsia="Calibri"/>
                <w:color w:val="000000"/>
                <w:lang w:val="es-ES"/>
              </w:rPr>
              <w:t>,</w:t>
            </w:r>
            <w:r w:rsidR="00B20F1E" w:rsidRPr="000D2717">
              <w:rPr>
                <w:rFonts w:eastAsia="Calibri"/>
                <w:color w:val="000000"/>
                <w:lang w:val="es-ES"/>
              </w:rPr>
              <w:t xml:space="preserve"> de conformidad con la Resolución </w:t>
            </w:r>
            <w:r w:rsidR="00B20F1E" w:rsidRPr="00632D35">
              <w:rPr>
                <w:rFonts w:eastAsia="Calibri"/>
                <w:b/>
                <w:bCs/>
                <w:color w:val="000000"/>
                <w:lang w:val="es-ES"/>
              </w:rPr>
              <w:t>773 (CMR-19)</w:t>
            </w:r>
            <w:r w:rsidR="00B20F1E" w:rsidRPr="000D2717">
              <w:rPr>
                <w:rFonts w:eastAsia="Calibri"/>
                <w:color w:val="000000"/>
                <w:lang w:val="es-ES"/>
              </w:rPr>
              <w:t>.</w:t>
            </w:r>
          </w:p>
        </w:tc>
      </w:tr>
      <w:tr w:rsidR="00B20F1E" w:rsidRPr="00B707C8" w14:paraId="2AFCE287" w14:textId="77777777" w:rsidTr="00DB48C6">
        <w:trPr>
          <w:jc w:val="center"/>
        </w:trPr>
        <w:tc>
          <w:tcPr>
            <w:tcW w:w="2547" w:type="dxa"/>
          </w:tcPr>
          <w:p w14:paraId="05CE2EF7" w14:textId="77777777" w:rsidR="00B20F1E" w:rsidRPr="00E6436F" w:rsidRDefault="00B20F1E" w:rsidP="00E6436F">
            <w:pPr>
              <w:pStyle w:val="Tabletext"/>
              <w:rPr>
                <w:rFonts w:eastAsia="Calibri"/>
                <w:b/>
                <w:bCs/>
                <w:lang w:val="es-ES"/>
              </w:rPr>
            </w:pPr>
            <w:r w:rsidRPr="00E6436F">
              <w:rPr>
                <w:rFonts w:eastAsia="Calibri"/>
                <w:b/>
                <w:bCs/>
                <w:lang w:val="es-ES"/>
              </w:rPr>
              <w:lastRenderedPageBreak/>
              <w:t>Punto 1.18</w:t>
            </w:r>
          </w:p>
          <w:p w14:paraId="51EC61F7" w14:textId="77777777" w:rsidR="00B20F1E" w:rsidRPr="00045D57" w:rsidRDefault="00B20F1E" w:rsidP="00E6436F">
            <w:pPr>
              <w:pStyle w:val="Tabletext"/>
              <w:rPr>
                <w:rFonts w:eastAsia="Calibri"/>
                <w:bCs/>
                <w:lang w:val="es-ES"/>
              </w:rPr>
            </w:pPr>
            <w:r>
              <w:rPr>
                <w:rFonts w:eastAsia="Calibri"/>
                <w:bCs/>
                <w:lang w:val="es-ES"/>
              </w:rPr>
              <w:t>C</w:t>
            </w:r>
            <w:r w:rsidRPr="00045D57">
              <w:rPr>
                <w:rFonts w:eastAsia="Calibri"/>
                <w:bCs/>
                <w:lang w:val="es-ES"/>
              </w:rPr>
              <w:t xml:space="preserve">onsiderar la posibilidad de realizar estudios relativos a las necesidades de espectro del servicio móvil por satélite, así como la posibilidad de otorgarle nuevas atribuciones, para el desarrollo futuro de sistemas móviles por satélite de banda estrecha, de conformidad con la Resolución </w:t>
            </w:r>
            <w:r w:rsidRPr="00E6436F">
              <w:rPr>
                <w:rFonts w:eastAsia="Calibri"/>
                <w:b/>
                <w:lang w:val="es-ES"/>
              </w:rPr>
              <w:t>248</w:t>
            </w:r>
            <w:r w:rsidRPr="00045D57">
              <w:rPr>
                <w:rFonts w:eastAsia="Calibri"/>
                <w:bCs/>
                <w:lang w:val="es-ES"/>
              </w:rPr>
              <w:t xml:space="preserve"> (CMR-19)</w:t>
            </w:r>
            <w:r>
              <w:rPr>
                <w:rFonts w:eastAsia="Calibri"/>
                <w:bCs/>
                <w:lang w:val="es-ES"/>
              </w:rPr>
              <w:t>.</w:t>
            </w:r>
          </w:p>
        </w:tc>
        <w:tc>
          <w:tcPr>
            <w:tcW w:w="6718" w:type="dxa"/>
          </w:tcPr>
          <w:p w14:paraId="74772F52" w14:textId="77777777" w:rsidR="00B20F1E" w:rsidRPr="000D2717" w:rsidRDefault="00B20F1E" w:rsidP="00E6436F">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1B5F60E4" w14:textId="77777777" w:rsidR="00B20F1E" w:rsidRPr="000D2717" w:rsidRDefault="00B20F1E" w:rsidP="00E6436F">
            <w:pPr>
              <w:pStyle w:val="Tabletext"/>
              <w:rPr>
                <w:rFonts w:eastAsia="Calibri"/>
                <w:lang w:val="es-ES"/>
              </w:rPr>
            </w:pPr>
            <w:r w:rsidRPr="00E6436F">
              <w:rPr>
                <w:rFonts w:eastAsia="Calibri"/>
                <w:b/>
                <w:bCs/>
                <w:lang w:val="es-ES"/>
              </w:rPr>
              <w:t>Apoyar el Método A</w:t>
            </w:r>
            <w:r>
              <w:rPr>
                <w:rFonts w:eastAsia="Calibri"/>
                <w:lang w:val="es-ES"/>
              </w:rPr>
              <w:t>,</w:t>
            </w:r>
            <w:r w:rsidRPr="000D2717">
              <w:rPr>
                <w:rFonts w:eastAsia="Calibri"/>
                <w:lang w:val="es-ES"/>
              </w:rPr>
              <w:t xml:space="preserve"> </w:t>
            </w:r>
            <w:r>
              <w:rPr>
                <w:rFonts w:eastAsia="Calibri"/>
                <w:lang w:val="es-ES"/>
              </w:rPr>
              <w:t>en virtud del cual no se modifica ni</w:t>
            </w:r>
            <w:r w:rsidRPr="000D2717">
              <w:rPr>
                <w:rFonts w:eastAsia="Calibri"/>
                <w:lang w:val="es-ES"/>
              </w:rPr>
              <w:t xml:space="preserve"> suprim</w:t>
            </w:r>
            <w:r>
              <w:rPr>
                <w:rFonts w:eastAsia="Calibri"/>
                <w:lang w:val="es-ES"/>
              </w:rPr>
              <w:t>e</w:t>
            </w:r>
            <w:r w:rsidRPr="000D2717">
              <w:rPr>
                <w:rFonts w:eastAsia="Calibri"/>
                <w:lang w:val="es-ES"/>
              </w:rPr>
              <w:t xml:space="preserve"> la Resolución </w:t>
            </w:r>
            <w:r w:rsidRPr="00E6436F">
              <w:rPr>
                <w:rFonts w:eastAsia="Calibri"/>
                <w:b/>
                <w:bCs/>
                <w:lang w:val="es-ES"/>
              </w:rPr>
              <w:t>248 (CMR-19)</w:t>
            </w:r>
            <w:r>
              <w:rPr>
                <w:rFonts w:eastAsia="Calibri"/>
                <w:lang w:val="es-ES"/>
              </w:rPr>
              <w:t>,</w:t>
            </w:r>
            <w:r w:rsidRPr="000D2717">
              <w:rPr>
                <w:rFonts w:eastAsia="Calibri"/>
                <w:lang w:val="es-ES"/>
              </w:rPr>
              <w:t xml:space="preserve"> </w:t>
            </w:r>
            <w:r>
              <w:rPr>
                <w:rFonts w:eastAsia="Calibri"/>
                <w:lang w:val="es-ES"/>
              </w:rPr>
              <w:t>habida cuenta de</w:t>
            </w:r>
            <w:r w:rsidRPr="000D2717">
              <w:rPr>
                <w:rFonts w:eastAsia="Calibri"/>
                <w:lang w:val="es-ES"/>
              </w:rPr>
              <w:t xml:space="preserve"> la falta de acuerdo en el UIT-R sobre las características técnicas y los parámetros operativos para realizar los estudios de compartición y compatibilidad necesarios para garantizar la protección de los servicios </w:t>
            </w:r>
            <w:r>
              <w:rPr>
                <w:rFonts w:eastAsia="Calibri"/>
                <w:lang w:val="es-ES"/>
              </w:rPr>
              <w:t>atribuidos actualmente a título primario</w:t>
            </w:r>
            <w:r w:rsidRPr="000D2717">
              <w:rPr>
                <w:rFonts w:eastAsia="Calibri"/>
                <w:lang w:val="es-ES"/>
              </w:rPr>
              <w:t xml:space="preserve"> en las bandas de frecuencias objeto de estudio o en bandas adyacentes </w:t>
            </w:r>
            <w:r>
              <w:rPr>
                <w:rFonts w:eastAsia="Calibri"/>
                <w:lang w:val="es-ES"/>
              </w:rPr>
              <w:t>con arreglo a este punto</w:t>
            </w:r>
            <w:r w:rsidRPr="000D2717">
              <w:rPr>
                <w:rFonts w:eastAsia="Calibri"/>
                <w:lang w:val="es-ES"/>
              </w:rPr>
              <w:t xml:space="preserve"> del orden del día.</w:t>
            </w:r>
          </w:p>
          <w:p w14:paraId="3514C74C" w14:textId="77777777" w:rsidR="00B20F1E" w:rsidRPr="000D2717" w:rsidRDefault="00B20F1E" w:rsidP="00E6436F">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 xml:space="preserve">Medidas </w:t>
            </w:r>
            <w:proofErr w:type="spellStart"/>
            <w:r>
              <w:rPr>
                <w:rFonts w:eastAsia="Calibri"/>
                <w:i/>
                <w:u w:val="single"/>
                <w:lang w:val="es-ES"/>
              </w:rPr>
              <w:t>propiuestas</w:t>
            </w:r>
            <w:proofErr w:type="spellEnd"/>
          </w:p>
          <w:p w14:paraId="792E787C" w14:textId="77777777" w:rsidR="00B20F1E" w:rsidRPr="00E6436F" w:rsidRDefault="00B20F1E" w:rsidP="00E6436F">
            <w:pPr>
              <w:pStyle w:val="Tabletext"/>
              <w:rPr>
                <w:rFonts w:eastAsia="Calibri"/>
                <w:b/>
                <w:bCs/>
                <w:color w:val="000000"/>
                <w:lang w:val="es-ES"/>
              </w:rPr>
            </w:pPr>
            <w:r w:rsidRPr="00E6436F">
              <w:rPr>
                <w:rFonts w:eastAsia="Calibri"/>
                <w:b/>
                <w:bCs/>
                <w:i/>
                <w:color w:val="000000"/>
                <w:lang w:val="es-ES"/>
              </w:rPr>
              <w:t>Solicitar a las administraciones de la UAT:</w:t>
            </w:r>
          </w:p>
          <w:p w14:paraId="06D13100" w14:textId="5B346E86" w:rsidR="00B20F1E" w:rsidRPr="000D2717" w:rsidRDefault="00E6436F" w:rsidP="00E6436F">
            <w:pPr>
              <w:pStyle w:val="Tabletext"/>
              <w:ind w:left="284" w:hanging="284"/>
              <w:rPr>
                <w:rFonts w:eastAsia="Calibri"/>
                <w:color w:val="000000"/>
                <w:lang w:val="es-ES"/>
              </w:rPr>
            </w:pPr>
            <w:r>
              <w:rPr>
                <w:rFonts w:eastAsia="Calibri"/>
                <w:color w:val="000000"/>
                <w:lang w:val="es-ES"/>
              </w:rPr>
              <w:t>1</w:t>
            </w:r>
            <w:r>
              <w:rPr>
                <w:rFonts w:eastAsia="Calibri"/>
                <w:color w:val="000000"/>
                <w:lang w:val="es-ES"/>
              </w:rPr>
              <w:tab/>
            </w:r>
            <w:r w:rsidR="00B20F1E" w:rsidRPr="00E6436F">
              <w:rPr>
                <w:rFonts w:eastAsia="Calibri"/>
                <w:b/>
                <w:bCs/>
                <w:color w:val="000000"/>
                <w:lang w:val="es-ES"/>
              </w:rPr>
              <w:t>Que apoyen</w:t>
            </w:r>
            <w:r w:rsidR="00B20F1E" w:rsidRPr="000D2717">
              <w:rPr>
                <w:rFonts w:eastAsia="Calibri"/>
                <w:color w:val="000000"/>
                <w:lang w:val="es-ES"/>
              </w:rPr>
              <w:t xml:space="preserve"> la </w:t>
            </w:r>
            <w:r w:rsidR="00B20F1E">
              <w:rPr>
                <w:rFonts w:eastAsia="Calibri"/>
                <w:color w:val="000000"/>
                <w:lang w:val="es-ES"/>
              </w:rPr>
              <w:t>AFCP</w:t>
            </w:r>
            <w:r w:rsidR="00B20F1E" w:rsidRPr="000D2717">
              <w:rPr>
                <w:rFonts w:eastAsia="Calibri"/>
                <w:color w:val="000000"/>
                <w:lang w:val="es-ES"/>
              </w:rPr>
              <w:t xml:space="preserve"> en </w:t>
            </w:r>
            <w:r w:rsidR="00B20F1E">
              <w:rPr>
                <w:rFonts w:eastAsia="Calibri"/>
                <w:color w:val="000000"/>
                <w:lang w:val="es-ES"/>
              </w:rPr>
              <w:t>relación con este</w:t>
            </w:r>
            <w:r w:rsidR="00B20F1E" w:rsidRPr="000D2717">
              <w:rPr>
                <w:rFonts w:eastAsia="Calibri"/>
                <w:color w:val="000000"/>
                <w:lang w:val="es-ES"/>
              </w:rPr>
              <w:t xml:space="preserve"> punto del orden del día</w:t>
            </w:r>
            <w:r w:rsidR="00B20F1E">
              <w:rPr>
                <w:rFonts w:eastAsia="Calibri"/>
                <w:color w:val="000000"/>
                <w:lang w:val="es-ES"/>
              </w:rPr>
              <w:t>, con arreglo a lo especificado anteriormente</w:t>
            </w:r>
            <w:r w:rsidR="00B20F1E" w:rsidRPr="000D2717">
              <w:rPr>
                <w:rFonts w:eastAsia="Calibri"/>
                <w:color w:val="000000"/>
                <w:lang w:val="es-ES"/>
              </w:rPr>
              <w:t>.</w:t>
            </w:r>
          </w:p>
          <w:p w14:paraId="22517B88" w14:textId="3F1039DD" w:rsidR="00B20F1E" w:rsidRPr="000D2717" w:rsidRDefault="00E6436F" w:rsidP="00E6436F">
            <w:pPr>
              <w:pStyle w:val="Tabletext"/>
              <w:ind w:left="284" w:hanging="284"/>
              <w:rPr>
                <w:rFonts w:eastAsia="Calibri"/>
                <w:i/>
                <w:lang w:val="es-ES"/>
              </w:rPr>
            </w:pPr>
            <w:r>
              <w:rPr>
                <w:rFonts w:eastAsia="Calibri"/>
                <w:color w:val="000000"/>
                <w:lang w:val="es-ES"/>
              </w:rPr>
              <w:t>2</w:t>
            </w:r>
            <w:r>
              <w:rPr>
                <w:rFonts w:eastAsia="Calibri"/>
                <w:color w:val="000000"/>
                <w:lang w:val="es-ES"/>
              </w:rPr>
              <w:tab/>
            </w:r>
            <w:r w:rsidR="00B20F1E" w:rsidRPr="00E6436F">
              <w:rPr>
                <w:rFonts w:eastAsia="Calibri"/>
                <w:b/>
                <w:bCs/>
                <w:color w:val="000000"/>
                <w:lang w:val="es-ES"/>
              </w:rPr>
              <w:t>Que sigan</w:t>
            </w:r>
            <w:r w:rsidR="00B20F1E">
              <w:rPr>
                <w:rFonts w:eastAsia="Calibri"/>
                <w:color w:val="000000"/>
                <w:lang w:val="es-ES"/>
              </w:rPr>
              <w:t xml:space="preserve"> </w:t>
            </w:r>
            <w:r w:rsidR="00B20F1E" w:rsidRPr="002347E6">
              <w:rPr>
                <w:rFonts w:eastAsia="Calibri"/>
                <w:bCs/>
                <w:color w:val="000000"/>
                <w:lang w:val="es-ES"/>
              </w:rPr>
              <w:t>estrechamente</w:t>
            </w:r>
            <w:r w:rsidR="00B20F1E">
              <w:rPr>
                <w:rFonts w:eastAsia="Calibri"/>
                <w:color w:val="000000"/>
                <w:lang w:val="es-ES"/>
              </w:rPr>
              <w:t xml:space="preserve"> </w:t>
            </w:r>
            <w:r w:rsidR="00B20F1E" w:rsidRPr="000D2717">
              <w:rPr>
                <w:rFonts w:eastAsia="Calibri"/>
                <w:color w:val="000000"/>
                <w:lang w:val="es-ES"/>
              </w:rPr>
              <w:t>los debates sobre este punto del orden del día en la CMR-23 para garantizar que no se tomen medidas que no estén respaldadas por los resultados de los estudios.</w:t>
            </w:r>
          </w:p>
        </w:tc>
      </w:tr>
      <w:tr w:rsidR="00B20F1E" w:rsidRPr="00B707C8" w14:paraId="7F3EF2BE" w14:textId="77777777" w:rsidTr="00DB48C6">
        <w:trPr>
          <w:jc w:val="center"/>
        </w:trPr>
        <w:tc>
          <w:tcPr>
            <w:tcW w:w="2547" w:type="dxa"/>
          </w:tcPr>
          <w:p w14:paraId="428B31E1" w14:textId="77777777" w:rsidR="00B20F1E" w:rsidRPr="00E6436F" w:rsidRDefault="00B20F1E" w:rsidP="00E6436F">
            <w:pPr>
              <w:pStyle w:val="Tabletext"/>
              <w:rPr>
                <w:rFonts w:eastAsia="Calibri"/>
                <w:b/>
                <w:bCs/>
                <w:lang w:val="es-ES"/>
              </w:rPr>
            </w:pPr>
            <w:r w:rsidRPr="00E6436F">
              <w:rPr>
                <w:rFonts w:eastAsia="Calibri"/>
                <w:b/>
                <w:bCs/>
                <w:lang w:val="es-ES"/>
              </w:rPr>
              <w:t>Punto 1.19</w:t>
            </w:r>
          </w:p>
          <w:p w14:paraId="71056099" w14:textId="1F73D9DD" w:rsidR="00B20F1E" w:rsidRPr="000D2717" w:rsidRDefault="00193D1C" w:rsidP="00E6436F">
            <w:pPr>
              <w:pStyle w:val="Tabletext"/>
              <w:rPr>
                <w:rFonts w:eastAsia="Calibri"/>
                <w:lang w:val="es-ES"/>
              </w:rPr>
            </w:pPr>
            <w:r>
              <w:rPr>
                <w:rFonts w:eastAsia="Calibri"/>
                <w:lang w:val="es-ES"/>
              </w:rPr>
              <w:t>C</w:t>
            </w:r>
            <w:r w:rsidR="00B20F1E" w:rsidRPr="00717797">
              <w:rPr>
                <w:rFonts w:eastAsia="Calibri"/>
                <w:lang w:val="es-ES"/>
              </w:rPr>
              <w:t>onsiderar una nueva atribución a título primario al servicio fijo por satélite en el sentido espacio-Tierra en la banda de frecuencias 17,3-17,7 GHz en la Región</w:t>
            </w:r>
            <w:r>
              <w:rPr>
                <w:rFonts w:eastAsia="Calibri"/>
                <w:lang w:val="es-ES"/>
              </w:rPr>
              <w:t> </w:t>
            </w:r>
            <w:r w:rsidR="00B20F1E" w:rsidRPr="00717797">
              <w:rPr>
                <w:rFonts w:eastAsia="Calibri"/>
                <w:lang w:val="es-ES"/>
              </w:rPr>
              <w:t xml:space="preserve">2, protegiendo a su vez los servicios primarios existentes en la banda, de conformidad con la Resolución </w:t>
            </w:r>
            <w:r w:rsidR="00B20F1E" w:rsidRPr="00E6436F">
              <w:rPr>
                <w:rFonts w:eastAsia="Calibri"/>
                <w:b/>
                <w:bCs/>
                <w:lang w:val="es-ES"/>
              </w:rPr>
              <w:t>174</w:t>
            </w:r>
            <w:r w:rsidR="00B20F1E" w:rsidRPr="00717797">
              <w:rPr>
                <w:rFonts w:eastAsia="Calibri"/>
                <w:lang w:val="es-ES"/>
              </w:rPr>
              <w:t xml:space="preserve"> (CMR 19);</w:t>
            </w:r>
          </w:p>
        </w:tc>
        <w:tc>
          <w:tcPr>
            <w:tcW w:w="6718" w:type="dxa"/>
          </w:tcPr>
          <w:p w14:paraId="7657C1F1" w14:textId="77777777" w:rsidR="00B20F1E" w:rsidRPr="000D2717" w:rsidRDefault="00B20F1E" w:rsidP="00E6436F">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1FB83E34" w14:textId="5F9D2754" w:rsidR="00B20F1E" w:rsidRPr="000D2717" w:rsidRDefault="00E6436F" w:rsidP="00E6436F">
            <w:pPr>
              <w:pStyle w:val="Tabletext"/>
              <w:ind w:left="284" w:hanging="284"/>
              <w:rPr>
                <w:rFonts w:eastAsia="Calibri"/>
                <w:lang w:val="es-ES"/>
              </w:rPr>
            </w:pPr>
            <w:r>
              <w:rPr>
                <w:rFonts w:eastAsia="Calibri"/>
                <w:lang w:val="es-ES"/>
              </w:rPr>
              <w:t>1</w:t>
            </w:r>
            <w:r>
              <w:rPr>
                <w:rFonts w:eastAsia="Calibri"/>
                <w:lang w:val="es-ES"/>
              </w:rPr>
              <w:tab/>
            </w:r>
            <w:r w:rsidR="00B20F1E" w:rsidRPr="00E6436F">
              <w:rPr>
                <w:rFonts w:eastAsia="Calibri"/>
                <w:b/>
                <w:bCs/>
                <w:lang w:val="es-ES"/>
              </w:rPr>
              <w:t>Apoyar la Alternativa 2 del Método B</w:t>
            </w:r>
            <w:r w:rsidR="00B20F1E" w:rsidRPr="000D2717">
              <w:rPr>
                <w:rFonts w:eastAsia="Calibri"/>
                <w:lang w:val="es-ES"/>
              </w:rPr>
              <w:t xml:space="preserve">, incluida la modificación de </w:t>
            </w:r>
            <w:r w:rsidR="00B20F1E">
              <w:rPr>
                <w:rFonts w:eastAsia="Calibri"/>
                <w:lang w:val="es-ES"/>
              </w:rPr>
              <w:t>los números</w:t>
            </w:r>
            <w:r w:rsidR="00B20F1E" w:rsidRPr="000D2717">
              <w:rPr>
                <w:rFonts w:eastAsia="Calibri"/>
                <w:lang w:val="es-ES"/>
              </w:rPr>
              <w:t xml:space="preserve"> del </w:t>
            </w:r>
            <w:r w:rsidR="00B20F1E">
              <w:rPr>
                <w:rFonts w:eastAsia="Calibri"/>
                <w:lang w:val="es-ES"/>
              </w:rPr>
              <w:t>A</w:t>
            </w:r>
            <w:r w:rsidR="00B20F1E" w:rsidRPr="000D2717">
              <w:rPr>
                <w:rFonts w:eastAsia="Calibri"/>
                <w:lang w:val="es-ES"/>
              </w:rPr>
              <w:t xml:space="preserve">rtículo </w:t>
            </w:r>
            <w:r w:rsidR="00B20F1E" w:rsidRPr="00193D1C">
              <w:rPr>
                <w:rFonts w:eastAsia="Calibri"/>
                <w:b/>
                <w:bCs/>
                <w:lang w:val="es-ES"/>
              </w:rPr>
              <w:t>5</w:t>
            </w:r>
            <w:r w:rsidR="00B20F1E" w:rsidRPr="000D2717">
              <w:rPr>
                <w:rFonts w:eastAsia="Calibri"/>
                <w:lang w:val="es-ES"/>
              </w:rPr>
              <w:t xml:space="preserve"> del Reglamento de Radiocomunicaciones </w:t>
            </w:r>
            <w:r w:rsidR="00B20F1E">
              <w:rPr>
                <w:rFonts w:eastAsia="Calibri"/>
                <w:lang w:val="es-ES"/>
              </w:rPr>
              <w:t>referentes</w:t>
            </w:r>
            <w:r w:rsidR="00B20F1E" w:rsidRPr="000D2717">
              <w:rPr>
                <w:rFonts w:eastAsia="Calibri"/>
                <w:lang w:val="es-ES"/>
              </w:rPr>
              <w:t xml:space="preserve"> a la atribución </w:t>
            </w:r>
            <w:r w:rsidR="00B20F1E">
              <w:rPr>
                <w:rFonts w:eastAsia="Calibri"/>
                <w:lang w:val="es-ES"/>
              </w:rPr>
              <w:t>a</w:t>
            </w:r>
            <w:r w:rsidR="00B20F1E" w:rsidRPr="000D2717">
              <w:rPr>
                <w:rFonts w:eastAsia="Calibri"/>
                <w:lang w:val="es-ES"/>
              </w:rPr>
              <w:t xml:space="preserve"> la banda de frecuencias 17,3-17,7 GHz en la Región 2 </w:t>
            </w:r>
            <w:r w:rsidR="00B20F1E">
              <w:rPr>
                <w:rFonts w:eastAsia="Calibri"/>
                <w:lang w:val="es-ES"/>
              </w:rPr>
              <w:t>del</w:t>
            </w:r>
            <w:r w:rsidR="00B20F1E" w:rsidRPr="000D2717">
              <w:rPr>
                <w:rFonts w:eastAsia="Calibri"/>
                <w:lang w:val="es-ES"/>
              </w:rPr>
              <w:t xml:space="preserve"> servicio fijo por satélite espacio-Tierra, al tiempo que se hace hincapié en que </w:t>
            </w:r>
            <w:r w:rsidR="00B20F1E">
              <w:rPr>
                <w:rFonts w:eastAsia="Calibri"/>
                <w:lang w:val="es-ES"/>
              </w:rPr>
              <w:t>toda</w:t>
            </w:r>
            <w:r w:rsidR="00B20F1E" w:rsidRPr="000D2717">
              <w:rPr>
                <w:rFonts w:eastAsia="Calibri"/>
                <w:lang w:val="es-ES"/>
              </w:rPr>
              <w:t xml:space="preserve"> nueva atribución a título primario al SFS en la banda de frecuencias 17,3-17,7 GHz en la Región 2 deberá garantizar la protección de los servicios existentes en la banda de frecuencias y </w:t>
            </w:r>
            <w:r w:rsidR="00B20F1E">
              <w:rPr>
                <w:rFonts w:eastAsia="Calibri"/>
                <w:lang w:val="es-ES"/>
              </w:rPr>
              <w:t xml:space="preserve">en </w:t>
            </w:r>
            <w:r w:rsidR="00B20F1E" w:rsidRPr="000D2717">
              <w:rPr>
                <w:rFonts w:eastAsia="Calibri"/>
                <w:lang w:val="es-ES"/>
              </w:rPr>
              <w:t>bandas adyacentes en la Región 1</w:t>
            </w:r>
            <w:r w:rsidR="00B20F1E">
              <w:rPr>
                <w:rFonts w:eastAsia="Calibri"/>
                <w:lang w:val="es-ES"/>
              </w:rPr>
              <w:t>, sin</w:t>
            </w:r>
            <w:r w:rsidR="00B20F1E" w:rsidRPr="000D2717">
              <w:rPr>
                <w:rFonts w:eastAsia="Calibri"/>
                <w:lang w:val="es-ES"/>
              </w:rPr>
              <w:t xml:space="preserve"> </w:t>
            </w:r>
            <w:r w:rsidR="00B20F1E">
              <w:rPr>
                <w:rFonts w:eastAsia="Calibri"/>
                <w:lang w:val="es-ES"/>
              </w:rPr>
              <w:t>dar lugar a</w:t>
            </w:r>
            <w:r w:rsidR="00B20F1E" w:rsidRPr="000D2717">
              <w:rPr>
                <w:rFonts w:eastAsia="Calibri"/>
                <w:lang w:val="es-ES"/>
              </w:rPr>
              <w:t xml:space="preserve"> limitaciones indebidas </w:t>
            </w:r>
            <w:r w:rsidR="00B20F1E">
              <w:rPr>
                <w:rFonts w:eastAsia="Calibri"/>
                <w:lang w:val="es-ES"/>
              </w:rPr>
              <w:t>en relación con el futuro</w:t>
            </w:r>
            <w:r w:rsidR="00B20F1E" w:rsidRPr="000D2717">
              <w:rPr>
                <w:rFonts w:eastAsia="Calibri"/>
                <w:lang w:val="es-ES"/>
              </w:rPr>
              <w:t xml:space="preserve"> desarrollo de servicios en esta banda </w:t>
            </w:r>
            <w:r w:rsidR="00B20F1E" w:rsidRPr="00B91698">
              <w:rPr>
                <w:rFonts w:eastAsia="Calibri"/>
                <w:lang w:val="es-ES"/>
              </w:rPr>
              <w:t xml:space="preserve">con el objetivo de proteger mejor las estaciones espaciales receptoras de enlaces de conexión del SRS </w:t>
            </w:r>
            <w:r w:rsidR="00B20F1E">
              <w:rPr>
                <w:rFonts w:eastAsia="Calibri"/>
                <w:lang w:val="es-ES"/>
              </w:rPr>
              <w:t>con arreglo al</w:t>
            </w:r>
            <w:r w:rsidR="00B20F1E" w:rsidRPr="00B91698">
              <w:rPr>
                <w:rFonts w:eastAsia="Calibri"/>
                <w:lang w:val="es-ES"/>
              </w:rPr>
              <w:t xml:space="preserve"> Apéndice </w:t>
            </w:r>
            <w:r w:rsidR="00B20F1E" w:rsidRPr="00193D1C">
              <w:rPr>
                <w:rFonts w:eastAsia="Calibri"/>
                <w:b/>
                <w:bCs/>
                <w:lang w:val="es-ES"/>
              </w:rPr>
              <w:t>30A</w:t>
            </w:r>
            <w:r w:rsidR="00B20F1E" w:rsidRPr="00B91698">
              <w:rPr>
                <w:rFonts w:eastAsia="Calibri"/>
                <w:lang w:val="es-ES"/>
              </w:rPr>
              <w:t xml:space="preserve"> y los sistemas OSG del SFS</w:t>
            </w:r>
            <w:r w:rsidR="00B20F1E" w:rsidRPr="000D2717">
              <w:rPr>
                <w:rFonts w:eastAsia="Calibri"/>
                <w:lang w:val="es-ES"/>
              </w:rPr>
              <w:t>.</w:t>
            </w:r>
          </w:p>
          <w:p w14:paraId="7A3709E8" w14:textId="704E285E" w:rsidR="00B20F1E" w:rsidRPr="000D2717" w:rsidRDefault="00E6436F" w:rsidP="00E6436F">
            <w:pPr>
              <w:pStyle w:val="Tabletext"/>
              <w:ind w:left="284" w:hanging="284"/>
              <w:rPr>
                <w:rFonts w:eastAsia="Calibri"/>
                <w:lang w:val="es-ES"/>
              </w:rPr>
            </w:pPr>
            <w:r>
              <w:rPr>
                <w:rFonts w:eastAsia="Calibri"/>
                <w:lang w:val="es-ES"/>
              </w:rPr>
              <w:lastRenderedPageBreak/>
              <w:t>2</w:t>
            </w:r>
            <w:r>
              <w:rPr>
                <w:rFonts w:eastAsia="Calibri"/>
                <w:lang w:val="es-ES"/>
              </w:rPr>
              <w:tab/>
            </w:r>
            <w:r w:rsidR="00B20F1E" w:rsidRPr="00E6436F">
              <w:rPr>
                <w:rFonts w:eastAsia="Calibri"/>
                <w:b/>
                <w:bCs/>
                <w:lang w:val="es-ES"/>
              </w:rPr>
              <w:t>Acordar</w:t>
            </w:r>
            <w:r w:rsidR="00B20F1E" w:rsidRPr="000D2717">
              <w:rPr>
                <w:rFonts w:eastAsia="Calibri"/>
                <w:lang w:val="es-ES"/>
              </w:rPr>
              <w:t xml:space="preserve">, </w:t>
            </w:r>
            <w:r w:rsidR="00B20F1E">
              <w:rPr>
                <w:rFonts w:eastAsia="Calibri"/>
                <w:lang w:val="es-ES"/>
              </w:rPr>
              <w:t>por</w:t>
            </w:r>
            <w:r w:rsidR="00B20F1E" w:rsidRPr="000D2717">
              <w:rPr>
                <w:rFonts w:eastAsia="Calibri"/>
                <w:lang w:val="es-ES"/>
              </w:rPr>
              <w:t xml:space="preserve"> principio, </w:t>
            </w:r>
            <w:r w:rsidR="00B20F1E">
              <w:rPr>
                <w:rFonts w:eastAsia="Calibri"/>
                <w:lang w:val="es-ES"/>
              </w:rPr>
              <w:t>que toda</w:t>
            </w:r>
            <w:r w:rsidR="00B20F1E" w:rsidRPr="000D2717">
              <w:rPr>
                <w:rFonts w:eastAsia="Calibri"/>
                <w:lang w:val="es-ES"/>
              </w:rPr>
              <w:t xml:space="preserve"> nueva atribución a título primario al SFS en la banda de frecuencias 17,3-17,7 GHz en la Región 2 </w:t>
            </w:r>
            <w:r w:rsidR="00B20F1E">
              <w:rPr>
                <w:rFonts w:eastAsia="Calibri"/>
                <w:lang w:val="es-ES"/>
              </w:rPr>
              <w:t>garantice</w:t>
            </w:r>
            <w:r w:rsidR="00B20F1E" w:rsidRPr="000D2717">
              <w:rPr>
                <w:rFonts w:eastAsia="Calibri"/>
                <w:lang w:val="es-ES"/>
              </w:rPr>
              <w:t xml:space="preserve"> la protección de los servicios existentes en la banda de frecuencias y </w:t>
            </w:r>
            <w:r w:rsidR="00B20F1E">
              <w:rPr>
                <w:rFonts w:eastAsia="Calibri"/>
                <w:lang w:val="es-ES"/>
              </w:rPr>
              <w:t xml:space="preserve">en </w:t>
            </w:r>
            <w:r w:rsidR="00B20F1E" w:rsidRPr="000D2717">
              <w:rPr>
                <w:rFonts w:eastAsia="Calibri"/>
                <w:lang w:val="es-ES"/>
              </w:rPr>
              <w:t>bandas adyacentes en la Región 1</w:t>
            </w:r>
            <w:r w:rsidR="00B20F1E">
              <w:rPr>
                <w:rFonts w:eastAsia="Calibri"/>
                <w:lang w:val="es-ES"/>
              </w:rPr>
              <w:t>,</w:t>
            </w:r>
            <w:r w:rsidR="00B20F1E" w:rsidRPr="000D2717">
              <w:rPr>
                <w:rFonts w:eastAsia="Calibri"/>
                <w:lang w:val="es-ES"/>
              </w:rPr>
              <w:t xml:space="preserve"> y no </w:t>
            </w:r>
            <w:r w:rsidR="00B20F1E">
              <w:rPr>
                <w:rFonts w:eastAsia="Calibri"/>
                <w:lang w:val="es-ES"/>
              </w:rPr>
              <w:t>dé lugar a</w:t>
            </w:r>
            <w:r w:rsidR="00B20F1E" w:rsidRPr="000D2717">
              <w:rPr>
                <w:rFonts w:eastAsia="Calibri"/>
                <w:lang w:val="es-ES"/>
              </w:rPr>
              <w:t xml:space="preserve"> limitaciones indebidas </w:t>
            </w:r>
            <w:r w:rsidR="00B20F1E">
              <w:rPr>
                <w:rFonts w:eastAsia="Calibri"/>
                <w:lang w:val="es-ES"/>
              </w:rPr>
              <w:t xml:space="preserve">en relación con el </w:t>
            </w:r>
            <w:r w:rsidR="00B20F1E" w:rsidRPr="000D2717">
              <w:rPr>
                <w:rFonts w:eastAsia="Calibri"/>
                <w:lang w:val="es-ES"/>
              </w:rPr>
              <w:t xml:space="preserve">futuro desarrollos de servicios en esa banda. En particular, </w:t>
            </w:r>
            <w:r w:rsidR="00B20F1E">
              <w:rPr>
                <w:rFonts w:eastAsia="Calibri"/>
                <w:lang w:val="es-ES"/>
              </w:rPr>
              <w:t>toda</w:t>
            </w:r>
            <w:r w:rsidR="00B20F1E" w:rsidRPr="000D2717">
              <w:rPr>
                <w:rFonts w:eastAsia="Calibri"/>
                <w:lang w:val="es-ES"/>
              </w:rPr>
              <w:t xml:space="preserve"> nueva atribución en </w:t>
            </w:r>
            <w:r w:rsidR="00B20F1E">
              <w:rPr>
                <w:rFonts w:eastAsia="Calibri"/>
                <w:lang w:val="es-ES"/>
              </w:rPr>
              <w:t>la Región</w:t>
            </w:r>
            <w:r w:rsidR="00B20F1E" w:rsidRPr="000D2717">
              <w:rPr>
                <w:rFonts w:eastAsia="Calibri"/>
                <w:lang w:val="es-ES"/>
              </w:rPr>
              <w:t xml:space="preserve"> en la banda 17,3-17,7 GHz no reclamará protección frente a las estaciones terrenas de enlace</w:t>
            </w:r>
            <w:r w:rsidR="00B20F1E">
              <w:rPr>
                <w:rFonts w:eastAsia="Calibri"/>
                <w:lang w:val="es-ES"/>
              </w:rPr>
              <w:t>s</w:t>
            </w:r>
            <w:r w:rsidR="00B20F1E" w:rsidRPr="000D2717">
              <w:rPr>
                <w:rFonts w:eastAsia="Calibri"/>
                <w:lang w:val="es-ES"/>
              </w:rPr>
              <w:t xml:space="preserve"> de conexión del servicio de radiodifusión por satélite </w:t>
            </w:r>
            <w:r w:rsidR="00B20F1E">
              <w:rPr>
                <w:rFonts w:eastAsia="Calibri"/>
                <w:lang w:val="es-ES"/>
              </w:rPr>
              <w:t>cuyo funcionamiento se rija</w:t>
            </w:r>
            <w:r w:rsidR="00B20F1E" w:rsidRPr="000D2717">
              <w:rPr>
                <w:rFonts w:eastAsia="Calibri"/>
                <w:lang w:val="es-ES"/>
              </w:rPr>
              <w:t xml:space="preserve"> con arreglo al Apéndice </w:t>
            </w:r>
            <w:r w:rsidR="00B20F1E" w:rsidRPr="00E6436F">
              <w:rPr>
                <w:rFonts w:eastAsia="Calibri"/>
                <w:b/>
                <w:bCs/>
                <w:lang w:val="es-ES"/>
              </w:rPr>
              <w:t>30A</w:t>
            </w:r>
            <w:r w:rsidR="00B20F1E" w:rsidRPr="000D2717">
              <w:rPr>
                <w:rFonts w:eastAsia="Calibri"/>
                <w:lang w:val="es-ES"/>
              </w:rPr>
              <w:t xml:space="preserve">, ni </w:t>
            </w:r>
            <w:r w:rsidR="00B20F1E">
              <w:rPr>
                <w:rFonts w:eastAsia="Calibri"/>
                <w:lang w:val="es-ES"/>
              </w:rPr>
              <w:t>fijará</w:t>
            </w:r>
            <w:r w:rsidR="00B20F1E" w:rsidRPr="000D2717">
              <w:rPr>
                <w:rFonts w:eastAsia="Calibri"/>
                <w:lang w:val="es-ES"/>
              </w:rPr>
              <w:t xml:space="preserve"> </w:t>
            </w:r>
            <w:r w:rsidR="00B20F1E">
              <w:rPr>
                <w:rFonts w:eastAsia="Calibri"/>
                <w:lang w:val="es-ES"/>
              </w:rPr>
              <w:t xml:space="preserve">límites o </w:t>
            </w:r>
            <w:r w:rsidR="00B20F1E" w:rsidRPr="000D2717">
              <w:rPr>
                <w:rFonts w:eastAsia="Calibri"/>
                <w:lang w:val="es-ES"/>
              </w:rPr>
              <w:t xml:space="preserve">restricciones </w:t>
            </w:r>
            <w:r w:rsidR="00B20F1E">
              <w:rPr>
                <w:rFonts w:eastAsia="Calibri"/>
                <w:lang w:val="es-ES"/>
              </w:rPr>
              <w:t>con respecto a</w:t>
            </w:r>
            <w:r w:rsidR="00B20F1E" w:rsidRPr="000D2717">
              <w:rPr>
                <w:rFonts w:eastAsia="Calibri"/>
                <w:lang w:val="es-ES"/>
              </w:rPr>
              <w:t xml:space="preserve"> la ubicación de las estaciones terrenas de enlace</w:t>
            </w:r>
            <w:r w:rsidR="00B20F1E">
              <w:rPr>
                <w:rFonts w:eastAsia="Calibri"/>
                <w:lang w:val="es-ES"/>
              </w:rPr>
              <w:t>s</w:t>
            </w:r>
            <w:r w:rsidR="00B20F1E" w:rsidRPr="000D2717">
              <w:rPr>
                <w:rFonts w:eastAsia="Calibri"/>
                <w:lang w:val="es-ES"/>
              </w:rPr>
              <w:t xml:space="preserve"> de conexión del servicio de radiodifusión por satélite </w:t>
            </w:r>
            <w:r w:rsidR="00B20F1E">
              <w:rPr>
                <w:rFonts w:eastAsia="Calibri"/>
                <w:lang w:val="es-ES"/>
              </w:rPr>
              <w:t>dentro</w:t>
            </w:r>
            <w:r w:rsidR="00B20F1E" w:rsidRPr="000D2717">
              <w:rPr>
                <w:rFonts w:eastAsia="Calibri"/>
                <w:lang w:val="es-ES"/>
              </w:rPr>
              <w:t xml:space="preserve"> de la zona de servicio del enlace de conexión.</w:t>
            </w:r>
          </w:p>
          <w:p w14:paraId="2C841240" w14:textId="77777777" w:rsidR="00B20F1E" w:rsidRPr="000D2717" w:rsidRDefault="00B20F1E" w:rsidP="00E6436F">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61BCFC96" w14:textId="77777777" w:rsidR="00B20F1E" w:rsidRPr="00E6436F" w:rsidRDefault="00B20F1E" w:rsidP="00E6436F">
            <w:pPr>
              <w:pStyle w:val="Tabletext"/>
              <w:rPr>
                <w:rFonts w:eastAsia="Calibri"/>
                <w:b/>
                <w:bCs/>
                <w:i/>
                <w:color w:val="000000"/>
                <w:lang w:val="es-ES"/>
              </w:rPr>
            </w:pPr>
            <w:r w:rsidRPr="00E6436F">
              <w:rPr>
                <w:rFonts w:eastAsia="Calibri"/>
                <w:b/>
                <w:bCs/>
                <w:i/>
                <w:color w:val="000000"/>
                <w:lang w:val="es-ES"/>
              </w:rPr>
              <w:t>Solicitar a las administraciones de la UAT que:</w:t>
            </w:r>
          </w:p>
          <w:p w14:paraId="2A32F071" w14:textId="77777777" w:rsidR="00B20F1E" w:rsidRPr="000D2717" w:rsidRDefault="00B20F1E" w:rsidP="00E6436F">
            <w:pPr>
              <w:pStyle w:val="Tabletext"/>
              <w:rPr>
                <w:rFonts w:eastAsia="Calibri"/>
                <w:i/>
                <w:lang w:val="es-ES"/>
              </w:rPr>
            </w:pPr>
            <w:r w:rsidRPr="00E6436F">
              <w:rPr>
                <w:rFonts w:eastAsia="Calibri"/>
                <w:b/>
                <w:bCs/>
                <w:color w:val="000000"/>
                <w:lang w:val="es-ES"/>
              </w:rPr>
              <w:t>Apoyen</w:t>
            </w:r>
            <w:r w:rsidRPr="000D2717">
              <w:rPr>
                <w:rFonts w:eastAsia="Calibri"/>
                <w:color w:val="000000"/>
                <w:lang w:val="es-ES"/>
              </w:rPr>
              <w:t xml:space="preserve"> la </w:t>
            </w:r>
            <w:r>
              <w:rPr>
                <w:rFonts w:eastAsia="Calibri"/>
                <w:color w:val="000000"/>
                <w:lang w:val="es-ES"/>
              </w:rPr>
              <w:t>AFCP</w:t>
            </w:r>
            <w:r w:rsidRPr="000D2717">
              <w:rPr>
                <w:rFonts w:eastAsia="Calibri"/>
                <w:color w:val="000000"/>
                <w:lang w:val="es-ES"/>
              </w:rPr>
              <w:t xml:space="preserve"> en </w:t>
            </w:r>
            <w:r>
              <w:rPr>
                <w:rFonts w:eastAsia="Calibri"/>
                <w:color w:val="000000"/>
                <w:lang w:val="es-ES"/>
              </w:rPr>
              <w:t>relación con este</w:t>
            </w:r>
            <w:r w:rsidRPr="000D2717">
              <w:rPr>
                <w:rFonts w:eastAsia="Calibri"/>
                <w:color w:val="000000"/>
                <w:lang w:val="es-ES"/>
              </w:rPr>
              <w:t xml:space="preserve"> punto del orden del día</w:t>
            </w:r>
            <w:r w:rsidRPr="000D2717">
              <w:rPr>
                <w:rFonts w:eastAsia="Calibri"/>
                <w:lang w:val="es-ES"/>
              </w:rPr>
              <w:t>.</w:t>
            </w:r>
          </w:p>
        </w:tc>
      </w:tr>
      <w:tr w:rsidR="00B20F1E" w:rsidRPr="00B707C8" w14:paraId="5809BD05" w14:textId="77777777" w:rsidTr="00DB48C6">
        <w:trPr>
          <w:jc w:val="center"/>
        </w:trPr>
        <w:tc>
          <w:tcPr>
            <w:tcW w:w="2547" w:type="dxa"/>
          </w:tcPr>
          <w:p w14:paraId="2CF35F1B" w14:textId="77777777" w:rsidR="00B20F1E" w:rsidRPr="00B033A8" w:rsidRDefault="00B20F1E" w:rsidP="00B033A8">
            <w:pPr>
              <w:pStyle w:val="Tabletext"/>
              <w:rPr>
                <w:rFonts w:eastAsia="Calibri"/>
                <w:b/>
                <w:bCs/>
                <w:lang w:val="es-ES"/>
              </w:rPr>
            </w:pPr>
            <w:r w:rsidRPr="00B033A8">
              <w:rPr>
                <w:rFonts w:eastAsia="Calibri"/>
                <w:b/>
                <w:bCs/>
                <w:lang w:val="es-ES"/>
              </w:rPr>
              <w:lastRenderedPageBreak/>
              <w:t>Punto 7, Tema A</w:t>
            </w:r>
          </w:p>
          <w:p w14:paraId="0F9460DC" w14:textId="77777777" w:rsidR="00B20F1E" w:rsidRPr="000D2717" w:rsidRDefault="00B20F1E" w:rsidP="00B033A8">
            <w:pPr>
              <w:pStyle w:val="Tabletext"/>
              <w:rPr>
                <w:rFonts w:eastAsia="Calibri"/>
                <w:lang w:val="es-ES"/>
              </w:rPr>
            </w:pPr>
            <w:r w:rsidRPr="001A1488">
              <w:rPr>
                <w:rFonts w:eastAsia="Calibri"/>
                <w:lang w:val="es-ES"/>
              </w:rPr>
              <w:t>Tolerancias de determinadas características orbitales de estaciones espaciales no OSG del SFS, el SRS o el SMS</w:t>
            </w:r>
            <w:r>
              <w:rPr>
                <w:rFonts w:eastAsia="Calibri"/>
                <w:lang w:val="es-ES"/>
              </w:rPr>
              <w:t>.</w:t>
            </w:r>
          </w:p>
        </w:tc>
        <w:tc>
          <w:tcPr>
            <w:tcW w:w="6718" w:type="dxa"/>
          </w:tcPr>
          <w:p w14:paraId="4A54876D" w14:textId="77777777" w:rsidR="00B20F1E" w:rsidRPr="000D2717" w:rsidRDefault="00B20F1E" w:rsidP="00B033A8">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27DC4095" w14:textId="77777777" w:rsidR="00B20F1E" w:rsidRPr="000D2717" w:rsidRDefault="00B20F1E" w:rsidP="00B033A8">
            <w:pPr>
              <w:pStyle w:val="Tabletext"/>
              <w:rPr>
                <w:rFonts w:eastAsia="Calibri"/>
                <w:lang w:val="es-ES"/>
              </w:rPr>
            </w:pPr>
            <w:r w:rsidRPr="00B033A8">
              <w:rPr>
                <w:rFonts w:eastAsia="Calibri"/>
                <w:b/>
                <w:bCs/>
                <w:lang w:val="es-ES"/>
              </w:rPr>
              <w:t>Apoyar</w:t>
            </w:r>
            <w:r w:rsidRPr="000D2717">
              <w:rPr>
                <w:rFonts w:eastAsia="Calibri"/>
                <w:lang w:val="es-ES"/>
              </w:rPr>
              <w:t xml:space="preserve"> la Opción A del Método A2, </w:t>
            </w:r>
            <w:r>
              <w:rPr>
                <w:rFonts w:eastAsia="Calibri"/>
                <w:lang w:val="es-ES"/>
              </w:rPr>
              <w:t>en virtud de la cual se</w:t>
            </w:r>
            <w:r w:rsidRPr="00AA5E78">
              <w:rPr>
                <w:rFonts w:eastAsia="Calibri"/>
                <w:lang w:val="es-ES"/>
              </w:rPr>
              <w:t xml:space="preserve"> propone aplicar tolerancias, incluso temporales, para los satélites de todos los sistemas no OSG del SFS, el SRS o el SMS (ya sea con una excentricidad &lt; 0,5/[por determinar] o en términos más amplios), o para los sistemas no OSG del SFS, el SRS o el SMS sujetos a la Resolución </w:t>
            </w:r>
            <w:r w:rsidRPr="00B033A8">
              <w:rPr>
                <w:rFonts w:eastAsia="Calibri"/>
                <w:b/>
                <w:bCs/>
                <w:lang w:val="es-ES"/>
              </w:rPr>
              <w:t>35 (CMR-19)</w:t>
            </w:r>
            <w:r w:rsidRPr="00AA5E78">
              <w:rPr>
                <w:rFonts w:eastAsia="Calibri"/>
                <w:lang w:val="es-ES"/>
              </w:rPr>
              <w:t xml:space="preserve"> (ya sea con una excentricidad &lt; 0,5/[por determinar] o en términos más amplios</w:t>
            </w:r>
            <w:r w:rsidRPr="000D2717">
              <w:rPr>
                <w:rFonts w:eastAsia="Calibri"/>
                <w:lang w:val="es-ES"/>
              </w:rPr>
              <w:t>).</w:t>
            </w:r>
          </w:p>
          <w:p w14:paraId="47A661C1" w14:textId="77777777" w:rsidR="00B20F1E" w:rsidRPr="000D2717" w:rsidRDefault="00B20F1E" w:rsidP="00B033A8">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550109D8" w14:textId="77777777" w:rsidR="00B20F1E" w:rsidRPr="00B033A8" w:rsidRDefault="00B20F1E" w:rsidP="00B033A8">
            <w:pPr>
              <w:pStyle w:val="Tabletext"/>
              <w:rPr>
                <w:rFonts w:eastAsia="Calibri"/>
                <w:b/>
                <w:bCs/>
                <w:i/>
                <w:color w:val="000000"/>
                <w:lang w:val="es-ES"/>
              </w:rPr>
            </w:pPr>
            <w:r w:rsidRPr="00B033A8">
              <w:rPr>
                <w:rFonts w:eastAsia="Calibri"/>
                <w:b/>
                <w:bCs/>
                <w:i/>
                <w:color w:val="000000"/>
                <w:lang w:val="es-ES"/>
              </w:rPr>
              <w:t>Solicitar a las administraciones de la UAT que:</w:t>
            </w:r>
          </w:p>
          <w:p w14:paraId="23E3906B" w14:textId="3A79C2A3" w:rsidR="00B20F1E" w:rsidRPr="000D2717" w:rsidRDefault="00B033A8" w:rsidP="00B033A8">
            <w:pPr>
              <w:pStyle w:val="Tabletext"/>
              <w:rPr>
                <w:rFonts w:eastAsia="Calibri"/>
                <w:color w:val="000000"/>
                <w:lang w:val="es-ES"/>
              </w:rPr>
            </w:pPr>
            <w:r>
              <w:rPr>
                <w:rFonts w:eastAsia="Calibri"/>
                <w:color w:val="000000"/>
                <w:lang w:val="es-ES"/>
              </w:rPr>
              <w:t>1</w:t>
            </w:r>
            <w:r>
              <w:rPr>
                <w:rFonts w:eastAsia="Calibri"/>
                <w:color w:val="000000"/>
                <w:lang w:val="es-ES"/>
              </w:rPr>
              <w:tab/>
            </w:r>
            <w:r w:rsidR="00B20F1E" w:rsidRPr="00B033A8">
              <w:rPr>
                <w:rFonts w:eastAsia="Calibri"/>
                <w:b/>
                <w:bCs/>
                <w:color w:val="000000"/>
                <w:lang w:val="es-ES"/>
              </w:rPr>
              <w:t>Apoyen la AFCP</w:t>
            </w:r>
            <w:r w:rsidR="00B20F1E" w:rsidRPr="000D2717">
              <w:rPr>
                <w:rFonts w:eastAsia="Calibri"/>
                <w:color w:val="000000"/>
                <w:lang w:val="es-ES"/>
              </w:rPr>
              <w:t xml:space="preserve"> </w:t>
            </w:r>
            <w:r w:rsidR="00B20F1E">
              <w:rPr>
                <w:rFonts w:eastAsia="Calibri"/>
                <w:color w:val="000000"/>
                <w:lang w:val="es-ES"/>
              </w:rPr>
              <w:t>en relación con</w:t>
            </w:r>
            <w:r w:rsidR="00B20F1E" w:rsidRPr="000D2717">
              <w:rPr>
                <w:rFonts w:eastAsia="Calibri"/>
                <w:color w:val="000000"/>
                <w:lang w:val="es-ES"/>
              </w:rPr>
              <w:t xml:space="preserve"> este tema</w:t>
            </w:r>
            <w:r w:rsidR="00193D1C">
              <w:rPr>
                <w:rFonts w:eastAsia="Calibri"/>
                <w:color w:val="000000"/>
                <w:lang w:val="es-ES"/>
              </w:rPr>
              <w:t>;</w:t>
            </w:r>
          </w:p>
          <w:p w14:paraId="6C281064" w14:textId="42AE5396" w:rsidR="00B20F1E" w:rsidRPr="000D2717" w:rsidRDefault="00B033A8" w:rsidP="00B033A8">
            <w:pPr>
              <w:pStyle w:val="Tabletext"/>
              <w:ind w:left="284" w:hanging="284"/>
              <w:rPr>
                <w:rFonts w:eastAsia="Calibri"/>
                <w:i/>
                <w:lang w:val="es-ES"/>
              </w:rPr>
            </w:pPr>
            <w:r>
              <w:rPr>
                <w:rFonts w:eastAsia="Calibri"/>
                <w:color w:val="000000"/>
                <w:lang w:val="es-ES"/>
              </w:rPr>
              <w:t>2</w:t>
            </w:r>
            <w:r>
              <w:rPr>
                <w:rFonts w:eastAsia="Calibri"/>
                <w:color w:val="000000"/>
                <w:lang w:val="es-ES"/>
              </w:rPr>
              <w:tab/>
            </w:r>
            <w:r w:rsidR="00B20F1E" w:rsidRPr="00B033A8">
              <w:rPr>
                <w:rFonts w:eastAsia="Calibri"/>
                <w:b/>
                <w:bCs/>
                <w:color w:val="000000"/>
                <w:lang w:val="es-ES"/>
              </w:rPr>
              <w:t>Prosigan</w:t>
            </w:r>
            <w:r w:rsidR="00B20F1E" w:rsidRPr="000D2717">
              <w:rPr>
                <w:rFonts w:eastAsia="Calibri"/>
                <w:color w:val="000000"/>
                <w:lang w:val="es-ES"/>
              </w:rPr>
              <w:t xml:space="preserve"> los debates para </w:t>
            </w:r>
            <w:r w:rsidR="00B20F1E">
              <w:rPr>
                <w:rFonts w:eastAsia="Calibri"/>
                <w:color w:val="000000"/>
                <w:lang w:val="es-ES"/>
              </w:rPr>
              <w:t>establecer</w:t>
            </w:r>
            <w:r w:rsidR="00B20F1E" w:rsidRPr="000D2717">
              <w:rPr>
                <w:rFonts w:eastAsia="Calibri"/>
                <w:color w:val="000000"/>
                <w:lang w:val="es-ES"/>
              </w:rPr>
              <w:t xml:space="preserve"> las tolerancias aceptables que deben aplicarse en los sistemas no OSG;</w:t>
            </w:r>
          </w:p>
        </w:tc>
      </w:tr>
      <w:tr w:rsidR="00B20F1E" w:rsidRPr="00B707C8" w14:paraId="70F155CD" w14:textId="77777777" w:rsidTr="00DB48C6">
        <w:trPr>
          <w:jc w:val="center"/>
        </w:trPr>
        <w:tc>
          <w:tcPr>
            <w:tcW w:w="2547" w:type="dxa"/>
          </w:tcPr>
          <w:p w14:paraId="08A549DA" w14:textId="77777777" w:rsidR="00B20F1E" w:rsidRPr="00B033A8" w:rsidRDefault="00B20F1E" w:rsidP="00B033A8">
            <w:pPr>
              <w:pStyle w:val="Tabletext"/>
              <w:rPr>
                <w:rFonts w:eastAsia="Calibri"/>
                <w:b/>
                <w:bCs/>
                <w:lang w:val="es-ES"/>
              </w:rPr>
            </w:pPr>
            <w:r w:rsidRPr="00B033A8">
              <w:rPr>
                <w:rFonts w:eastAsia="Calibri"/>
                <w:b/>
                <w:bCs/>
                <w:lang w:val="es-ES"/>
              </w:rPr>
              <w:t>Punto 7, Tema B</w:t>
            </w:r>
          </w:p>
          <w:p w14:paraId="480EEC4A" w14:textId="77777777" w:rsidR="00B20F1E" w:rsidRPr="000D2717" w:rsidRDefault="00B20F1E" w:rsidP="00B033A8">
            <w:pPr>
              <w:pStyle w:val="Tabletext"/>
              <w:rPr>
                <w:rFonts w:eastAsia="Calibri"/>
                <w:lang w:val="es-ES"/>
              </w:rPr>
            </w:pPr>
            <w:r w:rsidRPr="009A48C3">
              <w:rPr>
                <w:rFonts w:eastAsia="Calibri"/>
                <w:lang w:val="es-ES"/>
              </w:rPr>
              <w:t>Procedimiento de comunicación posterior a cada objetivo intermedio para los sistemas no OSG</w:t>
            </w:r>
          </w:p>
        </w:tc>
        <w:tc>
          <w:tcPr>
            <w:tcW w:w="6718" w:type="dxa"/>
          </w:tcPr>
          <w:p w14:paraId="7F8BA048" w14:textId="77777777" w:rsidR="00B20F1E" w:rsidRPr="000D2717" w:rsidRDefault="00B20F1E" w:rsidP="00B033A8">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2A90DC59" w14:textId="77777777" w:rsidR="00B20F1E" w:rsidRPr="000D2717" w:rsidRDefault="00B20F1E" w:rsidP="00B033A8">
            <w:pPr>
              <w:pStyle w:val="Tabletext"/>
              <w:rPr>
                <w:rFonts w:eastAsia="Calibri"/>
                <w:lang w:val="es-ES"/>
              </w:rPr>
            </w:pPr>
            <w:r w:rsidRPr="00B033A8">
              <w:rPr>
                <w:rFonts w:eastAsia="Calibri"/>
                <w:b/>
                <w:bCs/>
                <w:lang w:val="es-ES"/>
              </w:rPr>
              <w:t>Examinar ambos</w:t>
            </w:r>
            <w:r w:rsidRPr="000D2717">
              <w:rPr>
                <w:rFonts w:eastAsia="Calibri"/>
                <w:lang w:val="es-ES"/>
              </w:rPr>
              <w:t xml:space="preserve"> métodos propuestos por los grupos subregionales, a saber, </w:t>
            </w:r>
            <w:r>
              <w:rPr>
                <w:rFonts w:eastAsia="Calibri"/>
                <w:lang w:val="es-ES"/>
              </w:rPr>
              <w:t>los</w:t>
            </w:r>
            <w:r w:rsidRPr="000D2717">
              <w:rPr>
                <w:rFonts w:eastAsia="Calibri"/>
                <w:lang w:val="es-ES"/>
              </w:rPr>
              <w:t xml:space="preserve"> método</w:t>
            </w:r>
            <w:r>
              <w:rPr>
                <w:rFonts w:eastAsia="Calibri"/>
                <w:lang w:val="es-ES"/>
              </w:rPr>
              <w:t>s</w:t>
            </w:r>
            <w:r w:rsidRPr="000D2717">
              <w:rPr>
                <w:rFonts w:eastAsia="Calibri"/>
                <w:lang w:val="es-ES"/>
              </w:rPr>
              <w:t xml:space="preserve"> B1 y B2, con el fin de elaborar un</w:t>
            </w:r>
            <w:r>
              <w:rPr>
                <w:rFonts w:eastAsia="Calibri"/>
                <w:lang w:val="es-ES"/>
              </w:rPr>
              <w:t>a</w:t>
            </w:r>
            <w:r w:rsidRPr="000D2717">
              <w:rPr>
                <w:rFonts w:eastAsia="Calibri"/>
                <w:lang w:val="es-ES"/>
              </w:rPr>
              <w:t xml:space="preserve"> </w:t>
            </w:r>
            <w:r>
              <w:rPr>
                <w:rFonts w:eastAsia="Calibri"/>
                <w:lang w:val="es-ES"/>
              </w:rPr>
              <w:t>AFCP</w:t>
            </w:r>
            <w:r w:rsidRPr="000D2717">
              <w:rPr>
                <w:rFonts w:eastAsia="Calibri"/>
                <w:lang w:val="es-ES"/>
              </w:rPr>
              <w:t>.</w:t>
            </w:r>
          </w:p>
          <w:p w14:paraId="12621548" w14:textId="77777777" w:rsidR="00B20F1E" w:rsidRPr="000D2717" w:rsidRDefault="00B20F1E" w:rsidP="00B033A8">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w:t>
            </w:r>
          </w:p>
          <w:p w14:paraId="57D7218E" w14:textId="77777777" w:rsidR="00B20F1E" w:rsidRPr="00B033A8" w:rsidRDefault="00B20F1E" w:rsidP="00B033A8">
            <w:pPr>
              <w:pStyle w:val="Tabletext"/>
              <w:rPr>
                <w:rFonts w:eastAsia="Calibri"/>
                <w:b/>
                <w:bCs/>
                <w:color w:val="000000"/>
                <w:lang w:val="es-ES"/>
              </w:rPr>
            </w:pPr>
            <w:r w:rsidRPr="00B033A8">
              <w:rPr>
                <w:rFonts w:eastAsia="Calibri"/>
                <w:b/>
                <w:bCs/>
                <w:i/>
                <w:color w:val="000000"/>
                <w:lang w:val="es-ES"/>
              </w:rPr>
              <w:t>Solicitar a la Secretaría de la UAT que:</w:t>
            </w:r>
          </w:p>
          <w:p w14:paraId="732F197A" w14:textId="77777777" w:rsidR="00B20F1E" w:rsidRPr="000D2717" w:rsidRDefault="00B20F1E" w:rsidP="00B033A8">
            <w:pPr>
              <w:pStyle w:val="Tabletext"/>
              <w:rPr>
                <w:rFonts w:eastAsia="Calibri"/>
                <w:i/>
                <w:lang w:val="es-ES"/>
              </w:rPr>
            </w:pPr>
            <w:r w:rsidRPr="00B033A8">
              <w:rPr>
                <w:rFonts w:eastAsia="Calibri"/>
                <w:b/>
                <w:bCs/>
                <w:lang w:val="es-ES"/>
              </w:rPr>
              <w:t>Convoque</w:t>
            </w:r>
            <w:r w:rsidRPr="000D2717">
              <w:rPr>
                <w:rFonts w:eastAsia="Calibri"/>
                <w:lang w:val="es-ES"/>
              </w:rPr>
              <w:t xml:space="preserve"> reuniones </w:t>
            </w:r>
            <w:r>
              <w:rPr>
                <w:rFonts w:eastAsia="Calibri"/>
                <w:lang w:val="es-ES"/>
              </w:rPr>
              <w:t>al respecto</w:t>
            </w:r>
            <w:r w:rsidRPr="000D2717">
              <w:rPr>
                <w:rFonts w:eastAsia="Calibri"/>
                <w:lang w:val="es-ES"/>
              </w:rPr>
              <w:t xml:space="preserve"> con </w:t>
            </w:r>
            <w:r>
              <w:rPr>
                <w:rFonts w:eastAsia="Calibri"/>
                <w:lang w:val="es-ES"/>
              </w:rPr>
              <w:t>miras a elaborar la AFCP</w:t>
            </w:r>
            <w:r w:rsidRPr="000D2717">
              <w:rPr>
                <w:rFonts w:eastAsia="Calibri"/>
                <w:lang w:val="es-ES"/>
              </w:rPr>
              <w:t>.</w:t>
            </w:r>
          </w:p>
        </w:tc>
      </w:tr>
      <w:tr w:rsidR="00B20F1E" w:rsidRPr="00B707C8" w14:paraId="50703395" w14:textId="77777777" w:rsidTr="00DB48C6">
        <w:trPr>
          <w:jc w:val="center"/>
        </w:trPr>
        <w:tc>
          <w:tcPr>
            <w:tcW w:w="2547" w:type="dxa"/>
          </w:tcPr>
          <w:p w14:paraId="75759CAB" w14:textId="77777777" w:rsidR="00B20F1E" w:rsidRPr="00B033A8" w:rsidRDefault="00B20F1E" w:rsidP="00B033A8">
            <w:pPr>
              <w:pStyle w:val="Tabletext"/>
              <w:rPr>
                <w:rFonts w:eastAsia="Calibri"/>
                <w:b/>
                <w:bCs/>
                <w:lang w:val="es-ES"/>
              </w:rPr>
            </w:pPr>
            <w:r w:rsidRPr="00B033A8">
              <w:rPr>
                <w:rFonts w:eastAsia="Calibri"/>
                <w:b/>
                <w:bCs/>
                <w:lang w:val="es-ES"/>
              </w:rPr>
              <w:t>Punto 7, Tema C</w:t>
            </w:r>
          </w:p>
          <w:p w14:paraId="3C084E6C" w14:textId="77777777" w:rsidR="00B20F1E" w:rsidRPr="000D2717" w:rsidRDefault="00B20F1E" w:rsidP="00B033A8">
            <w:pPr>
              <w:pStyle w:val="Tabletext"/>
              <w:rPr>
                <w:rFonts w:eastAsia="Calibri"/>
                <w:lang w:val="es-ES"/>
              </w:rPr>
            </w:pPr>
            <w:r>
              <w:rPr>
                <w:rFonts w:eastAsia="Calibri"/>
                <w:lang w:val="es-ES"/>
              </w:rPr>
              <w:t>P</w:t>
            </w:r>
            <w:r w:rsidRPr="0032420C">
              <w:rPr>
                <w:rFonts w:eastAsia="Calibri"/>
                <w:lang w:val="es-ES"/>
              </w:rPr>
              <w:t xml:space="preserve">rotección de las redes de satélite geoestacionarios del SMS que funcionan en las bandas 7/8 y 20/30 GHz contra las emisiones de los sistemas de satélites no geoestacionarios que funcionan en las mismas bandas de frecuencias y en </w:t>
            </w:r>
            <w:r>
              <w:rPr>
                <w:rFonts w:eastAsia="Calibri"/>
                <w:lang w:val="es-ES"/>
              </w:rPr>
              <w:t>el</w:t>
            </w:r>
            <w:r w:rsidRPr="0032420C">
              <w:rPr>
                <w:rFonts w:eastAsia="Calibri"/>
                <w:lang w:val="es-ES"/>
              </w:rPr>
              <w:t xml:space="preserve"> mismo sentido</w:t>
            </w:r>
            <w:r w:rsidRPr="000D2717">
              <w:rPr>
                <w:rFonts w:eastAsia="Calibri"/>
                <w:lang w:val="es-ES"/>
              </w:rPr>
              <w:t>.</w:t>
            </w:r>
          </w:p>
        </w:tc>
        <w:tc>
          <w:tcPr>
            <w:tcW w:w="6718" w:type="dxa"/>
          </w:tcPr>
          <w:p w14:paraId="25B55A48" w14:textId="77777777" w:rsidR="00B20F1E" w:rsidRPr="000D2717" w:rsidRDefault="00B20F1E" w:rsidP="00B033A8">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395535DA" w14:textId="664C0709" w:rsidR="00B20F1E" w:rsidRPr="000D2717" w:rsidRDefault="00B20F1E" w:rsidP="00B033A8">
            <w:pPr>
              <w:pStyle w:val="Tabletext"/>
              <w:rPr>
                <w:rFonts w:eastAsia="Calibri"/>
                <w:lang w:val="es-ES"/>
              </w:rPr>
            </w:pPr>
            <w:r w:rsidRPr="00B033A8">
              <w:rPr>
                <w:rFonts w:eastAsia="Calibri"/>
                <w:b/>
                <w:bCs/>
                <w:lang w:val="es-ES"/>
              </w:rPr>
              <w:t>Apoyar</w:t>
            </w:r>
            <w:r w:rsidRPr="000D2717">
              <w:rPr>
                <w:rFonts w:eastAsia="Calibri"/>
                <w:lang w:val="es-ES"/>
              </w:rPr>
              <w:t xml:space="preserve"> el método C3, </w:t>
            </w:r>
            <w:r>
              <w:rPr>
                <w:rFonts w:eastAsia="Calibri"/>
                <w:lang w:val="es-ES"/>
              </w:rPr>
              <w:t>en virtud del cual se</w:t>
            </w:r>
            <w:r w:rsidRPr="000D2717">
              <w:rPr>
                <w:rFonts w:eastAsia="Calibri"/>
                <w:lang w:val="es-ES"/>
              </w:rPr>
              <w:t xml:space="preserve"> propone ampliar el concepto del número </w:t>
            </w:r>
            <w:r w:rsidRPr="00B033A8">
              <w:rPr>
                <w:rFonts w:eastAsia="Calibri"/>
                <w:b/>
                <w:bCs/>
                <w:lang w:val="es-ES"/>
              </w:rPr>
              <w:t>22.2</w:t>
            </w:r>
            <w:r w:rsidRPr="000D2717">
              <w:rPr>
                <w:rFonts w:eastAsia="Calibri"/>
                <w:lang w:val="es-ES"/>
              </w:rPr>
              <w:t xml:space="preserve"> del RR </w:t>
            </w:r>
            <w:r>
              <w:rPr>
                <w:rFonts w:eastAsia="Calibri"/>
                <w:lang w:val="es-ES"/>
              </w:rPr>
              <w:t>sobre el</w:t>
            </w:r>
            <w:r w:rsidRPr="000D2717">
              <w:rPr>
                <w:rFonts w:eastAsia="Calibri"/>
                <w:lang w:val="es-ES"/>
              </w:rPr>
              <w:t xml:space="preserve"> SMS OSG con respecto a los sistemas no OSG en las bandas de frecuencias respectivas pertinentes para las disposiciones del </w:t>
            </w:r>
            <w:r>
              <w:rPr>
                <w:rFonts w:eastAsia="Calibri"/>
                <w:lang w:val="es-ES"/>
              </w:rPr>
              <w:t>A</w:t>
            </w:r>
            <w:r w:rsidRPr="000D2717">
              <w:rPr>
                <w:rFonts w:eastAsia="Calibri"/>
                <w:lang w:val="es-ES"/>
              </w:rPr>
              <w:t xml:space="preserve">rtículo </w:t>
            </w:r>
            <w:r w:rsidRPr="00B033A8">
              <w:rPr>
                <w:rFonts w:eastAsia="Calibri"/>
                <w:b/>
                <w:bCs/>
                <w:lang w:val="es-ES"/>
              </w:rPr>
              <w:t>5</w:t>
            </w:r>
            <w:r w:rsidRPr="000D2717">
              <w:rPr>
                <w:rFonts w:eastAsia="Calibri"/>
                <w:lang w:val="es-ES"/>
              </w:rPr>
              <w:t>.</w:t>
            </w:r>
          </w:p>
          <w:p w14:paraId="14FFC0CB" w14:textId="77777777" w:rsidR="00B20F1E" w:rsidRPr="000D2717" w:rsidRDefault="00B20F1E" w:rsidP="00B033A8">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3293E1FF" w14:textId="77777777" w:rsidR="00B20F1E" w:rsidRPr="00B033A8" w:rsidRDefault="00B20F1E" w:rsidP="00B033A8">
            <w:pPr>
              <w:pStyle w:val="Tabletext"/>
              <w:rPr>
                <w:rFonts w:eastAsia="Calibri"/>
                <w:b/>
                <w:bCs/>
                <w:color w:val="000000"/>
                <w:lang w:val="es-ES"/>
              </w:rPr>
            </w:pPr>
            <w:r w:rsidRPr="00B033A8">
              <w:rPr>
                <w:rFonts w:eastAsia="Calibri"/>
                <w:b/>
                <w:bCs/>
                <w:i/>
                <w:color w:val="000000"/>
                <w:lang w:val="es-ES"/>
              </w:rPr>
              <w:t>Solicitar a las administraciones de la UAT que:</w:t>
            </w:r>
          </w:p>
          <w:p w14:paraId="6E51BA97" w14:textId="77777777" w:rsidR="00B20F1E" w:rsidRPr="000D2717" w:rsidRDefault="00B20F1E" w:rsidP="00B033A8">
            <w:pPr>
              <w:pStyle w:val="Tabletext"/>
              <w:rPr>
                <w:rFonts w:eastAsia="Calibri"/>
                <w:i/>
                <w:lang w:val="es-ES"/>
              </w:rPr>
            </w:pPr>
            <w:r w:rsidRPr="00B033A8">
              <w:rPr>
                <w:rFonts w:eastAsia="Calibri"/>
                <w:b/>
                <w:bCs/>
                <w:color w:val="000000"/>
                <w:lang w:val="es-ES"/>
              </w:rPr>
              <w:t>Apoyen</w:t>
            </w:r>
            <w:r w:rsidRPr="000D2717">
              <w:rPr>
                <w:rFonts w:eastAsia="Calibri"/>
                <w:color w:val="000000"/>
                <w:lang w:val="es-ES"/>
              </w:rPr>
              <w:t xml:space="preserve"> </w:t>
            </w:r>
            <w:r>
              <w:rPr>
                <w:rFonts w:eastAsia="Calibri"/>
                <w:color w:val="000000"/>
                <w:lang w:val="es-ES"/>
              </w:rPr>
              <w:t>la AFCP en relación con este tema</w:t>
            </w:r>
            <w:r w:rsidRPr="000D2717">
              <w:rPr>
                <w:rFonts w:eastAsia="Calibri"/>
                <w:color w:val="000000"/>
                <w:lang w:val="es-ES"/>
              </w:rPr>
              <w:t>.</w:t>
            </w:r>
          </w:p>
        </w:tc>
      </w:tr>
      <w:tr w:rsidR="00B20F1E" w:rsidRPr="00B707C8" w14:paraId="51FF5018" w14:textId="77777777" w:rsidTr="00DB48C6">
        <w:trPr>
          <w:jc w:val="center"/>
        </w:trPr>
        <w:tc>
          <w:tcPr>
            <w:tcW w:w="2547" w:type="dxa"/>
          </w:tcPr>
          <w:p w14:paraId="7B77B75D" w14:textId="77777777" w:rsidR="00B20F1E" w:rsidRPr="00B033A8" w:rsidRDefault="00B20F1E" w:rsidP="00B033A8">
            <w:pPr>
              <w:pStyle w:val="Tabletext"/>
              <w:rPr>
                <w:rFonts w:eastAsia="Calibri"/>
                <w:b/>
                <w:bCs/>
                <w:lang w:val="es-ES"/>
              </w:rPr>
            </w:pPr>
            <w:r w:rsidRPr="00B033A8">
              <w:rPr>
                <w:rFonts w:eastAsia="Calibri"/>
                <w:b/>
                <w:bCs/>
                <w:lang w:val="es-ES"/>
              </w:rPr>
              <w:t>Punto 7, Tema D</w:t>
            </w:r>
          </w:p>
          <w:p w14:paraId="3AC25BA1" w14:textId="77777777" w:rsidR="00B20F1E" w:rsidRPr="000D2717" w:rsidRDefault="00B20F1E" w:rsidP="00B033A8">
            <w:pPr>
              <w:pStyle w:val="Tabletext"/>
              <w:rPr>
                <w:rFonts w:eastAsia="Calibri"/>
                <w:lang w:val="es-ES"/>
              </w:rPr>
            </w:pPr>
            <w:r w:rsidRPr="003F7E2A">
              <w:rPr>
                <w:rFonts w:eastAsia="Calibri"/>
                <w:color w:val="000000"/>
                <w:lang w:val="es-ES"/>
              </w:rPr>
              <w:t xml:space="preserve">Modificaciones del Apéndice </w:t>
            </w:r>
            <w:r w:rsidRPr="00DB1DF5">
              <w:rPr>
                <w:rFonts w:eastAsia="Calibri"/>
                <w:b/>
                <w:bCs/>
                <w:color w:val="000000"/>
                <w:lang w:val="es-ES"/>
              </w:rPr>
              <w:t>1</w:t>
            </w:r>
            <w:r w:rsidRPr="003F7E2A">
              <w:rPr>
                <w:rFonts w:eastAsia="Calibri"/>
                <w:color w:val="000000"/>
                <w:lang w:val="es-ES"/>
              </w:rPr>
              <w:t xml:space="preserve"> </w:t>
            </w:r>
            <w:r>
              <w:rPr>
                <w:rFonts w:eastAsia="Calibri"/>
                <w:color w:val="000000"/>
                <w:lang w:val="es-ES"/>
              </w:rPr>
              <w:t>al</w:t>
            </w:r>
            <w:r w:rsidRPr="003F7E2A">
              <w:rPr>
                <w:rFonts w:eastAsia="Calibri"/>
                <w:color w:val="000000"/>
                <w:lang w:val="es-ES"/>
              </w:rPr>
              <w:t xml:space="preserve"> Anexo</w:t>
            </w:r>
            <w:r w:rsidRPr="00B033A8">
              <w:rPr>
                <w:rFonts w:eastAsia="Calibri"/>
                <w:b/>
                <w:bCs/>
                <w:color w:val="000000"/>
                <w:lang w:val="es-ES"/>
              </w:rPr>
              <w:t xml:space="preserve"> 4</w:t>
            </w:r>
            <w:r w:rsidRPr="003F7E2A">
              <w:rPr>
                <w:rFonts w:eastAsia="Calibri"/>
                <w:color w:val="000000"/>
                <w:lang w:val="es-ES"/>
              </w:rPr>
              <w:t xml:space="preserve"> del Apéndice </w:t>
            </w:r>
            <w:r w:rsidRPr="00B033A8">
              <w:rPr>
                <w:rFonts w:eastAsia="Calibri"/>
                <w:b/>
                <w:bCs/>
                <w:color w:val="000000"/>
                <w:lang w:val="es-ES"/>
              </w:rPr>
              <w:t>30B</w:t>
            </w:r>
            <w:r w:rsidRPr="003F7E2A">
              <w:rPr>
                <w:rFonts w:eastAsia="Calibri"/>
                <w:color w:val="000000"/>
                <w:lang w:val="es-ES"/>
              </w:rPr>
              <w:t xml:space="preserve"> del RR</w:t>
            </w:r>
          </w:p>
        </w:tc>
        <w:tc>
          <w:tcPr>
            <w:tcW w:w="6718" w:type="dxa"/>
          </w:tcPr>
          <w:p w14:paraId="4D41F83E" w14:textId="77777777" w:rsidR="00B20F1E" w:rsidRPr="000D2717" w:rsidRDefault="00B20F1E" w:rsidP="00B033A8">
            <w:pPr>
              <w:pStyle w:val="Tabletext"/>
              <w:rPr>
                <w:rFonts w:eastAsia="Calibri"/>
                <w:i/>
                <w:u w:val="single"/>
                <w:lang w:val="es-ES"/>
              </w:rPr>
            </w:pPr>
            <w:r>
              <w:rPr>
                <w:rFonts w:eastAsia="Calibri"/>
                <w:i/>
                <w:u w:val="single"/>
                <w:lang w:val="es-ES"/>
              </w:rPr>
              <w:t>Parte 1:</w:t>
            </w:r>
            <w:r w:rsidRPr="000D2717">
              <w:rPr>
                <w:rFonts w:eastAsia="Calibri"/>
                <w:i/>
                <w:u w:val="single"/>
                <w:lang w:val="es-ES"/>
              </w:rPr>
              <w:t xml:space="preserve"> Posición común:</w:t>
            </w:r>
          </w:p>
          <w:p w14:paraId="76DD4AAC" w14:textId="61CE9648" w:rsidR="00B20F1E" w:rsidRPr="000D2717" w:rsidRDefault="00B033A8" w:rsidP="00B033A8">
            <w:pPr>
              <w:pStyle w:val="Tabletext"/>
              <w:rPr>
                <w:rFonts w:eastAsia="Calibri"/>
                <w:lang w:val="es-ES"/>
              </w:rPr>
            </w:pPr>
            <w:r>
              <w:rPr>
                <w:rFonts w:eastAsia="Calibri"/>
                <w:lang w:val="es-ES"/>
              </w:rPr>
              <w:t>1</w:t>
            </w:r>
            <w:r>
              <w:rPr>
                <w:rFonts w:eastAsia="Calibri"/>
                <w:lang w:val="es-ES"/>
              </w:rPr>
              <w:tab/>
            </w:r>
            <w:r w:rsidR="00B20F1E" w:rsidRPr="00B033A8">
              <w:rPr>
                <w:rFonts w:eastAsia="Calibri"/>
                <w:b/>
                <w:bCs/>
                <w:lang w:val="es-ES"/>
              </w:rPr>
              <w:t>Tema D1:</w:t>
            </w:r>
            <w:r w:rsidR="00B20F1E" w:rsidRPr="000D2717">
              <w:rPr>
                <w:rFonts w:eastAsia="Calibri"/>
                <w:lang w:val="es-ES"/>
              </w:rPr>
              <w:t xml:space="preserve"> </w:t>
            </w:r>
          </w:p>
          <w:p w14:paraId="228694C2" w14:textId="0DB6C6A7" w:rsidR="00B20F1E" w:rsidRPr="000D2717" w:rsidRDefault="00B033A8" w:rsidP="00B033A8">
            <w:pPr>
              <w:pStyle w:val="Tabletext"/>
              <w:rPr>
                <w:rFonts w:eastAsia="Calibri"/>
                <w:lang w:val="es-ES"/>
              </w:rPr>
            </w:pPr>
            <w:r>
              <w:rPr>
                <w:rFonts w:eastAsia="Calibri"/>
                <w:lang w:val="es-ES"/>
              </w:rPr>
              <w:tab/>
            </w:r>
            <w:r w:rsidR="00B20F1E" w:rsidRPr="00B033A8">
              <w:rPr>
                <w:rFonts w:eastAsia="Calibri"/>
                <w:b/>
                <w:bCs/>
                <w:lang w:val="es-ES"/>
              </w:rPr>
              <w:t>Apoyar</w:t>
            </w:r>
            <w:r w:rsidR="00B20F1E" w:rsidRPr="000D2717">
              <w:rPr>
                <w:rFonts w:eastAsia="Calibri"/>
                <w:lang w:val="es-ES"/>
              </w:rPr>
              <w:t xml:space="preserve"> el único método identificado </w:t>
            </w:r>
            <w:r w:rsidR="00B20F1E">
              <w:rPr>
                <w:rFonts w:eastAsia="Calibri"/>
                <w:lang w:val="es-ES"/>
              </w:rPr>
              <w:t>sobre</w:t>
            </w:r>
            <w:r w:rsidR="00B20F1E" w:rsidRPr="000D2717">
              <w:rPr>
                <w:rFonts w:eastAsia="Calibri"/>
                <w:lang w:val="es-ES"/>
              </w:rPr>
              <w:t xml:space="preserve"> este tema.</w:t>
            </w:r>
          </w:p>
          <w:p w14:paraId="20059C16" w14:textId="5CF17FCF" w:rsidR="00B20F1E" w:rsidRPr="000D2717" w:rsidRDefault="00B033A8" w:rsidP="00B033A8">
            <w:pPr>
              <w:pStyle w:val="Tabletext"/>
              <w:ind w:left="284" w:hanging="284"/>
              <w:rPr>
                <w:rFonts w:eastAsia="Calibri"/>
                <w:lang w:val="es-ES"/>
              </w:rPr>
            </w:pPr>
            <w:r>
              <w:rPr>
                <w:rFonts w:eastAsia="Calibri"/>
                <w:lang w:val="es-ES"/>
              </w:rPr>
              <w:t>2</w:t>
            </w:r>
            <w:r>
              <w:rPr>
                <w:rFonts w:eastAsia="Calibri"/>
                <w:lang w:val="es-ES"/>
              </w:rPr>
              <w:tab/>
            </w:r>
            <w:r w:rsidR="00B20F1E" w:rsidRPr="00B033A8">
              <w:rPr>
                <w:rFonts w:eastAsia="Calibri"/>
                <w:b/>
                <w:bCs/>
                <w:lang w:val="es-ES"/>
              </w:rPr>
              <w:t>Tema D2:</w:t>
            </w:r>
            <w:r w:rsidR="00B20F1E" w:rsidRPr="000D2717">
              <w:rPr>
                <w:rFonts w:eastAsia="Calibri"/>
                <w:lang w:val="es-ES"/>
              </w:rPr>
              <w:t xml:space="preserve"> </w:t>
            </w:r>
          </w:p>
          <w:p w14:paraId="1241C805" w14:textId="37C10CAE" w:rsidR="00B20F1E" w:rsidRPr="000D2717" w:rsidRDefault="00B033A8" w:rsidP="00B033A8">
            <w:pPr>
              <w:pStyle w:val="Tabletext"/>
              <w:ind w:left="284" w:hanging="284"/>
              <w:rPr>
                <w:rFonts w:eastAsia="Calibri"/>
                <w:lang w:val="es-ES"/>
              </w:rPr>
            </w:pPr>
            <w:r>
              <w:rPr>
                <w:rFonts w:eastAsia="Calibri"/>
                <w:lang w:val="es-ES"/>
              </w:rPr>
              <w:tab/>
            </w:r>
            <w:r w:rsidR="00B20F1E" w:rsidRPr="00B033A8">
              <w:rPr>
                <w:rFonts w:eastAsia="Calibri"/>
                <w:b/>
                <w:bCs/>
                <w:lang w:val="es-ES"/>
              </w:rPr>
              <w:t>Apoyar</w:t>
            </w:r>
            <w:r w:rsidR="00B20F1E" w:rsidRPr="000D2717">
              <w:rPr>
                <w:rFonts w:eastAsia="Calibri"/>
                <w:lang w:val="es-ES"/>
              </w:rPr>
              <w:t xml:space="preserve"> </w:t>
            </w:r>
            <w:r w:rsidR="00B20F1E" w:rsidRPr="00143AD2">
              <w:rPr>
                <w:rFonts w:eastAsia="Calibri"/>
                <w:bCs/>
                <w:lang w:val="es-ES"/>
              </w:rPr>
              <w:t>la</w:t>
            </w:r>
            <w:r w:rsidR="00B20F1E" w:rsidRPr="000D2717">
              <w:rPr>
                <w:rFonts w:eastAsia="Calibri"/>
                <w:lang w:val="es-ES"/>
              </w:rPr>
              <w:t xml:space="preserve"> modificación del Apéndice </w:t>
            </w:r>
            <w:r w:rsidR="00B20F1E" w:rsidRPr="007D7EC9">
              <w:rPr>
                <w:rFonts w:eastAsia="Calibri"/>
                <w:b/>
                <w:bCs/>
                <w:lang w:val="es-ES"/>
              </w:rPr>
              <w:t>4</w:t>
            </w:r>
            <w:r w:rsidR="00B20F1E" w:rsidRPr="000D2717">
              <w:rPr>
                <w:rFonts w:eastAsia="Calibri"/>
                <w:lang w:val="es-ES"/>
              </w:rPr>
              <w:t xml:space="preserve"> </w:t>
            </w:r>
            <w:r w:rsidR="00B20F1E">
              <w:rPr>
                <w:rFonts w:eastAsia="Calibri"/>
                <w:lang w:val="es-ES"/>
              </w:rPr>
              <w:t>a favor de</w:t>
            </w:r>
            <w:r w:rsidR="00B20F1E" w:rsidRPr="000D2717">
              <w:rPr>
                <w:rFonts w:eastAsia="Calibri"/>
                <w:lang w:val="es-ES"/>
              </w:rPr>
              <w:t xml:space="preserve"> la aplicación de las revisiones acordadas de la Recomendación UIT-R S.1503-3, incluidos los elementos </w:t>
            </w:r>
            <w:r w:rsidR="00B20F1E" w:rsidRPr="008B3E34">
              <w:rPr>
                <w:rFonts w:eastAsia="Calibri"/>
                <w:bCs/>
                <w:lang w:val="es-ES"/>
              </w:rPr>
              <w:t>de datos</w:t>
            </w:r>
            <w:r w:rsidR="00B20F1E" w:rsidRPr="000D2717">
              <w:rPr>
                <w:rFonts w:eastAsia="Calibri"/>
                <w:lang w:val="es-ES"/>
              </w:rPr>
              <w:t xml:space="preserve"> </w:t>
            </w:r>
            <w:r w:rsidR="00B20F1E">
              <w:rPr>
                <w:rFonts w:eastAsia="Calibri"/>
                <w:lang w:val="es-ES"/>
              </w:rPr>
              <w:t>nuevos y los</w:t>
            </w:r>
            <w:r w:rsidR="00B20F1E" w:rsidRPr="000D2717">
              <w:rPr>
                <w:rFonts w:eastAsia="Calibri"/>
                <w:lang w:val="es-ES"/>
              </w:rPr>
              <w:t xml:space="preserve"> modificados. </w:t>
            </w:r>
          </w:p>
          <w:p w14:paraId="00A31AFF" w14:textId="7D654532" w:rsidR="00B20F1E" w:rsidRPr="000D2717" w:rsidRDefault="00B033A8" w:rsidP="00B033A8">
            <w:pPr>
              <w:pStyle w:val="Tabletext"/>
              <w:rPr>
                <w:rFonts w:eastAsia="Calibri"/>
                <w:lang w:val="es-ES"/>
              </w:rPr>
            </w:pPr>
            <w:r>
              <w:rPr>
                <w:rFonts w:eastAsia="Calibri"/>
                <w:lang w:val="es-ES"/>
              </w:rPr>
              <w:t>3</w:t>
            </w:r>
            <w:r>
              <w:rPr>
                <w:rFonts w:eastAsia="Calibri"/>
                <w:lang w:val="es-ES"/>
              </w:rPr>
              <w:tab/>
            </w:r>
            <w:r w:rsidR="00B20F1E" w:rsidRPr="00B033A8">
              <w:rPr>
                <w:rFonts w:eastAsia="Calibri"/>
                <w:b/>
                <w:bCs/>
                <w:lang w:val="es-ES"/>
              </w:rPr>
              <w:t>Tema D3:</w:t>
            </w:r>
            <w:r w:rsidR="00B20F1E" w:rsidRPr="000D2717">
              <w:rPr>
                <w:rFonts w:eastAsia="Calibri"/>
                <w:lang w:val="es-ES"/>
              </w:rPr>
              <w:t xml:space="preserve"> </w:t>
            </w:r>
          </w:p>
          <w:p w14:paraId="0C4F5E70" w14:textId="311C9297" w:rsidR="00B20F1E" w:rsidRPr="000D2717" w:rsidRDefault="00B033A8" w:rsidP="00B033A8">
            <w:pPr>
              <w:pStyle w:val="Tabletext"/>
              <w:ind w:left="284" w:hanging="284"/>
              <w:rPr>
                <w:rFonts w:eastAsia="Calibri"/>
                <w:lang w:val="es-ES"/>
              </w:rPr>
            </w:pPr>
            <w:r>
              <w:rPr>
                <w:rFonts w:eastAsia="Calibri"/>
                <w:lang w:val="es-ES"/>
              </w:rPr>
              <w:tab/>
            </w:r>
            <w:r w:rsidR="00B20F1E" w:rsidRPr="00B033A8">
              <w:rPr>
                <w:rFonts w:eastAsia="Calibri"/>
                <w:b/>
                <w:bCs/>
                <w:lang w:val="es-ES"/>
              </w:rPr>
              <w:t>Apoyar</w:t>
            </w:r>
            <w:r w:rsidR="00B20F1E" w:rsidRPr="000D2717">
              <w:rPr>
                <w:rFonts w:eastAsia="Calibri"/>
                <w:lang w:val="es-ES"/>
              </w:rPr>
              <w:t xml:space="preserve"> </w:t>
            </w:r>
            <w:r w:rsidR="00B20F1E" w:rsidRPr="008B3E34">
              <w:rPr>
                <w:rFonts w:eastAsia="Calibri"/>
                <w:bCs/>
                <w:lang w:val="es-ES"/>
              </w:rPr>
              <w:t>que la</w:t>
            </w:r>
            <w:r w:rsidR="00B20F1E" w:rsidRPr="000D2717">
              <w:rPr>
                <w:rFonts w:eastAsia="Calibri"/>
                <w:lang w:val="es-ES"/>
              </w:rPr>
              <w:t xml:space="preserve"> BR </w:t>
            </w:r>
            <w:r w:rsidR="00B20F1E">
              <w:rPr>
                <w:rFonts w:eastAsia="Calibri"/>
                <w:lang w:val="es-ES"/>
              </w:rPr>
              <w:t>envíe</w:t>
            </w:r>
            <w:r w:rsidR="00B20F1E" w:rsidRPr="000D2717">
              <w:rPr>
                <w:rFonts w:eastAsia="Calibri"/>
                <w:lang w:val="es-ES"/>
              </w:rPr>
              <w:t xml:space="preserve"> un recordatorio a la administración notificante en relación con la confirmación de la fecha </w:t>
            </w:r>
            <w:r w:rsidR="00B20F1E">
              <w:rPr>
                <w:rFonts w:eastAsia="Calibri"/>
                <w:lang w:val="es-ES"/>
              </w:rPr>
              <w:t>de</w:t>
            </w:r>
            <w:r w:rsidR="00B20F1E" w:rsidRPr="00CE4B8C">
              <w:rPr>
                <w:rFonts w:eastAsia="Calibri"/>
                <w:lang w:val="es-ES"/>
              </w:rPr>
              <w:t xml:space="preserve"> puesta en servicio</w:t>
            </w:r>
            <w:r w:rsidR="00B20F1E">
              <w:rPr>
                <w:rFonts w:eastAsia="Calibri"/>
                <w:lang w:val="es-ES"/>
              </w:rPr>
              <w:t xml:space="preserve"> o </w:t>
            </w:r>
            <w:r w:rsidR="00B20F1E" w:rsidRPr="00CE4B8C">
              <w:rPr>
                <w:rFonts w:eastAsia="Calibri"/>
                <w:lang w:val="es-ES"/>
              </w:rPr>
              <w:t xml:space="preserve">reanudación del </w:t>
            </w:r>
            <w:r w:rsidR="00B20F1E">
              <w:rPr>
                <w:rFonts w:eastAsia="Calibri"/>
                <w:lang w:val="es-ES"/>
              </w:rPr>
              <w:t>mismo</w:t>
            </w:r>
            <w:r w:rsidR="00B20F1E" w:rsidRPr="00CE4B8C">
              <w:rPr>
                <w:rFonts w:eastAsia="Calibri"/>
                <w:lang w:val="es-ES"/>
              </w:rPr>
              <w:t xml:space="preserve"> </w:t>
            </w:r>
            <w:r w:rsidR="00B20F1E" w:rsidRPr="000D2717">
              <w:rPr>
                <w:rFonts w:eastAsia="Calibri"/>
                <w:lang w:val="es-ES"/>
              </w:rPr>
              <w:t xml:space="preserve">con arreglo a los números </w:t>
            </w:r>
            <w:r w:rsidR="00B20F1E" w:rsidRPr="00B033A8">
              <w:rPr>
                <w:rFonts w:eastAsia="Calibri"/>
                <w:b/>
                <w:bCs/>
                <w:lang w:val="es-ES"/>
              </w:rPr>
              <w:t>11.44B</w:t>
            </w:r>
            <w:r w:rsidR="00B20F1E" w:rsidRPr="000D2717">
              <w:rPr>
                <w:rFonts w:eastAsia="Calibri"/>
                <w:lang w:val="es-ES"/>
              </w:rPr>
              <w:t xml:space="preserve">, </w:t>
            </w:r>
            <w:r w:rsidR="00B20F1E" w:rsidRPr="00B033A8">
              <w:rPr>
                <w:rFonts w:eastAsia="Calibri"/>
                <w:b/>
                <w:bCs/>
                <w:lang w:val="es-ES"/>
              </w:rPr>
              <w:t>11.44C</w:t>
            </w:r>
            <w:r w:rsidR="00B20F1E" w:rsidRPr="000D2717">
              <w:rPr>
                <w:rFonts w:eastAsia="Calibri"/>
                <w:lang w:val="es-ES"/>
              </w:rPr>
              <w:t xml:space="preserve">, </w:t>
            </w:r>
            <w:r w:rsidR="00B20F1E" w:rsidRPr="00B033A8">
              <w:rPr>
                <w:rFonts w:eastAsia="Calibri"/>
                <w:b/>
                <w:bCs/>
                <w:lang w:val="es-ES"/>
              </w:rPr>
              <w:t>11.44D</w:t>
            </w:r>
            <w:r w:rsidR="00B20F1E" w:rsidRPr="000D2717">
              <w:rPr>
                <w:rFonts w:eastAsia="Calibri"/>
                <w:lang w:val="es-ES"/>
              </w:rPr>
              <w:t xml:space="preserve"> y </w:t>
            </w:r>
            <w:r w:rsidR="00B20F1E" w:rsidRPr="00B033A8">
              <w:rPr>
                <w:rFonts w:eastAsia="Calibri"/>
                <w:b/>
                <w:bCs/>
                <w:lang w:val="es-ES"/>
              </w:rPr>
              <w:t>11.44E</w:t>
            </w:r>
            <w:r w:rsidR="00B20F1E" w:rsidRPr="000D2717">
              <w:rPr>
                <w:rFonts w:eastAsia="Calibri"/>
                <w:lang w:val="es-ES"/>
              </w:rPr>
              <w:t>, según proceda.</w:t>
            </w:r>
          </w:p>
          <w:p w14:paraId="5BE6B233" w14:textId="77777777" w:rsidR="00B20F1E" w:rsidRPr="000D2717" w:rsidRDefault="00B20F1E" w:rsidP="00B033A8">
            <w:pPr>
              <w:pStyle w:val="Tabletext"/>
              <w:rPr>
                <w:rFonts w:eastAsia="Calibri"/>
                <w:i/>
                <w:u w:val="single"/>
                <w:lang w:val="es-ES"/>
              </w:rPr>
            </w:pPr>
            <w:r w:rsidRPr="000D2717">
              <w:rPr>
                <w:rFonts w:eastAsia="Calibri"/>
                <w:i/>
                <w:u w:val="single"/>
                <w:lang w:val="es-ES"/>
              </w:rPr>
              <w:lastRenderedPageBreak/>
              <w:t xml:space="preserve">Parte 2: </w:t>
            </w:r>
            <w:r>
              <w:rPr>
                <w:rFonts w:eastAsia="Calibri"/>
                <w:i/>
                <w:u w:val="single"/>
                <w:lang w:val="es-ES"/>
              </w:rPr>
              <w:t>Medidas propuestas</w:t>
            </w:r>
          </w:p>
          <w:p w14:paraId="3C4F26C2" w14:textId="77777777" w:rsidR="00B20F1E" w:rsidRPr="00B033A8" w:rsidRDefault="00B20F1E" w:rsidP="00B033A8">
            <w:pPr>
              <w:pStyle w:val="Tabletext"/>
              <w:rPr>
                <w:rFonts w:eastAsia="Calibri"/>
                <w:b/>
                <w:bCs/>
                <w:i/>
                <w:color w:val="000000"/>
                <w:lang w:val="es-ES"/>
              </w:rPr>
            </w:pPr>
            <w:r w:rsidRPr="00B033A8">
              <w:rPr>
                <w:rFonts w:eastAsia="Calibri"/>
                <w:b/>
                <w:bCs/>
                <w:i/>
                <w:color w:val="000000"/>
                <w:lang w:val="es-ES"/>
              </w:rPr>
              <w:t>Solicitar a las administraciones de la UAT que:</w:t>
            </w:r>
          </w:p>
          <w:p w14:paraId="438EA290" w14:textId="77777777" w:rsidR="00B20F1E" w:rsidRPr="000D2717" w:rsidRDefault="00B20F1E" w:rsidP="00B033A8">
            <w:pPr>
              <w:pStyle w:val="Tabletext"/>
              <w:rPr>
                <w:rFonts w:eastAsia="Calibri"/>
                <w:i/>
                <w:lang w:val="es-ES"/>
              </w:rPr>
            </w:pPr>
            <w:r w:rsidRPr="00B033A8">
              <w:rPr>
                <w:rFonts w:eastAsia="Calibri"/>
                <w:b/>
                <w:bCs/>
                <w:color w:val="000000"/>
                <w:lang w:val="es-ES"/>
              </w:rPr>
              <w:t>Apoyen</w:t>
            </w:r>
            <w:r w:rsidRPr="000D2717">
              <w:rPr>
                <w:rFonts w:eastAsia="Calibri"/>
                <w:color w:val="000000"/>
                <w:lang w:val="es-ES"/>
              </w:rPr>
              <w:t xml:space="preserve"> la </w:t>
            </w:r>
            <w:r>
              <w:rPr>
                <w:rFonts w:eastAsia="Calibri"/>
                <w:color w:val="000000"/>
                <w:lang w:val="es-ES"/>
              </w:rPr>
              <w:t>AFCP</w:t>
            </w:r>
            <w:r w:rsidRPr="000D2717">
              <w:rPr>
                <w:rFonts w:eastAsia="Calibri"/>
                <w:color w:val="000000"/>
                <w:lang w:val="es-ES"/>
              </w:rPr>
              <w:t xml:space="preserve"> en </w:t>
            </w:r>
            <w:r>
              <w:rPr>
                <w:rFonts w:eastAsia="Calibri"/>
                <w:color w:val="000000"/>
                <w:lang w:val="es-ES"/>
              </w:rPr>
              <w:t>relación con este</w:t>
            </w:r>
            <w:r w:rsidRPr="000D2717">
              <w:rPr>
                <w:rFonts w:eastAsia="Calibri"/>
                <w:color w:val="000000"/>
                <w:lang w:val="es-ES"/>
              </w:rPr>
              <w:t xml:space="preserve"> </w:t>
            </w:r>
            <w:r>
              <w:rPr>
                <w:rFonts w:eastAsia="Calibri"/>
                <w:color w:val="000000"/>
                <w:lang w:val="es-ES"/>
              </w:rPr>
              <w:t>tema</w:t>
            </w:r>
            <w:r w:rsidRPr="000D2717">
              <w:rPr>
                <w:rFonts w:eastAsia="Calibri"/>
                <w:color w:val="000000"/>
                <w:lang w:val="es-ES"/>
              </w:rPr>
              <w:t>.</w:t>
            </w:r>
          </w:p>
        </w:tc>
      </w:tr>
      <w:tr w:rsidR="00B20F1E" w:rsidRPr="00B707C8" w14:paraId="16343B78" w14:textId="77777777" w:rsidTr="00DB48C6">
        <w:trPr>
          <w:jc w:val="center"/>
        </w:trPr>
        <w:tc>
          <w:tcPr>
            <w:tcW w:w="2547" w:type="dxa"/>
          </w:tcPr>
          <w:p w14:paraId="4AB08422" w14:textId="77777777" w:rsidR="00B20F1E" w:rsidRPr="00267359" w:rsidRDefault="00B20F1E" w:rsidP="00267359">
            <w:pPr>
              <w:pStyle w:val="Tabletext"/>
              <w:rPr>
                <w:rFonts w:eastAsia="Calibri"/>
                <w:b/>
                <w:bCs/>
                <w:lang w:val="es-ES"/>
              </w:rPr>
            </w:pPr>
            <w:r w:rsidRPr="00267359">
              <w:rPr>
                <w:rFonts w:eastAsia="Calibri"/>
                <w:b/>
                <w:bCs/>
                <w:lang w:val="es-ES"/>
              </w:rPr>
              <w:lastRenderedPageBreak/>
              <w:t>Punto 7, Tema E</w:t>
            </w:r>
          </w:p>
          <w:p w14:paraId="70C9D6E7" w14:textId="77777777" w:rsidR="00B20F1E" w:rsidRPr="000D2717" w:rsidRDefault="00B20F1E" w:rsidP="00267359">
            <w:pPr>
              <w:pStyle w:val="Tabletext"/>
              <w:rPr>
                <w:rFonts w:eastAsia="Calibri"/>
                <w:lang w:val="es-ES"/>
              </w:rPr>
            </w:pPr>
            <w:r w:rsidRPr="00267359">
              <w:rPr>
                <w:rFonts w:eastAsia="Calibri"/>
                <w:lang w:val="es-ES"/>
              </w:rPr>
              <w:t xml:space="preserve">Mejora de los procedimientos del Apéndice </w:t>
            </w:r>
            <w:r w:rsidRPr="00267359">
              <w:rPr>
                <w:rFonts w:eastAsia="Calibri"/>
                <w:b/>
                <w:bCs/>
                <w:lang w:val="es-ES"/>
              </w:rPr>
              <w:t>30B</w:t>
            </w:r>
            <w:r w:rsidRPr="00267359">
              <w:rPr>
                <w:rFonts w:eastAsia="Calibri"/>
                <w:lang w:val="es-ES"/>
              </w:rPr>
              <w:t xml:space="preserve"> del RR en relación con los nuevos Estados miembros de la UIT.</w:t>
            </w:r>
          </w:p>
        </w:tc>
        <w:tc>
          <w:tcPr>
            <w:tcW w:w="6718" w:type="dxa"/>
          </w:tcPr>
          <w:p w14:paraId="0A4651DC" w14:textId="77777777" w:rsidR="00B20F1E" w:rsidRPr="000D2717" w:rsidRDefault="00B20F1E" w:rsidP="00267359">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46BF14CD" w14:textId="58548943" w:rsidR="00B20F1E" w:rsidRPr="000D2717" w:rsidRDefault="00267359" w:rsidP="00267359">
            <w:pPr>
              <w:pStyle w:val="Tabletext"/>
              <w:ind w:left="284" w:hanging="284"/>
              <w:rPr>
                <w:rFonts w:eastAsia="Calibri"/>
                <w:lang w:val="es-ES"/>
              </w:rPr>
            </w:pPr>
            <w:r>
              <w:rPr>
                <w:rFonts w:eastAsia="Calibri"/>
                <w:lang w:val="es-ES"/>
              </w:rPr>
              <w:t>1</w:t>
            </w:r>
            <w:r>
              <w:rPr>
                <w:rFonts w:eastAsia="Calibri"/>
                <w:lang w:val="es-ES"/>
              </w:rPr>
              <w:tab/>
            </w:r>
            <w:r w:rsidR="00B20F1E" w:rsidRPr="00267359">
              <w:rPr>
                <w:rFonts w:eastAsia="Calibri"/>
                <w:b/>
                <w:bCs/>
                <w:lang w:val="es-ES"/>
              </w:rPr>
              <w:t>Apoyar</w:t>
            </w:r>
            <w:r w:rsidR="00B20F1E" w:rsidRPr="000D2717">
              <w:rPr>
                <w:rFonts w:eastAsia="Calibri"/>
                <w:lang w:val="es-ES"/>
              </w:rPr>
              <w:t xml:space="preserve"> la propuesta de Sudán del Sur de solicitar que se conceda a los </w:t>
            </w:r>
            <w:r w:rsidR="00B20F1E">
              <w:rPr>
                <w:rFonts w:eastAsia="Calibri"/>
                <w:lang w:val="es-ES"/>
              </w:rPr>
              <w:t>n</w:t>
            </w:r>
            <w:r w:rsidR="00B20F1E" w:rsidRPr="000D2717">
              <w:rPr>
                <w:rFonts w:eastAsia="Calibri"/>
                <w:lang w:val="es-ES"/>
              </w:rPr>
              <w:t xml:space="preserve">uevos Estados Miembros de la UIT el mismo derecho que a los demás Estados Miembros </w:t>
            </w:r>
            <w:r w:rsidR="00B20F1E">
              <w:rPr>
                <w:rFonts w:eastAsia="Calibri"/>
                <w:lang w:val="es-ES"/>
              </w:rPr>
              <w:t>en relación con</w:t>
            </w:r>
            <w:r w:rsidR="00B20F1E" w:rsidRPr="000D2717">
              <w:rPr>
                <w:rFonts w:eastAsia="Calibri"/>
                <w:lang w:val="es-ES"/>
              </w:rPr>
              <w:t xml:space="preserve"> el Apéndice </w:t>
            </w:r>
            <w:r w:rsidR="00B20F1E" w:rsidRPr="00267359">
              <w:rPr>
                <w:rFonts w:eastAsia="Calibri"/>
                <w:b/>
                <w:bCs/>
                <w:lang w:val="es-ES"/>
              </w:rPr>
              <w:t>30B</w:t>
            </w:r>
            <w:r w:rsidR="00B20F1E">
              <w:rPr>
                <w:rFonts w:eastAsia="Calibri"/>
                <w:lang w:val="es-ES"/>
              </w:rPr>
              <w:t>, sobre la base de</w:t>
            </w:r>
            <w:r w:rsidR="00B20F1E" w:rsidRPr="000D2717">
              <w:rPr>
                <w:rFonts w:eastAsia="Calibri"/>
                <w:lang w:val="es-ES"/>
              </w:rPr>
              <w:t xml:space="preserve"> los principios </w:t>
            </w:r>
            <w:r w:rsidR="00B20F1E">
              <w:rPr>
                <w:rFonts w:eastAsia="Calibri"/>
                <w:lang w:val="es-ES"/>
              </w:rPr>
              <w:t>establecidos</w:t>
            </w:r>
            <w:r w:rsidR="00B20F1E" w:rsidRPr="000D2717">
              <w:rPr>
                <w:rFonts w:eastAsia="Calibri"/>
                <w:lang w:val="es-ES"/>
              </w:rPr>
              <w:t xml:space="preserve"> en el Artículo </w:t>
            </w:r>
            <w:r w:rsidR="00B20F1E" w:rsidRPr="00DB1DF5">
              <w:rPr>
                <w:rFonts w:eastAsia="Calibri"/>
                <w:b/>
                <w:bCs/>
                <w:lang w:val="es-ES"/>
              </w:rPr>
              <w:t>44</w:t>
            </w:r>
            <w:r w:rsidR="00B20F1E" w:rsidRPr="000D2717">
              <w:rPr>
                <w:rFonts w:eastAsia="Calibri"/>
                <w:lang w:val="es-ES"/>
              </w:rPr>
              <w:t xml:space="preserve"> de la Constitución, la Resolución </w:t>
            </w:r>
            <w:r w:rsidR="00B20F1E" w:rsidRPr="00267359">
              <w:rPr>
                <w:rFonts w:eastAsia="Calibri"/>
                <w:b/>
                <w:bCs/>
                <w:lang w:val="es-ES"/>
              </w:rPr>
              <w:t>2</w:t>
            </w:r>
            <w:r w:rsidRPr="00267359">
              <w:rPr>
                <w:rFonts w:eastAsia="Calibri"/>
                <w:b/>
                <w:bCs/>
                <w:lang w:val="es-ES"/>
              </w:rPr>
              <w:t xml:space="preserve"> </w:t>
            </w:r>
            <w:r w:rsidR="00B20F1E" w:rsidRPr="00267359">
              <w:rPr>
                <w:rFonts w:eastAsia="Calibri"/>
                <w:b/>
                <w:bCs/>
                <w:lang w:val="es-ES"/>
              </w:rPr>
              <w:t>(R</w:t>
            </w:r>
            <w:r w:rsidR="00DB1DF5">
              <w:rPr>
                <w:rFonts w:eastAsia="Calibri"/>
                <w:b/>
                <w:bCs/>
                <w:lang w:val="es-ES"/>
              </w:rPr>
              <w:t>ev</w:t>
            </w:r>
            <w:r w:rsidR="00B20F1E" w:rsidRPr="00267359">
              <w:rPr>
                <w:rFonts w:eastAsia="Calibri"/>
                <w:b/>
                <w:bCs/>
                <w:lang w:val="es-ES"/>
              </w:rPr>
              <w:t>.CMR-03)</w:t>
            </w:r>
            <w:r w:rsidR="00B20F1E" w:rsidRPr="000D2717">
              <w:rPr>
                <w:rFonts w:eastAsia="Calibri"/>
                <w:lang w:val="es-ES"/>
              </w:rPr>
              <w:t xml:space="preserve"> y el Artículo </w:t>
            </w:r>
            <w:r w:rsidR="00B20F1E" w:rsidRPr="00267359">
              <w:rPr>
                <w:rFonts w:eastAsia="Calibri"/>
                <w:b/>
                <w:bCs/>
                <w:lang w:val="es-ES"/>
              </w:rPr>
              <w:t>1</w:t>
            </w:r>
            <w:r w:rsidR="00B20F1E" w:rsidRPr="000D2717">
              <w:rPr>
                <w:rFonts w:eastAsia="Calibri"/>
                <w:lang w:val="es-ES"/>
              </w:rPr>
              <w:t xml:space="preserve"> del Apéndice </w:t>
            </w:r>
            <w:r w:rsidR="00B20F1E" w:rsidRPr="00267359">
              <w:rPr>
                <w:rFonts w:eastAsia="Calibri"/>
                <w:b/>
                <w:bCs/>
                <w:lang w:val="es-ES"/>
              </w:rPr>
              <w:t>30B</w:t>
            </w:r>
            <w:r w:rsidR="00B20F1E" w:rsidRPr="000D2717">
              <w:rPr>
                <w:rFonts w:eastAsia="Calibri"/>
                <w:lang w:val="es-ES"/>
              </w:rPr>
              <w:t xml:space="preserve">. </w:t>
            </w:r>
          </w:p>
          <w:p w14:paraId="2B8DD8F0" w14:textId="65DCD75A" w:rsidR="00B20F1E" w:rsidRPr="000D2717" w:rsidRDefault="00267359" w:rsidP="00267359">
            <w:pPr>
              <w:pStyle w:val="Tabletext"/>
              <w:ind w:left="284" w:hanging="284"/>
              <w:rPr>
                <w:rFonts w:eastAsia="Calibri"/>
                <w:lang w:val="es-ES"/>
              </w:rPr>
            </w:pPr>
            <w:r>
              <w:rPr>
                <w:rFonts w:eastAsia="Calibri"/>
                <w:color w:val="000000"/>
                <w:lang w:val="es-ES"/>
              </w:rPr>
              <w:t>2</w:t>
            </w:r>
            <w:r>
              <w:rPr>
                <w:rFonts w:eastAsia="Calibri"/>
                <w:color w:val="000000"/>
                <w:lang w:val="es-ES"/>
              </w:rPr>
              <w:tab/>
            </w:r>
            <w:r w:rsidR="00B20F1E" w:rsidRPr="00267359">
              <w:rPr>
                <w:rFonts w:eastAsia="Calibri"/>
                <w:b/>
                <w:bCs/>
                <w:color w:val="000000"/>
                <w:lang w:val="es-ES"/>
              </w:rPr>
              <w:t>Apoyar</w:t>
            </w:r>
            <w:r w:rsidR="00B20F1E" w:rsidRPr="000D2717">
              <w:rPr>
                <w:rFonts w:eastAsia="Calibri"/>
                <w:color w:val="000000"/>
                <w:lang w:val="es-ES"/>
              </w:rPr>
              <w:t xml:space="preserve"> los esfuerzos para evitar </w:t>
            </w:r>
            <w:r w:rsidR="00B20F1E">
              <w:rPr>
                <w:rFonts w:eastAsia="Calibri"/>
                <w:color w:val="000000"/>
                <w:lang w:val="es-ES"/>
              </w:rPr>
              <w:t>la</w:t>
            </w:r>
            <w:r w:rsidR="00B20F1E" w:rsidRPr="000D2717">
              <w:rPr>
                <w:rFonts w:eastAsia="Calibri"/>
                <w:color w:val="000000"/>
                <w:lang w:val="es-ES"/>
              </w:rPr>
              <w:t xml:space="preserve"> degradación </w:t>
            </w:r>
            <w:r w:rsidR="00B20F1E">
              <w:rPr>
                <w:rFonts w:eastAsia="Calibri"/>
                <w:color w:val="000000"/>
                <w:lang w:val="es-ES"/>
              </w:rPr>
              <w:t xml:space="preserve">en el futuro </w:t>
            </w:r>
            <w:r w:rsidR="00B20F1E" w:rsidRPr="000D2717">
              <w:rPr>
                <w:rFonts w:eastAsia="Calibri"/>
                <w:color w:val="000000"/>
                <w:lang w:val="es-ES"/>
              </w:rPr>
              <w:t>de</w:t>
            </w:r>
            <w:r w:rsidR="00B20F1E">
              <w:rPr>
                <w:rFonts w:eastAsia="Calibri"/>
                <w:color w:val="000000"/>
                <w:lang w:val="es-ES"/>
              </w:rPr>
              <w:t>l valor global de</w:t>
            </w:r>
            <w:r w:rsidR="00B20F1E" w:rsidRPr="000D2717">
              <w:rPr>
                <w:rFonts w:eastAsia="Calibri"/>
                <w:color w:val="000000"/>
                <w:lang w:val="es-ES"/>
              </w:rPr>
              <w:t xml:space="preserve"> </w:t>
            </w:r>
            <w:r w:rsidR="00B20F1E" w:rsidRPr="007D7EC9">
              <w:rPr>
                <w:rFonts w:eastAsia="Calibri"/>
                <w:i/>
                <w:iCs/>
                <w:color w:val="000000"/>
                <w:lang w:val="es-ES"/>
              </w:rPr>
              <w:t>C/I</w:t>
            </w:r>
            <w:r w:rsidR="00B20F1E" w:rsidRPr="000D2717">
              <w:rPr>
                <w:rFonts w:eastAsia="Calibri"/>
                <w:color w:val="000000"/>
                <w:lang w:val="es-ES"/>
              </w:rPr>
              <w:t xml:space="preserve"> </w:t>
            </w:r>
            <w:r w:rsidR="00B20F1E">
              <w:rPr>
                <w:rFonts w:eastAsia="Calibri"/>
                <w:color w:val="000000"/>
                <w:lang w:val="es-ES"/>
              </w:rPr>
              <w:t>combinada</w:t>
            </w:r>
            <w:r w:rsidR="00B20F1E" w:rsidRPr="000D2717">
              <w:rPr>
                <w:rFonts w:eastAsia="Calibri"/>
                <w:color w:val="000000"/>
                <w:lang w:val="es-ES"/>
              </w:rPr>
              <w:t xml:space="preserve"> </w:t>
            </w:r>
            <w:r w:rsidR="00B20F1E">
              <w:rPr>
                <w:rFonts w:eastAsia="Calibri"/>
                <w:color w:val="000000"/>
                <w:lang w:val="es-ES"/>
              </w:rPr>
              <w:t>en relación con</w:t>
            </w:r>
            <w:r w:rsidR="00B20F1E" w:rsidRPr="000D2B15">
              <w:rPr>
                <w:rFonts w:eastAsia="Calibri"/>
                <w:color w:val="000000"/>
                <w:lang w:val="es-ES"/>
              </w:rPr>
              <w:t xml:space="preserve"> las presentaciones de la Parte A</w:t>
            </w:r>
            <w:r w:rsidR="00B20F1E" w:rsidRPr="000D2717">
              <w:rPr>
                <w:rFonts w:eastAsia="Calibri"/>
                <w:color w:val="000000"/>
                <w:lang w:val="es-ES"/>
              </w:rPr>
              <w:t xml:space="preserve"> recibidas antes de la </w:t>
            </w:r>
            <w:r w:rsidR="00B20F1E">
              <w:rPr>
                <w:rFonts w:eastAsia="Calibri"/>
                <w:color w:val="000000"/>
                <w:lang w:val="es-ES"/>
              </w:rPr>
              <w:t>notificación</w:t>
            </w:r>
            <w:r w:rsidR="00B20F1E" w:rsidRPr="000D2717">
              <w:rPr>
                <w:rFonts w:eastAsia="Calibri"/>
                <w:color w:val="000000"/>
                <w:lang w:val="es-ES"/>
              </w:rPr>
              <w:t xml:space="preserve"> a la Oficina de la adjudicación nacional solicitada de </w:t>
            </w:r>
            <w:r w:rsidR="00B20F1E">
              <w:rPr>
                <w:rFonts w:eastAsia="Calibri"/>
                <w:color w:val="000000"/>
                <w:lang w:val="es-ES"/>
              </w:rPr>
              <w:t xml:space="preserve">las </w:t>
            </w:r>
            <w:r w:rsidR="00B20F1E" w:rsidRPr="000D2717">
              <w:rPr>
                <w:rFonts w:eastAsia="Calibri"/>
                <w:color w:val="000000"/>
                <w:lang w:val="es-ES"/>
              </w:rPr>
              <w:t xml:space="preserve">redes de satélites de </w:t>
            </w:r>
            <w:r w:rsidR="00B20F1E">
              <w:rPr>
                <w:rFonts w:eastAsia="Calibri"/>
                <w:color w:val="000000"/>
                <w:lang w:val="es-ES"/>
              </w:rPr>
              <w:t>las</w:t>
            </w:r>
            <w:r w:rsidR="00B20F1E" w:rsidRPr="000D2717">
              <w:rPr>
                <w:rFonts w:eastAsia="Calibri"/>
                <w:color w:val="000000"/>
                <w:lang w:val="es-ES"/>
              </w:rPr>
              <w:t xml:space="preserve"> </w:t>
            </w:r>
            <w:r w:rsidR="00B20F1E">
              <w:rPr>
                <w:rFonts w:eastAsia="Calibri"/>
                <w:color w:val="000000"/>
                <w:lang w:val="es-ES"/>
              </w:rPr>
              <w:t>siete</w:t>
            </w:r>
            <w:r w:rsidR="00B20F1E" w:rsidRPr="000D2717">
              <w:rPr>
                <w:rFonts w:eastAsia="Calibri"/>
                <w:color w:val="000000"/>
                <w:lang w:val="es-ES"/>
              </w:rPr>
              <w:t xml:space="preserve"> administraciones</w:t>
            </w:r>
            <w:r w:rsidR="00B20F1E">
              <w:rPr>
                <w:rFonts w:eastAsia="Calibri"/>
                <w:color w:val="000000"/>
                <w:lang w:val="es-ES"/>
              </w:rPr>
              <w:t xml:space="preserve"> de que se trata</w:t>
            </w:r>
            <w:r w:rsidR="00B20F1E" w:rsidRPr="000D2717">
              <w:rPr>
                <w:rFonts w:eastAsia="Calibri"/>
                <w:color w:val="000000"/>
                <w:lang w:val="es-ES"/>
              </w:rPr>
              <w:t>.</w:t>
            </w:r>
          </w:p>
          <w:p w14:paraId="7BC82834" w14:textId="4E7619D3" w:rsidR="00B20F1E" w:rsidRPr="000D2717" w:rsidRDefault="00267359" w:rsidP="00267359">
            <w:pPr>
              <w:pStyle w:val="Tabletext"/>
              <w:ind w:left="284" w:hanging="284"/>
              <w:rPr>
                <w:rFonts w:eastAsia="Calibri"/>
                <w:lang w:val="es-ES"/>
              </w:rPr>
            </w:pPr>
            <w:r>
              <w:rPr>
                <w:rFonts w:eastAsia="Calibri"/>
                <w:lang w:val="es-ES"/>
              </w:rPr>
              <w:t>3</w:t>
            </w:r>
            <w:r>
              <w:rPr>
                <w:rFonts w:eastAsia="Calibri"/>
                <w:lang w:val="es-ES"/>
              </w:rPr>
              <w:tab/>
            </w:r>
            <w:r w:rsidR="00B20F1E" w:rsidRPr="00267359">
              <w:rPr>
                <w:rFonts w:eastAsia="Calibri"/>
                <w:b/>
                <w:bCs/>
                <w:lang w:val="es-ES"/>
              </w:rPr>
              <w:t>Apoyar</w:t>
            </w:r>
            <w:r w:rsidR="00B20F1E" w:rsidRPr="000D2717">
              <w:rPr>
                <w:rFonts w:eastAsia="Calibri"/>
                <w:lang w:val="es-ES"/>
              </w:rPr>
              <w:t xml:space="preserve"> el método E2 para facilitar la coordinación y protección de la nueva </w:t>
            </w:r>
            <w:r w:rsidR="00B20F1E">
              <w:rPr>
                <w:rFonts w:eastAsia="Calibri"/>
                <w:lang w:val="es-ES"/>
              </w:rPr>
              <w:t>adjudicación</w:t>
            </w:r>
            <w:r w:rsidR="00B20F1E" w:rsidRPr="000D2717">
              <w:rPr>
                <w:rFonts w:eastAsia="Calibri"/>
                <w:lang w:val="es-ES"/>
              </w:rPr>
              <w:t xml:space="preserve"> </w:t>
            </w:r>
            <w:r w:rsidR="00B20F1E">
              <w:rPr>
                <w:rFonts w:eastAsia="Calibri"/>
                <w:lang w:val="es-ES"/>
              </w:rPr>
              <w:t>en relación con</w:t>
            </w:r>
            <w:r w:rsidR="00B20F1E" w:rsidRPr="000D2717">
              <w:rPr>
                <w:rFonts w:eastAsia="Calibri"/>
                <w:lang w:val="es-ES"/>
              </w:rPr>
              <w:t xml:space="preserve"> los nuevos Estados </w:t>
            </w:r>
            <w:r w:rsidR="00B20F1E">
              <w:rPr>
                <w:rFonts w:eastAsia="Calibri"/>
                <w:lang w:val="es-ES"/>
              </w:rPr>
              <w:t>M</w:t>
            </w:r>
            <w:r w:rsidR="00B20F1E" w:rsidRPr="000D2717">
              <w:rPr>
                <w:rFonts w:eastAsia="Calibri"/>
                <w:lang w:val="es-ES"/>
              </w:rPr>
              <w:t>iembros de la UIT.</w:t>
            </w:r>
          </w:p>
          <w:p w14:paraId="48BB5BDC" w14:textId="77777777" w:rsidR="00B20F1E" w:rsidRPr="000D2717" w:rsidRDefault="00B20F1E" w:rsidP="00267359">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56BFE242" w14:textId="77777777" w:rsidR="00B20F1E" w:rsidRPr="00267359" w:rsidRDefault="00B20F1E" w:rsidP="00267359">
            <w:pPr>
              <w:pStyle w:val="Tabletext"/>
              <w:rPr>
                <w:rFonts w:eastAsia="Calibri"/>
                <w:b/>
                <w:bCs/>
                <w:color w:val="000000"/>
                <w:lang w:val="es-ES"/>
              </w:rPr>
            </w:pPr>
            <w:r w:rsidRPr="00267359">
              <w:rPr>
                <w:rFonts w:eastAsia="Calibri"/>
                <w:b/>
                <w:bCs/>
                <w:i/>
                <w:color w:val="000000"/>
                <w:lang w:val="es-ES"/>
              </w:rPr>
              <w:t>Solicitar a las administraciones de la UAT que:</w:t>
            </w:r>
          </w:p>
          <w:p w14:paraId="1A57E7EE" w14:textId="05DB913C" w:rsidR="00B20F1E" w:rsidRPr="000D2717" w:rsidRDefault="00267359" w:rsidP="00267359">
            <w:pPr>
              <w:pStyle w:val="Tabletext"/>
              <w:rPr>
                <w:rFonts w:eastAsia="Calibri"/>
                <w:lang w:val="es-ES"/>
              </w:rPr>
            </w:pPr>
            <w:r>
              <w:rPr>
                <w:rFonts w:eastAsia="Calibri"/>
                <w:lang w:val="es-ES"/>
              </w:rPr>
              <w:t>1</w:t>
            </w:r>
            <w:r>
              <w:rPr>
                <w:rFonts w:eastAsia="Calibri"/>
                <w:lang w:val="es-ES"/>
              </w:rPr>
              <w:tab/>
            </w:r>
            <w:r w:rsidR="00B20F1E" w:rsidRPr="00267359">
              <w:rPr>
                <w:rFonts w:eastAsia="Calibri"/>
                <w:b/>
                <w:bCs/>
                <w:lang w:val="es-ES"/>
              </w:rPr>
              <w:t>Apoyen</w:t>
            </w:r>
            <w:r w:rsidR="00B20F1E" w:rsidRPr="000D2717">
              <w:rPr>
                <w:rFonts w:eastAsia="Calibri"/>
                <w:lang w:val="es-ES"/>
              </w:rPr>
              <w:t xml:space="preserve"> la AFCP en </w:t>
            </w:r>
            <w:r w:rsidR="00B20F1E">
              <w:rPr>
                <w:rFonts w:eastAsia="Calibri"/>
                <w:lang w:val="es-ES"/>
              </w:rPr>
              <w:t xml:space="preserve">relación con </w:t>
            </w:r>
            <w:r w:rsidR="00B20F1E" w:rsidRPr="000D2717">
              <w:rPr>
                <w:rFonts w:eastAsia="Calibri"/>
                <w:lang w:val="es-ES"/>
              </w:rPr>
              <w:t>este tema</w:t>
            </w:r>
          </w:p>
          <w:p w14:paraId="396942CB" w14:textId="53B86743" w:rsidR="00B20F1E" w:rsidRPr="000D2717" w:rsidRDefault="00267359" w:rsidP="00267359">
            <w:pPr>
              <w:pStyle w:val="Tabletext"/>
              <w:ind w:left="284" w:hanging="284"/>
              <w:rPr>
                <w:rFonts w:eastAsia="Calibri"/>
                <w:i/>
                <w:lang w:val="es-ES"/>
              </w:rPr>
            </w:pPr>
            <w:r>
              <w:rPr>
                <w:rFonts w:eastAsia="Calibri"/>
                <w:lang w:val="es-ES"/>
              </w:rPr>
              <w:t>2</w:t>
            </w:r>
            <w:r>
              <w:rPr>
                <w:rFonts w:eastAsia="Calibri"/>
                <w:lang w:val="es-ES"/>
              </w:rPr>
              <w:tab/>
            </w:r>
            <w:r w:rsidR="00B20F1E" w:rsidRPr="00267359">
              <w:rPr>
                <w:rFonts w:eastAsia="Calibri"/>
                <w:b/>
                <w:bCs/>
                <w:lang w:val="es-ES"/>
              </w:rPr>
              <w:t>Considerar</w:t>
            </w:r>
            <w:r w:rsidR="00B20F1E" w:rsidRPr="000D2717">
              <w:rPr>
                <w:rFonts w:eastAsia="Calibri"/>
                <w:lang w:val="es-ES"/>
              </w:rPr>
              <w:t xml:space="preserve"> el método propuesto al preparar la contribución común en la</w:t>
            </w:r>
            <w:r w:rsidR="00DB1DF5">
              <w:rPr>
                <w:rFonts w:eastAsia="Calibri"/>
                <w:lang w:val="es-ES"/>
              </w:rPr>
              <w:t> </w:t>
            </w:r>
            <w:r w:rsidR="00B20F1E" w:rsidRPr="000D2717">
              <w:rPr>
                <w:rFonts w:eastAsia="Calibri"/>
                <w:lang w:val="es-ES"/>
              </w:rPr>
              <w:t>CMR-23.</w:t>
            </w:r>
          </w:p>
        </w:tc>
      </w:tr>
      <w:tr w:rsidR="00B20F1E" w:rsidRPr="00B707C8" w14:paraId="086AEF00" w14:textId="77777777" w:rsidTr="00DB48C6">
        <w:trPr>
          <w:jc w:val="center"/>
        </w:trPr>
        <w:tc>
          <w:tcPr>
            <w:tcW w:w="2547" w:type="dxa"/>
          </w:tcPr>
          <w:p w14:paraId="6CDA1646" w14:textId="77777777" w:rsidR="00B20F1E" w:rsidRPr="00267359" w:rsidRDefault="00B20F1E" w:rsidP="00267359">
            <w:pPr>
              <w:pStyle w:val="Tabletext"/>
              <w:rPr>
                <w:rFonts w:eastAsia="Calibri"/>
                <w:b/>
                <w:bCs/>
                <w:lang w:val="es-ES"/>
              </w:rPr>
            </w:pPr>
            <w:r w:rsidRPr="00267359">
              <w:rPr>
                <w:rFonts w:eastAsia="Calibri"/>
                <w:b/>
                <w:bCs/>
                <w:lang w:val="es-ES"/>
              </w:rPr>
              <w:t>Punto 7, Tema F</w:t>
            </w:r>
          </w:p>
          <w:p w14:paraId="059577AA" w14:textId="74D502B9" w:rsidR="00B20F1E" w:rsidRPr="000D2717" w:rsidRDefault="00B20F1E" w:rsidP="00267359">
            <w:pPr>
              <w:pStyle w:val="Tabletext"/>
              <w:rPr>
                <w:rFonts w:eastAsia="Calibri"/>
                <w:lang w:val="es-ES"/>
              </w:rPr>
            </w:pPr>
            <w:r>
              <w:rPr>
                <w:rFonts w:eastAsia="Calibri"/>
                <w:lang w:val="es-ES"/>
              </w:rPr>
              <w:t>R</w:t>
            </w:r>
            <w:r w:rsidRPr="000D2717">
              <w:rPr>
                <w:rFonts w:eastAsia="Calibri"/>
                <w:lang w:val="es-ES"/>
              </w:rPr>
              <w:t xml:space="preserve">epercusión de la exclusión </w:t>
            </w:r>
            <w:r>
              <w:rPr>
                <w:rFonts w:eastAsia="Calibri"/>
                <w:lang w:val="es-ES"/>
              </w:rPr>
              <w:t>de la zona</w:t>
            </w:r>
            <w:r w:rsidRPr="000D2717">
              <w:rPr>
                <w:rFonts w:eastAsia="Calibri"/>
                <w:lang w:val="es-ES"/>
              </w:rPr>
              <w:t xml:space="preserve"> servicio de enlace</w:t>
            </w:r>
            <w:r>
              <w:rPr>
                <w:rFonts w:eastAsia="Calibri"/>
                <w:lang w:val="es-ES"/>
              </w:rPr>
              <w:t>s</w:t>
            </w:r>
            <w:r w:rsidRPr="000D2717">
              <w:rPr>
                <w:rFonts w:eastAsia="Calibri"/>
                <w:lang w:val="es-ES"/>
              </w:rPr>
              <w:t xml:space="preserve"> de conexión</w:t>
            </w:r>
            <w:r>
              <w:rPr>
                <w:rFonts w:eastAsia="Calibri"/>
                <w:lang w:val="es-ES"/>
              </w:rPr>
              <w:t xml:space="preserve"> o </w:t>
            </w:r>
            <w:r w:rsidRPr="000D2717">
              <w:rPr>
                <w:rFonts w:eastAsia="Calibri"/>
                <w:lang w:val="es-ES"/>
              </w:rPr>
              <w:t>enlace</w:t>
            </w:r>
            <w:r>
              <w:rPr>
                <w:rFonts w:eastAsia="Calibri"/>
                <w:lang w:val="es-ES"/>
              </w:rPr>
              <w:t>s</w:t>
            </w:r>
            <w:r w:rsidRPr="000D2717">
              <w:rPr>
                <w:rFonts w:eastAsia="Calibri"/>
                <w:lang w:val="es-ES"/>
              </w:rPr>
              <w:t xml:space="preserve"> ascendente</w:t>
            </w:r>
            <w:r>
              <w:rPr>
                <w:rFonts w:eastAsia="Calibri"/>
                <w:lang w:val="es-ES"/>
              </w:rPr>
              <w:t>s</w:t>
            </w:r>
            <w:r w:rsidRPr="000D2717">
              <w:rPr>
                <w:rFonts w:eastAsia="Calibri"/>
                <w:lang w:val="es-ES"/>
              </w:rPr>
              <w:t xml:space="preserve"> y de las zonas de cobertura en bandas sujetas al Apéndice </w:t>
            </w:r>
            <w:r w:rsidRPr="00267359">
              <w:rPr>
                <w:rFonts w:eastAsia="Calibri"/>
                <w:b/>
                <w:bCs/>
                <w:lang w:val="es-ES"/>
              </w:rPr>
              <w:t>30A</w:t>
            </w:r>
            <w:r w:rsidRPr="000D2717">
              <w:rPr>
                <w:rFonts w:eastAsia="Calibri"/>
                <w:lang w:val="es-ES"/>
              </w:rPr>
              <w:t xml:space="preserve"> y al Apéndice </w:t>
            </w:r>
            <w:r w:rsidRPr="00267359">
              <w:rPr>
                <w:rFonts w:eastAsia="Calibri"/>
                <w:b/>
                <w:bCs/>
                <w:lang w:val="es-ES"/>
              </w:rPr>
              <w:t>30B</w:t>
            </w:r>
            <w:r w:rsidRPr="000D2717">
              <w:rPr>
                <w:rFonts w:eastAsia="Calibri"/>
                <w:lang w:val="es-ES"/>
              </w:rPr>
              <w:t xml:space="preserve"> del</w:t>
            </w:r>
            <w:r w:rsidR="00267359">
              <w:rPr>
                <w:rFonts w:eastAsia="Calibri"/>
                <w:lang w:val="es-ES"/>
              </w:rPr>
              <w:t> </w:t>
            </w:r>
            <w:r w:rsidRPr="000D2717">
              <w:rPr>
                <w:rFonts w:eastAsia="Calibri"/>
                <w:lang w:val="es-ES"/>
              </w:rPr>
              <w:t>RR</w:t>
            </w:r>
            <w:r>
              <w:rPr>
                <w:rFonts w:eastAsia="Calibri"/>
                <w:lang w:val="es-ES"/>
              </w:rPr>
              <w:t>.</w:t>
            </w:r>
          </w:p>
        </w:tc>
        <w:tc>
          <w:tcPr>
            <w:tcW w:w="6718" w:type="dxa"/>
          </w:tcPr>
          <w:p w14:paraId="521C6E87" w14:textId="77777777" w:rsidR="00B20F1E" w:rsidRPr="000D2717" w:rsidRDefault="00B20F1E" w:rsidP="00267359">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27C90C9B" w14:textId="77777777" w:rsidR="00B20F1E" w:rsidRPr="000D2717" w:rsidRDefault="00B20F1E" w:rsidP="00267359">
            <w:pPr>
              <w:pStyle w:val="Tabletext"/>
              <w:rPr>
                <w:lang w:val="es-ES"/>
              </w:rPr>
            </w:pPr>
            <w:r w:rsidRPr="000D2717">
              <w:rPr>
                <w:lang w:val="es-ES"/>
              </w:rPr>
              <w:t xml:space="preserve">Como se indica en el </w:t>
            </w:r>
            <w:r>
              <w:rPr>
                <w:lang w:val="es-ES"/>
              </w:rPr>
              <w:t>r</w:t>
            </w:r>
            <w:r w:rsidRPr="000D2717">
              <w:rPr>
                <w:lang w:val="es-ES"/>
              </w:rPr>
              <w:t xml:space="preserve">esumen ejecutivo del Informe de la RPC23, </w:t>
            </w:r>
            <w:r>
              <w:rPr>
                <w:lang w:val="es-ES"/>
              </w:rPr>
              <w:t>salvo</w:t>
            </w:r>
            <w:r w:rsidRPr="000D2717">
              <w:rPr>
                <w:lang w:val="es-ES"/>
              </w:rPr>
              <w:t xml:space="preserve"> el Método F1</w:t>
            </w:r>
            <w:r>
              <w:rPr>
                <w:lang w:val="es-ES"/>
              </w:rPr>
              <w:t>, en virtud del cual se</w:t>
            </w:r>
            <w:r w:rsidRPr="000D2717">
              <w:rPr>
                <w:lang w:val="es-ES"/>
              </w:rPr>
              <w:t xml:space="preserve"> propone </w:t>
            </w:r>
            <w:r>
              <w:rPr>
                <w:lang w:val="es-ES"/>
              </w:rPr>
              <w:t>no modificar e</w:t>
            </w:r>
            <w:r w:rsidRPr="000D2717">
              <w:rPr>
                <w:lang w:val="es-ES"/>
              </w:rPr>
              <w:t xml:space="preserve">l Reglamento de Radiocomunicaciones, los demás </w:t>
            </w:r>
            <w:r>
              <w:rPr>
                <w:lang w:val="es-ES"/>
              </w:rPr>
              <w:t>m</w:t>
            </w:r>
            <w:r w:rsidRPr="000D2717">
              <w:rPr>
                <w:lang w:val="es-ES"/>
              </w:rPr>
              <w:t>étodos</w:t>
            </w:r>
            <w:r>
              <w:rPr>
                <w:lang w:val="es-ES"/>
              </w:rPr>
              <w:t>, a saber,</w:t>
            </w:r>
            <w:r w:rsidRPr="000D2717">
              <w:rPr>
                <w:lang w:val="es-ES"/>
              </w:rPr>
              <w:t xml:space="preserve"> F2, F3 y F4</w:t>
            </w:r>
            <w:r>
              <w:rPr>
                <w:lang w:val="es-ES"/>
              </w:rPr>
              <w:t>,</w:t>
            </w:r>
            <w:r w:rsidRPr="000D2717">
              <w:rPr>
                <w:lang w:val="es-ES"/>
              </w:rPr>
              <w:t xml:space="preserve"> proponen añadir una nueva disposición al Artículo </w:t>
            </w:r>
            <w:r w:rsidRPr="00267359">
              <w:rPr>
                <w:b/>
                <w:bCs/>
                <w:lang w:val="es-ES"/>
              </w:rPr>
              <w:t>4</w:t>
            </w:r>
            <w:r w:rsidRPr="000D2717">
              <w:rPr>
                <w:lang w:val="es-ES"/>
              </w:rPr>
              <w:t xml:space="preserve"> del Apéndice </w:t>
            </w:r>
            <w:r w:rsidRPr="00267359">
              <w:rPr>
                <w:b/>
                <w:lang w:val="es-ES"/>
              </w:rPr>
              <w:t>30A</w:t>
            </w:r>
            <w:r w:rsidRPr="000D2717">
              <w:rPr>
                <w:bCs/>
                <w:lang w:val="es-ES"/>
              </w:rPr>
              <w:t xml:space="preserve"> </w:t>
            </w:r>
            <w:r w:rsidRPr="000D2717">
              <w:rPr>
                <w:lang w:val="es-ES"/>
              </w:rPr>
              <w:t xml:space="preserve">del RR </w:t>
            </w:r>
            <w:r>
              <w:rPr>
                <w:lang w:val="es-ES"/>
              </w:rPr>
              <w:t>a fin de</w:t>
            </w:r>
            <w:r w:rsidRPr="000D2717">
              <w:rPr>
                <w:lang w:val="es-ES"/>
              </w:rPr>
              <w:t xml:space="preserve"> </w:t>
            </w:r>
            <w:r>
              <w:rPr>
                <w:lang w:val="es-ES"/>
              </w:rPr>
              <w:t>autorizar</w:t>
            </w:r>
            <w:r w:rsidRPr="000D2717">
              <w:rPr>
                <w:lang w:val="es-ES"/>
              </w:rPr>
              <w:t xml:space="preserve"> </w:t>
            </w:r>
            <w:r>
              <w:rPr>
                <w:lang w:val="es-ES"/>
              </w:rPr>
              <w:t>a</w:t>
            </w:r>
            <w:r w:rsidRPr="000D2717">
              <w:rPr>
                <w:lang w:val="es-ES"/>
              </w:rPr>
              <w:t xml:space="preserve"> una administración </w:t>
            </w:r>
            <w:r>
              <w:rPr>
                <w:lang w:val="es-ES"/>
              </w:rPr>
              <w:t xml:space="preserve">que </w:t>
            </w:r>
            <w:r w:rsidRPr="000D2717">
              <w:rPr>
                <w:lang w:val="es-ES"/>
              </w:rPr>
              <w:t xml:space="preserve">solicite en </w:t>
            </w:r>
            <w:r>
              <w:rPr>
                <w:lang w:val="es-ES"/>
              </w:rPr>
              <w:t>todo</w:t>
            </w:r>
            <w:r w:rsidRPr="000D2717">
              <w:rPr>
                <w:lang w:val="es-ES"/>
              </w:rPr>
              <w:t xml:space="preserve"> momento la exclusión de su territorio de la zona de servicio de </w:t>
            </w:r>
            <w:r>
              <w:rPr>
                <w:lang w:val="es-ES"/>
              </w:rPr>
              <w:t xml:space="preserve">los </w:t>
            </w:r>
            <w:r w:rsidRPr="000D2717">
              <w:rPr>
                <w:lang w:val="es-ES"/>
              </w:rPr>
              <w:t>enlace</w:t>
            </w:r>
            <w:r>
              <w:rPr>
                <w:lang w:val="es-ES"/>
              </w:rPr>
              <w:t>s</w:t>
            </w:r>
            <w:r w:rsidRPr="000D2717">
              <w:rPr>
                <w:lang w:val="es-ES"/>
              </w:rPr>
              <w:t xml:space="preserve"> de conexión de una red de satélite de otras administraciones. </w:t>
            </w:r>
            <w:r>
              <w:rPr>
                <w:lang w:val="es-ES"/>
              </w:rPr>
              <w:t>En consecuencia</w:t>
            </w:r>
            <w:r w:rsidRPr="000D2717">
              <w:rPr>
                <w:lang w:val="es-ES"/>
              </w:rPr>
              <w:t>, se entiende que existe consenso sobre esta nueva disposición.</w:t>
            </w:r>
          </w:p>
          <w:p w14:paraId="66F56ECC" w14:textId="77777777" w:rsidR="00B20F1E" w:rsidRPr="000D2717" w:rsidRDefault="00B20F1E" w:rsidP="00267359">
            <w:pPr>
              <w:pStyle w:val="Tabletext"/>
              <w:rPr>
                <w:lang w:val="es-ES"/>
              </w:rPr>
            </w:pPr>
            <w:r w:rsidRPr="000D2717">
              <w:rPr>
                <w:lang w:val="es-ES"/>
              </w:rPr>
              <w:t xml:space="preserve">Durante </w:t>
            </w:r>
            <w:r>
              <w:rPr>
                <w:lang w:val="es-ES"/>
              </w:rPr>
              <w:t>los debates</w:t>
            </w:r>
            <w:r w:rsidRPr="000D2717">
              <w:rPr>
                <w:lang w:val="es-ES"/>
              </w:rPr>
              <w:t xml:space="preserve"> del Grupo de Trabajo 4A del UIT-R, también hubo un</w:t>
            </w:r>
            <w:r>
              <w:rPr>
                <w:lang w:val="es-ES"/>
              </w:rPr>
              <w:t xml:space="preserve"> acuerdo </w:t>
            </w:r>
            <w:r w:rsidRPr="000D2717">
              <w:rPr>
                <w:lang w:val="es-ES"/>
              </w:rPr>
              <w:t xml:space="preserve">general </w:t>
            </w:r>
            <w:r>
              <w:rPr>
                <w:lang w:val="es-ES"/>
              </w:rPr>
              <w:t xml:space="preserve">sobre la introducción </w:t>
            </w:r>
            <w:r w:rsidRPr="000D2717">
              <w:rPr>
                <w:lang w:val="es-ES"/>
              </w:rPr>
              <w:t xml:space="preserve">en </w:t>
            </w:r>
            <w:r>
              <w:rPr>
                <w:lang w:val="es-ES"/>
              </w:rPr>
              <w:t>los</w:t>
            </w:r>
            <w:r w:rsidRPr="000D2717">
              <w:rPr>
                <w:lang w:val="es-ES"/>
              </w:rPr>
              <w:t xml:space="preserve"> Apéndice</w:t>
            </w:r>
            <w:r>
              <w:rPr>
                <w:lang w:val="es-ES"/>
              </w:rPr>
              <w:t>s</w:t>
            </w:r>
            <w:r w:rsidRPr="000D2717">
              <w:rPr>
                <w:lang w:val="es-ES"/>
              </w:rPr>
              <w:t xml:space="preserve"> </w:t>
            </w:r>
            <w:r w:rsidRPr="00267359">
              <w:rPr>
                <w:b/>
                <w:lang w:val="es-ES"/>
              </w:rPr>
              <w:t>30A</w:t>
            </w:r>
            <w:r w:rsidRPr="000D2717">
              <w:rPr>
                <w:bCs/>
                <w:lang w:val="es-ES"/>
              </w:rPr>
              <w:t xml:space="preserve"> </w:t>
            </w:r>
            <w:r w:rsidRPr="000D2717">
              <w:rPr>
                <w:lang w:val="es-ES"/>
              </w:rPr>
              <w:t xml:space="preserve">y </w:t>
            </w:r>
            <w:r w:rsidRPr="00267359">
              <w:rPr>
                <w:b/>
                <w:lang w:val="es-ES"/>
              </w:rPr>
              <w:t>30B</w:t>
            </w:r>
            <w:r>
              <w:rPr>
                <w:lang w:val="es-ES"/>
              </w:rPr>
              <w:t xml:space="preserve"> de</w:t>
            </w:r>
            <w:r w:rsidRPr="000D2717">
              <w:rPr>
                <w:lang w:val="es-ES"/>
              </w:rPr>
              <w:t xml:space="preserve"> una definición de zona de cobertura </w:t>
            </w:r>
            <w:r>
              <w:rPr>
                <w:lang w:val="es-ES"/>
              </w:rPr>
              <w:t>de</w:t>
            </w:r>
            <w:r w:rsidRPr="000D2717">
              <w:rPr>
                <w:lang w:val="es-ES"/>
              </w:rPr>
              <w:t xml:space="preserve"> enlace</w:t>
            </w:r>
            <w:r>
              <w:rPr>
                <w:lang w:val="es-ES"/>
              </w:rPr>
              <w:t>s</w:t>
            </w:r>
            <w:r w:rsidRPr="000D2717">
              <w:rPr>
                <w:lang w:val="es-ES"/>
              </w:rPr>
              <w:t xml:space="preserve"> de conexión</w:t>
            </w:r>
            <w:r>
              <w:rPr>
                <w:lang w:val="es-ES"/>
              </w:rPr>
              <w:t xml:space="preserve"> y de </w:t>
            </w:r>
            <w:r w:rsidRPr="000D2717">
              <w:rPr>
                <w:lang w:val="es-ES"/>
              </w:rPr>
              <w:t>enlace</w:t>
            </w:r>
            <w:r>
              <w:rPr>
                <w:lang w:val="es-ES"/>
              </w:rPr>
              <w:t>s</w:t>
            </w:r>
            <w:r w:rsidRPr="000D2717">
              <w:rPr>
                <w:lang w:val="es-ES"/>
              </w:rPr>
              <w:t xml:space="preserve"> ascendente</w:t>
            </w:r>
            <w:r>
              <w:rPr>
                <w:lang w:val="es-ES"/>
              </w:rPr>
              <w:t>s</w:t>
            </w:r>
            <w:r w:rsidRPr="000D2717">
              <w:rPr>
                <w:lang w:val="es-ES"/>
              </w:rPr>
              <w:t>.</w:t>
            </w:r>
          </w:p>
          <w:p w14:paraId="70A875CD" w14:textId="77777777" w:rsidR="00B20F1E" w:rsidRPr="000D2717" w:rsidRDefault="00B20F1E" w:rsidP="00267359">
            <w:pPr>
              <w:pStyle w:val="Tabletext"/>
              <w:rPr>
                <w:lang w:val="es-ES"/>
              </w:rPr>
            </w:pPr>
            <w:r w:rsidRPr="000D2717">
              <w:rPr>
                <w:lang w:val="es-ES"/>
              </w:rPr>
              <w:t xml:space="preserve">El método F3 propone </w:t>
            </w:r>
            <w:r>
              <w:rPr>
                <w:lang w:val="es-ES"/>
              </w:rPr>
              <w:t>autorizar</w:t>
            </w:r>
            <w:r w:rsidRPr="000D2717">
              <w:rPr>
                <w:lang w:val="es-ES"/>
              </w:rPr>
              <w:t xml:space="preserve"> a las administraciones </w:t>
            </w:r>
            <w:r>
              <w:rPr>
                <w:lang w:val="es-ES"/>
              </w:rPr>
              <w:t>a reubicar</w:t>
            </w:r>
            <w:r w:rsidRPr="000D2717">
              <w:rPr>
                <w:lang w:val="es-ES"/>
              </w:rPr>
              <w:t xml:space="preserve"> los puntos de prueba de enlace</w:t>
            </w:r>
            <w:r>
              <w:rPr>
                <w:lang w:val="es-ES"/>
              </w:rPr>
              <w:t>s</w:t>
            </w:r>
            <w:r w:rsidRPr="000D2717">
              <w:rPr>
                <w:lang w:val="es-ES"/>
              </w:rPr>
              <w:t xml:space="preserve"> de conexión</w:t>
            </w:r>
            <w:r>
              <w:rPr>
                <w:lang w:val="es-ES"/>
              </w:rPr>
              <w:t xml:space="preserve"> y </w:t>
            </w:r>
            <w:r w:rsidRPr="000D2717">
              <w:rPr>
                <w:lang w:val="es-ES"/>
              </w:rPr>
              <w:t>enlace</w:t>
            </w:r>
            <w:r>
              <w:rPr>
                <w:lang w:val="es-ES"/>
              </w:rPr>
              <w:t>s</w:t>
            </w:r>
            <w:r w:rsidRPr="000D2717">
              <w:rPr>
                <w:lang w:val="es-ES"/>
              </w:rPr>
              <w:t xml:space="preserve"> ascendente</w:t>
            </w:r>
            <w:r>
              <w:rPr>
                <w:lang w:val="es-ES"/>
              </w:rPr>
              <w:t>s</w:t>
            </w:r>
            <w:r w:rsidRPr="000D2717">
              <w:rPr>
                <w:lang w:val="es-ES"/>
              </w:rPr>
              <w:t xml:space="preserve"> siempre </w:t>
            </w:r>
            <w:r>
              <w:rPr>
                <w:lang w:val="es-ES"/>
              </w:rPr>
              <w:t>y cuando esa</w:t>
            </w:r>
            <w:r w:rsidRPr="000D2717">
              <w:rPr>
                <w:lang w:val="es-ES"/>
              </w:rPr>
              <w:t xml:space="preserve"> reubicación no </w:t>
            </w:r>
            <w:r>
              <w:rPr>
                <w:lang w:val="es-ES"/>
              </w:rPr>
              <w:t>aumente la interferencia</w:t>
            </w:r>
            <w:r w:rsidRPr="000D2717">
              <w:rPr>
                <w:lang w:val="es-ES"/>
              </w:rPr>
              <w:t xml:space="preserve">. Eso se considera razonable </w:t>
            </w:r>
            <w:r>
              <w:rPr>
                <w:lang w:val="es-ES"/>
              </w:rPr>
              <w:t>si se tiene</w:t>
            </w:r>
            <w:r w:rsidRPr="000D2717">
              <w:rPr>
                <w:lang w:val="es-ES"/>
              </w:rPr>
              <w:t xml:space="preserve"> en cuenta que existe la misma </w:t>
            </w:r>
            <w:r>
              <w:rPr>
                <w:lang w:val="es-ES"/>
              </w:rPr>
              <w:t>probabilidad al respecto</w:t>
            </w:r>
            <w:r w:rsidRPr="000D2717">
              <w:rPr>
                <w:lang w:val="es-ES"/>
              </w:rPr>
              <w:t xml:space="preserve"> en </w:t>
            </w:r>
            <w:r>
              <w:rPr>
                <w:lang w:val="es-ES"/>
              </w:rPr>
              <w:t xml:space="preserve">relación con los </w:t>
            </w:r>
            <w:r w:rsidRPr="000D2717">
              <w:rPr>
                <w:lang w:val="es-ES"/>
              </w:rPr>
              <w:t>enlace</w:t>
            </w:r>
            <w:r>
              <w:rPr>
                <w:lang w:val="es-ES"/>
              </w:rPr>
              <w:t>s</w:t>
            </w:r>
            <w:r w:rsidRPr="000D2717">
              <w:rPr>
                <w:lang w:val="es-ES"/>
              </w:rPr>
              <w:t xml:space="preserve"> descendente</w:t>
            </w:r>
            <w:r>
              <w:rPr>
                <w:lang w:val="es-ES"/>
              </w:rPr>
              <w:t>s</w:t>
            </w:r>
            <w:r w:rsidRPr="000D2717">
              <w:rPr>
                <w:lang w:val="es-ES"/>
              </w:rPr>
              <w:t xml:space="preserve"> </w:t>
            </w:r>
            <w:r>
              <w:rPr>
                <w:lang w:val="es-ES"/>
              </w:rPr>
              <w:t>que figuran en los</w:t>
            </w:r>
            <w:r w:rsidRPr="000D2717">
              <w:rPr>
                <w:lang w:val="es-ES"/>
              </w:rPr>
              <w:t xml:space="preserve"> Apéndice</w:t>
            </w:r>
            <w:r>
              <w:rPr>
                <w:lang w:val="es-ES"/>
              </w:rPr>
              <w:t>s</w:t>
            </w:r>
            <w:r w:rsidRPr="000D2717">
              <w:rPr>
                <w:lang w:val="es-ES"/>
              </w:rPr>
              <w:t xml:space="preserve"> </w:t>
            </w:r>
            <w:r w:rsidRPr="00267359">
              <w:rPr>
                <w:b/>
                <w:lang w:val="es-ES"/>
              </w:rPr>
              <w:t>30</w:t>
            </w:r>
            <w:r w:rsidRPr="000D2717">
              <w:rPr>
                <w:bCs/>
                <w:lang w:val="es-ES"/>
              </w:rPr>
              <w:t xml:space="preserve"> </w:t>
            </w:r>
            <w:r w:rsidRPr="000D2717">
              <w:rPr>
                <w:lang w:val="es-ES"/>
              </w:rPr>
              <w:t xml:space="preserve">y </w:t>
            </w:r>
            <w:r w:rsidRPr="00267359">
              <w:rPr>
                <w:b/>
                <w:lang w:val="es-ES"/>
              </w:rPr>
              <w:t>30B</w:t>
            </w:r>
            <w:r w:rsidRPr="000D2717">
              <w:rPr>
                <w:lang w:val="es-ES"/>
              </w:rPr>
              <w:t>.</w:t>
            </w:r>
          </w:p>
          <w:p w14:paraId="09BC36AE" w14:textId="77777777" w:rsidR="00B20F1E" w:rsidRPr="000D2717" w:rsidRDefault="00B20F1E" w:rsidP="00267359">
            <w:pPr>
              <w:pStyle w:val="Tabletext"/>
              <w:rPr>
                <w:lang w:val="es-ES"/>
              </w:rPr>
            </w:pPr>
            <w:r>
              <w:rPr>
                <w:lang w:val="es-ES"/>
              </w:rPr>
              <w:t>A la luz</w:t>
            </w:r>
            <w:r w:rsidRPr="000D2717">
              <w:rPr>
                <w:lang w:val="es-ES"/>
              </w:rPr>
              <w:t xml:space="preserve"> de lo anterior y con el fin de abordar </w:t>
            </w:r>
            <w:r>
              <w:rPr>
                <w:lang w:val="es-ES"/>
              </w:rPr>
              <w:t>las diferencias que sigue habiendo</w:t>
            </w:r>
            <w:r w:rsidRPr="000D2717">
              <w:rPr>
                <w:lang w:val="es-ES"/>
              </w:rPr>
              <w:t xml:space="preserve"> entre </w:t>
            </w:r>
            <w:r>
              <w:rPr>
                <w:lang w:val="es-ES"/>
              </w:rPr>
              <w:t>los</w:t>
            </w:r>
            <w:r w:rsidRPr="000D2717">
              <w:rPr>
                <w:lang w:val="es-ES"/>
              </w:rPr>
              <w:t xml:space="preserve"> Método</w:t>
            </w:r>
            <w:r>
              <w:rPr>
                <w:lang w:val="es-ES"/>
              </w:rPr>
              <w:t>s</w:t>
            </w:r>
            <w:r w:rsidRPr="000D2717">
              <w:rPr>
                <w:lang w:val="es-ES"/>
              </w:rPr>
              <w:t xml:space="preserve"> F2 y</w:t>
            </w:r>
            <w:r>
              <w:rPr>
                <w:lang w:val="es-ES"/>
              </w:rPr>
              <w:t xml:space="preserve"> </w:t>
            </w:r>
            <w:r w:rsidRPr="000D2717">
              <w:rPr>
                <w:lang w:val="es-ES"/>
              </w:rPr>
              <w:t xml:space="preserve">F3 </w:t>
            </w:r>
            <w:r>
              <w:rPr>
                <w:lang w:val="es-ES"/>
              </w:rPr>
              <w:t>en materia de</w:t>
            </w:r>
            <w:r w:rsidRPr="000D2717">
              <w:rPr>
                <w:lang w:val="es-ES"/>
              </w:rPr>
              <w:t xml:space="preserve"> aceptación de interferencia, se propone considerar el Método F4, </w:t>
            </w:r>
            <w:r>
              <w:rPr>
                <w:lang w:val="es-ES"/>
              </w:rPr>
              <w:t>de forma específica</w:t>
            </w:r>
            <w:r w:rsidRPr="000D2717">
              <w:rPr>
                <w:lang w:val="es-ES"/>
              </w:rPr>
              <w:t xml:space="preserve">, </w:t>
            </w:r>
            <w:r>
              <w:rPr>
                <w:lang w:val="es-ES"/>
              </w:rPr>
              <w:t xml:space="preserve">en cuanto a </w:t>
            </w:r>
            <w:r w:rsidRPr="000D2717">
              <w:rPr>
                <w:lang w:val="es-ES"/>
              </w:rPr>
              <w:t xml:space="preserve">la modificación propuesta de la Sección 4 del Anexo 1 del Apéndice </w:t>
            </w:r>
            <w:r w:rsidRPr="00267359">
              <w:rPr>
                <w:b/>
                <w:lang w:val="es-ES"/>
              </w:rPr>
              <w:t>30A</w:t>
            </w:r>
            <w:r w:rsidRPr="000D2717">
              <w:rPr>
                <w:bCs/>
                <w:lang w:val="es-ES"/>
              </w:rPr>
              <w:t xml:space="preserve"> </w:t>
            </w:r>
            <w:r w:rsidRPr="000D2717">
              <w:rPr>
                <w:lang w:val="es-ES"/>
              </w:rPr>
              <w:t>del Método F4</w:t>
            </w:r>
            <w:r>
              <w:rPr>
                <w:lang w:val="es-ES"/>
              </w:rPr>
              <w:t>,</w:t>
            </w:r>
            <w:r w:rsidRPr="000D2717">
              <w:rPr>
                <w:lang w:val="es-ES"/>
              </w:rPr>
              <w:t xml:space="preserve"> </w:t>
            </w:r>
            <w:r>
              <w:rPr>
                <w:lang w:val="es-ES"/>
              </w:rPr>
              <w:t>según se especifica a continuación, de aplicación</w:t>
            </w:r>
            <w:r w:rsidRPr="000D2717">
              <w:rPr>
                <w:lang w:val="es-ES"/>
              </w:rPr>
              <w:t xml:space="preserve"> tanto al Apéndice </w:t>
            </w:r>
            <w:r w:rsidRPr="00267359">
              <w:rPr>
                <w:b/>
                <w:lang w:val="es-ES"/>
              </w:rPr>
              <w:t>30A</w:t>
            </w:r>
            <w:r w:rsidRPr="000D2717">
              <w:rPr>
                <w:bCs/>
                <w:lang w:val="es-ES"/>
              </w:rPr>
              <w:t xml:space="preserve"> </w:t>
            </w:r>
            <w:r w:rsidRPr="000D2717">
              <w:rPr>
                <w:lang w:val="es-ES"/>
              </w:rPr>
              <w:t xml:space="preserve">como al Apéndice </w:t>
            </w:r>
            <w:r w:rsidRPr="00267359">
              <w:rPr>
                <w:b/>
                <w:lang w:val="es-ES"/>
              </w:rPr>
              <w:t>30B</w:t>
            </w:r>
            <w:r w:rsidRPr="000D2717">
              <w:rPr>
                <w:lang w:val="es-ES"/>
              </w:rPr>
              <w:t>.</w:t>
            </w:r>
          </w:p>
          <w:p w14:paraId="148A78C5" w14:textId="77777777" w:rsidR="00B20F1E" w:rsidRPr="000D2717" w:rsidRDefault="00B20F1E" w:rsidP="00267359">
            <w:pPr>
              <w:pStyle w:val="Tabletext"/>
              <w:ind w:left="284" w:hanging="284"/>
              <w:rPr>
                <w:lang w:val="es-ES"/>
              </w:rPr>
            </w:pPr>
            <w:r w:rsidRPr="000D2717">
              <w:rPr>
                <w:lang w:val="es-ES"/>
              </w:rPr>
              <w:t>a)</w:t>
            </w:r>
            <w:r w:rsidRPr="000D2717">
              <w:rPr>
                <w:lang w:val="es-ES"/>
              </w:rPr>
              <w:tab/>
              <w:t>Una red sujeta a</w:t>
            </w:r>
            <w:r>
              <w:rPr>
                <w:lang w:val="es-ES"/>
              </w:rPr>
              <w:t xml:space="preserve"> lo establecido con arreglo a</w:t>
            </w:r>
            <w:r w:rsidRPr="000D2717">
              <w:rPr>
                <w:lang w:val="es-ES"/>
              </w:rPr>
              <w:t>l Tema F se identificará de la siguiente manera:</w:t>
            </w:r>
          </w:p>
          <w:p w14:paraId="1F47E2F4" w14:textId="010AA9D4" w:rsidR="00B20F1E" w:rsidRPr="000D2717" w:rsidRDefault="00267359" w:rsidP="00DB1DF5">
            <w:pPr>
              <w:pStyle w:val="Tabletext"/>
              <w:ind w:left="567" w:hanging="567"/>
              <w:rPr>
                <w:lang w:val="es-ES"/>
              </w:rPr>
            </w:pPr>
            <w:r>
              <w:rPr>
                <w:lang w:val="es-ES"/>
              </w:rPr>
              <w:tab/>
            </w:r>
            <w:r w:rsidR="00B20F1E" w:rsidRPr="000D2717">
              <w:rPr>
                <w:lang w:val="es-ES"/>
              </w:rPr>
              <w:t>1</w:t>
            </w:r>
            <w:r w:rsidR="00B20F1E" w:rsidRPr="000D2717">
              <w:rPr>
                <w:lang w:val="es-ES"/>
              </w:rPr>
              <w:tab/>
              <w:t>Su zona de servicio se limitará al territorio nacional en caso de que la administración notificante actúe en nombre propio</w:t>
            </w:r>
            <w:r w:rsidR="00B20F1E">
              <w:rPr>
                <w:lang w:val="es-ES"/>
              </w:rPr>
              <w:t>,</w:t>
            </w:r>
            <w:r w:rsidR="00B20F1E" w:rsidRPr="000D2717">
              <w:rPr>
                <w:lang w:val="es-ES"/>
              </w:rPr>
              <w:t xml:space="preserve"> o </w:t>
            </w:r>
            <w:r w:rsidR="00B20F1E">
              <w:rPr>
                <w:lang w:val="es-ES"/>
              </w:rPr>
              <w:t>al</w:t>
            </w:r>
            <w:r w:rsidR="00B20F1E" w:rsidRPr="000D2717">
              <w:rPr>
                <w:lang w:val="es-ES"/>
              </w:rPr>
              <w:t xml:space="preserve"> territorio nacional de las administraciones participantes en dicha red;</w:t>
            </w:r>
          </w:p>
          <w:p w14:paraId="23DA65C3" w14:textId="756E3950" w:rsidR="00B20F1E" w:rsidRPr="000D2717" w:rsidRDefault="00267359" w:rsidP="00DB1DF5">
            <w:pPr>
              <w:pStyle w:val="Tabletext"/>
              <w:ind w:left="567" w:hanging="567"/>
              <w:rPr>
                <w:lang w:val="es-ES"/>
              </w:rPr>
            </w:pPr>
            <w:r>
              <w:rPr>
                <w:lang w:val="es-ES"/>
              </w:rPr>
              <w:tab/>
            </w:r>
            <w:r w:rsidR="00B20F1E" w:rsidRPr="000D2717">
              <w:rPr>
                <w:lang w:val="es-ES"/>
              </w:rPr>
              <w:t>2</w:t>
            </w:r>
            <w:r>
              <w:rPr>
                <w:lang w:val="es-ES"/>
              </w:rPr>
              <w:tab/>
            </w:r>
            <w:r w:rsidR="00B20F1E">
              <w:rPr>
                <w:lang w:val="es-ES"/>
              </w:rPr>
              <w:t>L</w:t>
            </w:r>
            <w:r w:rsidR="00B20F1E" w:rsidRPr="00766EC7">
              <w:rPr>
                <w:lang w:val="es-ES"/>
              </w:rPr>
              <w:t>a zona de cobertura será la superficie más pequeña que abarque la zona de servicio</w:t>
            </w:r>
            <w:r w:rsidR="00B20F1E" w:rsidRPr="000D2717">
              <w:rPr>
                <w:lang w:val="es-ES"/>
              </w:rPr>
              <w:t>;</w:t>
            </w:r>
          </w:p>
          <w:p w14:paraId="0C7EA962" w14:textId="404ACFA0" w:rsidR="00B20F1E" w:rsidRPr="000D2717" w:rsidRDefault="00267359" w:rsidP="00DB1DF5">
            <w:pPr>
              <w:pStyle w:val="Tabletext"/>
              <w:ind w:left="567" w:hanging="567"/>
              <w:rPr>
                <w:lang w:val="es-ES"/>
              </w:rPr>
            </w:pPr>
            <w:r>
              <w:rPr>
                <w:lang w:val="es-ES"/>
              </w:rPr>
              <w:tab/>
            </w:r>
            <w:r w:rsidR="00B20F1E" w:rsidRPr="000D2717">
              <w:rPr>
                <w:lang w:val="es-ES"/>
              </w:rPr>
              <w:t>3</w:t>
            </w:r>
            <w:r w:rsidR="00B20F1E" w:rsidRPr="000D2717">
              <w:rPr>
                <w:lang w:val="es-ES"/>
              </w:rPr>
              <w:tab/>
              <w:t xml:space="preserve">La administración notificante solicitará explícitamente a la Oficina que </w:t>
            </w:r>
            <w:r w:rsidR="00B20F1E">
              <w:rPr>
                <w:lang w:val="es-ES"/>
              </w:rPr>
              <w:t>considere que</w:t>
            </w:r>
            <w:r w:rsidR="00B20F1E" w:rsidRPr="000D2717">
              <w:rPr>
                <w:lang w:val="es-ES"/>
              </w:rPr>
              <w:t xml:space="preserve"> la </w:t>
            </w:r>
            <w:r w:rsidR="00B20F1E">
              <w:rPr>
                <w:lang w:val="es-ES"/>
              </w:rPr>
              <w:t xml:space="preserve">notificación está </w:t>
            </w:r>
            <w:r w:rsidR="00B20F1E" w:rsidRPr="000D2717">
              <w:rPr>
                <w:lang w:val="es-ES"/>
              </w:rPr>
              <w:t xml:space="preserve">sujeta al </w:t>
            </w:r>
            <w:r w:rsidR="00B20F1E">
              <w:rPr>
                <w:lang w:val="es-ES"/>
              </w:rPr>
              <w:t>Tema</w:t>
            </w:r>
            <w:r w:rsidR="00B20F1E" w:rsidRPr="000D2717">
              <w:rPr>
                <w:lang w:val="es-ES"/>
              </w:rPr>
              <w:t xml:space="preserve"> F de la CMR-23;</w:t>
            </w:r>
          </w:p>
          <w:p w14:paraId="7234C946" w14:textId="17B009AB" w:rsidR="00B20F1E" w:rsidRPr="000D2717" w:rsidRDefault="00B20F1E" w:rsidP="00267359">
            <w:pPr>
              <w:pStyle w:val="Tabletext"/>
              <w:ind w:left="284" w:hanging="284"/>
              <w:rPr>
                <w:lang w:val="es-ES"/>
              </w:rPr>
            </w:pPr>
            <w:r w:rsidRPr="000D2717">
              <w:rPr>
                <w:lang w:val="es-ES"/>
              </w:rPr>
              <w:t>b)</w:t>
            </w:r>
            <w:r w:rsidRPr="000D2717">
              <w:rPr>
                <w:lang w:val="es-ES"/>
              </w:rPr>
              <w:tab/>
            </w:r>
            <w:r>
              <w:rPr>
                <w:lang w:val="es-ES"/>
              </w:rPr>
              <w:t xml:space="preserve">En </w:t>
            </w:r>
            <w:r w:rsidRPr="000D2717">
              <w:rPr>
                <w:lang w:val="es-ES"/>
              </w:rPr>
              <w:t xml:space="preserve">lugar </w:t>
            </w:r>
            <w:r>
              <w:rPr>
                <w:lang w:val="es-ES"/>
              </w:rPr>
              <w:t>de la zona</w:t>
            </w:r>
            <w:r w:rsidRPr="000D2717">
              <w:rPr>
                <w:lang w:val="es-ES"/>
              </w:rPr>
              <w:t xml:space="preserve"> de cobertura de</w:t>
            </w:r>
            <w:r>
              <w:rPr>
                <w:lang w:val="es-ES"/>
              </w:rPr>
              <w:t>l</w:t>
            </w:r>
            <w:r w:rsidRPr="000D2717">
              <w:rPr>
                <w:lang w:val="es-ES"/>
              </w:rPr>
              <w:t xml:space="preserve"> enlace ascendente </w:t>
            </w:r>
            <w:r>
              <w:rPr>
                <w:lang w:val="es-ES"/>
              </w:rPr>
              <w:t>notificada</w:t>
            </w:r>
            <w:r w:rsidRPr="000D2717">
              <w:rPr>
                <w:lang w:val="es-ES"/>
              </w:rPr>
              <w:t xml:space="preserve">, </w:t>
            </w:r>
            <w:r>
              <w:rPr>
                <w:lang w:val="es-ES"/>
              </w:rPr>
              <w:t>a los efectos de</w:t>
            </w:r>
            <w:r w:rsidRPr="000D2717">
              <w:rPr>
                <w:lang w:val="es-ES"/>
              </w:rPr>
              <w:t xml:space="preserve">l examen </w:t>
            </w:r>
            <w:r>
              <w:rPr>
                <w:lang w:val="es-ES"/>
              </w:rPr>
              <w:t>por</w:t>
            </w:r>
            <w:r w:rsidRPr="000D2717">
              <w:rPr>
                <w:lang w:val="es-ES"/>
              </w:rPr>
              <w:t xml:space="preserve"> la Oficina de una red sujeta </w:t>
            </w:r>
            <w:r>
              <w:rPr>
                <w:lang w:val="es-ES"/>
              </w:rPr>
              <w:t>a lo dispuesto con arreglo al</w:t>
            </w:r>
            <w:r w:rsidRPr="000D2717">
              <w:rPr>
                <w:lang w:val="es-ES"/>
              </w:rPr>
              <w:t xml:space="preserve"> Tema F se utilizará </w:t>
            </w:r>
            <w:r>
              <w:rPr>
                <w:lang w:val="es-ES"/>
              </w:rPr>
              <w:t>la zona</w:t>
            </w:r>
            <w:r w:rsidRPr="000D2717">
              <w:rPr>
                <w:lang w:val="es-ES"/>
              </w:rPr>
              <w:t xml:space="preserve"> de cobertura de</w:t>
            </w:r>
            <w:r>
              <w:rPr>
                <w:lang w:val="es-ES"/>
              </w:rPr>
              <w:t>l</w:t>
            </w:r>
            <w:r w:rsidRPr="000D2717">
              <w:rPr>
                <w:lang w:val="es-ES"/>
              </w:rPr>
              <w:t xml:space="preserve"> enlace ascendente alternativa </w:t>
            </w:r>
            <w:r w:rsidRPr="000D2717">
              <w:rPr>
                <w:lang w:val="es-ES"/>
              </w:rPr>
              <w:lastRenderedPageBreak/>
              <w:t xml:space="preserve">de una red </w:t>
            </w:r>
            <w:r>
              <w:rPr>
                <w:lang w:val="es-ES"/>
              </w:rPr>
              <w:t>existente</w:t>
            </w:r>
            <w:r w:rsidRPr="000D2717">
              <w:rPr>
                <w:lang w:val="es-ES"/>
              </w:rPr>
              <w:t xml:space="preserve">. Dicha </w:t>
            </w:r>
            <w:r>
              <w:rPr>
                <w:lang w:val="es-ES"/>
              </w:rPr>
              <w:t>zona</w:t>
            </w:r>
            <w:r w:rsidRPr="000D2717">
              <w:rPr>
                <w:lang w:val="es-ES"/>
              </w:rPr>
              <w:t xml:space="preserve"> de cobertura de</w:t>
            </w:r>
            <w:r>
              <w:rPr>
                <w:lang w:val="es-ES"/>
              </w:rPr>
              <w:t>l</w:t>
            </w:r>
            <w:r w:rsidRPr="000D2717">
              <w:rPr>
                <w:lang w:val="es-ES"/>
              </w:rPr>
              <w:t xml:space="preserve"> enlace ascendente alternativa se obtendrá </w:t>
            </w:r>
            <w:r>
              <w:rPr>
                <w:lang w:val="es-ES"/>
              </w:rPr>
              <w:t>con respecto a</w:t>
            </w:r>
            <w:r w:rsidRPr="000D2717">
              <w:rPr>
                <w:lang w:val="es-ES"/>
              </w:rPr>
              <w:t xml:space="preserve"> los puntos de prueba de</w:t>
            </w:r>
            <w:r>
              <w:rPr>
                <w:lang w:val="es-ES"/>
              </w:rPr>
              <w:t>l</w:t>
            </w:r>
            <w:r w:rsidRPr="000D2717">
              <w:rPr>
                <w:lang w:val="es-ES"/>
              </w:rPr>
              <w:t xml:space="preserve"> enlace ascendente </w:t>
            </w:r>
            <w:r>
              <w:rPr>
                <w:lang w:val="es-ES"/>
              </w:rPr>
              <w:t>relativos a la zona</w:t>
            </w:r>
            <w:r w:rsidRPr="000D2717">
              <w:rPr>
                <w:lang w:val="es-ES"/>
              </w:rPr>
              <w:t xml:space="preserve"> de servicio de</w:t>
            </w:r>
            <w:r>
              <w:rPr>
                <w:lang w:val="es-ES"/>
              </w:rPr>
              <w:t>l</w:t>
            </w:r>
            <w:r w:rsidRPr="000D2717">
              <w:rPr>
                <w:lang w:val="es-ES"/>
              </w:rPr>
              <w:t xml:space="preserve"> enlace ascendente de </w:t>
            </w:r>
            <w:r>
              <w:rPr>
                <w:lang w:val="es-ES"/>
              </w:rPr>
              <w:t>la citada</w:t>
            </w:r>
            <w:r w:rsidRPr="000D2717">
              <w:rPr>
                <w:lang w:val="es-ES"/>
              </w:rPr>
              <w:t xml:space="preserve"> red existente. En </w:t>
            </w:r>
            <w:r>
              <w:rPr>
                <w:lang w:val="es-ES"/>
              </w:rPr>
              <w:t>particular</w:t>
            </w:r>
            <w:r w:rsidRPr="000D2717">
              <w:rPr>
                <w:lang w:val="es-ES"/>
              </w:rPr>
              <w:t xml:space="preserve">, para cada </w:t>
            </w:r>
            <w:r>
              <w:rPr>
                <w:lang w:val="es-ES"/>
              </w:rPr>
              <w:t>zona</w:t>
            </w:r>
            <w:r w:rsidRPr="000D2717">
              <w:rPr>
                <w:lang w:val="es-ES"/>
              </w:rPr>
              <w:t xml:space="preserve"> de servicio de</w:t>
            </w:r>
            <w:r>
              <w:rPr>
                <w:lang w:val="es-ES"/>
              </w:rPr>
              <w:t>l</w:t>
            </w:r>
            <w:r w:rsidRPr="000D2717">
              <w:rPr>
                <w:lang w:val="es-ES"/>
              </w:rPr>
              <w:t xml:space="preserve"> enlace ascendente de </w:t>
            </w:r>
            <w:r>
              <w:rPr>
                <w:lang w:val="es-ES"/>
              </w:rPr>
              <w:t>la</w:t>
            </w:r>
            <w:r w:rsidRPr="000D2717">
              <w:rPr>
                <w:lang w:val="es-ES"/>
              </w:rPr>
              <w:t xml:space="preserve"> red existente, se </w:t>
            </w:r>
            <w:r>
              <w:rPr>
                <w:lang w:val="es-ES"/>
              </w:rPr>
              <w:t xml:space="preserve">establecerá la </w:t>
            </w:r>
            <w:r w:rsidRPr="000D2717">
              <w:rPr>
                <w:lang w:val="es-ES"/>
              </w:rPr>
              <w:t xml:space="preserve">correspondiente </w:t>
            </w:r>
            <w:r>
              <w:rPr>
                <w:lang w:val="es-ES"/>
              </w:rPr>
              <w:t>zona</w:t>
            </w:r>
            <w:r w:rsidRPr="000D2717">
              <w:rPr>
                <w:lang w:val="es-ES"/>
              </w:rPr>
              <w:t xml:space="preserve"> de cobertura de</w:t>
            </w:r>
            <w:r>
              <w:rPr>
                <w:lang w:val="es-ES"/>
              </w:rPr>
              <w:t>l</w:t>
            </w:r>
            <w:r w:rsidRPr="000D2717">
              <w:rPr>
                <w:lang w:val="es-ES"/>
              </w:rPr>
              <w:t xml:space="preserve"> enlace ascendente </w:t>
            </w:r>
            <w:r>
              <w:rPr>
                <w:lang w:val="es-ES"/>
              </w:rPr>
              <w:t>con arreglo a</w:t>
            </w:r>
            <w:r w:rsidRPr="000D2717">
              <w:rPr>
                <w:lang w:val="es-ES"/>
              </w:rPr>
              <w:t xml:space="preserve"> los puntos de prueba </w:t>
            </w:r>
            <w:r>
              <w:rPr>
                <w:lang w:val="es-ES"/>
              </w:rPr>
              <w:t>relativos a dicha zona</w:t>
            </w:r>
            <w:r w:rsidRPr="000D2717">
              <w:rPr>
                <w:lang w:val="es-ES"/>
              </w:rPr>
              <w:t xml:space="preserve"> de servicio de</w:t>
            </w:r>
            <w:r>
              <w:rPr>
                <w:lang w:val="es-ES"/>
              </w:rPr>
              <w:t>l</w:t>
            </w:r>
            <w:r w:rsidRPr="000D2717">
              <w:rPr>
                <w:lang w:val="es-ES"/>
              </w:rPr>
              <w:t xml:space="preserve"> enlace ascendente. Se generará una elipse mínima por cada punto de prueba de</w:t>
            </w:r>
            <w:r>
              <w:rPr>
                <w:lang w:val="es-ES"/>
              </w:rPr>
              <w:t>l</w:t>
            </w:r>
            <w:r w:rsidRPr="000D2717">
              <w:rPr>
                <w:lang w:val="es-ES"/>
              </w:rPr>
              <w:t xml:space="preserve"> enlace ascendente y la combinación de todas elipses mínimas</w:t>
            </w:r>
            <w:r>
              <w:rPr>
                <w:lang w:val="es-ES"/>
              </w:rPr>
              <w:t>,</w:t>
            </w:r>
            <w:r w:rsidRPr="000D2717">
              <w:rPr>
                <w:lang w:val="es-ES"/>
              </w:rPr>
              <w:t xml:space="preserve"> </w:t>
            </w:r>
            <w:r>
              <w:rPr>
                <w:lang w:val="es-ES"/>
              </w:rPr>
              <w:t xml:space="preserve">en forma de haz, </w:t>
            </w:r>
            <w:r w:rsidRPr="000D2717">
              <w:rPr>
                <w:lang w:val="es-ES"/>
              </w:rPr>
              <w:t xml:space="preserve">será la </w:t>
            </w:r>
            <w:r>
              <w:rPr>
                <w:lang w:val="es-ES"/>
              </w:rPr>
              <w:t xml:space="preserve">zona de </w:t>
            </w:r>
            <w:r w:rsidRPr="000D2717">
              <w:rPr>
                <w:lang w:val="es-ES"/>
              </w:rPr>
              <w:t>cobertura de</w:t>
            </w:r>
            <w:r>
              <w:rPr>
                <w:lang w:val="es-ES"/>
              </w:rPr>
              <w:t>l</w:t>
            </w:r>
            <w:r w:rsidRPr="000D2717">
              <w:rPr>
                <w:lang w:val="es-ES"/>
              </w:rPr>
              <w:t xml:space="preserve"> enlace ascendente correspondiente que utilizará la Oficina en su examen técnico del enlace ascendente;</w:t>
            </w:r>
          </w:p>
          <w:p w14:paraId="6E1A76DE" w14:textId="77777777" w:rsidR="00B20F1E" w:rsidRPr="000D2717" w:rsidRDefault="00B20F1E" w:rsidP="00267359">
            <w:pPr>
              <w:pStyle w:val="Tabletext"/>
              <w:ind w:left="284" w:hanging="284"/>
              <w:rPr>
                <w:lang w:val="es-ES"/>
              </w:rPr>
            </w:pPr>
            <w:r w:rsidRPr="000D2717">
              <w:rPr>
                <w:lang w:val="es-ES"/>
              </w:rPr>
              <w:t>c)</w:t>
            </w:r>
            <w:r w:rsidRPr="000D2717">
              <w:rPr>
                <w:lang w:val="es-ES"/>
              </w:rPr>
              <w:tab/>
            </w:r>
            <w:r>
              <w:rPr>
                <w:lang w:val="es-ES"/>
              </w:rPr>
              <w:t>En relación con el A</w:t>
            </w:r>
            <w:r w:rsidRPr="000D2717">
              <w:rPr>
                <w:lang w:val="es-ES"/>
              </w:rPr>
              <w:t xml:space="preserve">péndice </w:t>
            </w:r>
            <w:r w:rsidRPr="00267359">
              <w:rPr>
                <w:b/>
                <w:lang w:val="es-ES"/>
              </w:rPr>
              <w:t>30A</w:t>
            </w:r>
            <w:r w:rsidRPr="000D2717">
              <w:rPr>
                <w:lang w:val="es-ES"/>
              </w:rPr>
              <w:t xml:space="preserve">, la red existente mencionada en </w:t>
            </w:r>
            <w:r>
              <w:rPr>
                <w:lang w:val="es-ES"/>
              </w:rPr>
              <w:t xml:space="preserve">el apartado </w:t>
            </w:r>
            <w:r w:rsidRPr="000D2717">
              <w:rPr>
                <w:lang w:val="es-ES"/>
              </w:rPr>
              <w:t xml:space="preserve">b) anterior es una red de </w:t>
            </w:r>
            <w:r>
              <w:rPr>
                <w:lang w:val="es-ES"/>
              </w:rPr>
              <w:t>utilización</w:t>
            </w:r>
            <w:r w:rsidRPr="000D2717">
              <w:rPr>
                <w:lang w:val="es-ES"/>
              </w:rPr>
              <w:t xml:space="preserve"> adicional </w:t>
            </w:r>
            <w:r>
              <w:rPr>
                <w:lang w:val="es-ES"/>
              </w:rPr>
              <w:t>con arreglo al A</w:t>
            </w:r>
            <w:r w:rsidRPr="000D2717">
              <w:rPr>
                <w:lang w:val="es-ES"/>
              </w:rPr>
              <w:t xml:space="preserve">rtículo </w:t>
            </w:r>
            <w:r w:rsidRPr="00267359">
              <w:rPr>
                <w:b/>
                <w:bCs/>
                <w:lang w:val="es-ES"/>
              </w:rPr>
              <w:t>4</w:t>
            </w:r>
            <w:r w:rsidRPr="000D2717">
              <w:rPr>
                <w:lang w:val="es-ES"/>
              </w:rPr>
              <w:t xml:space="preserve"> en las </w:t>
            </w:r>
            <w:r>
              <w:rPr>
                <w:lang w:val="es-ES"/>
              </w:rPr>
              <w:t>R</w:t>
            </w:r>
            <w:r w:rsidRPr="000D2717">
              <w:rPr>
                <w:lang w:val="es-ES"/>
              </w:rPr>
              <w:t>egiones 1 y 3;</w:t>
            </w:r>
          </w:p>
          <w:p w14:paraId="084F06FB" w14:textId="77777777" w:rsidR="00B20F1E" w:rsidRPr="000D2717" w:rsidRDefault="00B20F1E" w:rsidP="00267359">
            <w:pPr>
              <w:pStyle w:val="Tabletext"/>
              <w:ind w:left="284" w:hanging="284"/>
              <w:rPr>
                <w:lang w:val="es-ES"/>
              </w:rPr>
            </w:pPr>
            <w:r w:rsidRPr="000D2717">
              <w:rPr>
                <w:lang w:val="es-ES"/>
              </w:rPr>
              <w:t>d)</w:t>
            </w:r>
            <w:r w:rsidRPr="000D2717">
              <w:rPr>
                <w:lang w:val="es-ES"/>
              </w:rPr>
              <w:tab/>
            </w:r>
            <w:r>
              <w:rPr>
                <w:lang w:val="es-ES"/>
              </w:rPr>
              <w:t>En relación con</w:t>
            </w:r>
            <w:r w:rsidRPr="000D2717">
              <w:rPr>
                <w:lang w:val="es-ES"/>
              </w:rPr>
              <w:t xml:space="preserve"> el Apéndice </w:t>
            </w:r>
            <w:r w:rsidRPr="00267359">
              <w:rPr>
                <w:b/>
                <w:lang w:val="es-ES"/>
              </w:rPr>
              <w:t>30B</w:t>
            </w:r>
            <w:r w:rsidRPr="000D2717">
              <w:rPr>
                <w:lang w:val="es-ES"/>
              </w:rPr>
              <w:t xml:space="preserve">, la red existente a que se refiere </w:t>
            </w:r>
            <w:r>
              <w:rPr>
                <w:lang w:val="es-ES"/>
              </w:rPr>
              <w:t>el apartado</w:t>
            </w:r>
            <w:r w:rsidRPr="000D2717">
              <w:rPr>
                <w:lang w:val="es-ES"/>
              </w:rPr>
              <w:t xml:space="preserve"> b) anterior es una red de sistema adicional </w:t>
            </w:r>
            <w:r>
              <w:rPr>
                <w:lang w:val="es-ES"/>
              </w:rPr>
              <w:t>con arreglo al</w:t>
            </w:r>
            <w:r w:rsidRPr="000D2717">
              <w:rPr>
                <w:lang w:val="es-ES"/>
              </w:rPr>
              <w:t xml:space="preserve"> Artículo 6 </w:t>
            </w:r>
            <w:r>
              <w:rPr>
                <w:lang w:val="es-ES"/>
              </w:rPr>
              <w:t>notificada</w:t>
            </w:r>
            <w:r w:rsidRPr="000D2717">
              <w:rPr>
                <w:lang w:val="es-ES"/>
              </w:rPr>
              <w:t xml:space="preserve"> </w:t>
            </w:r>
            <w:r>
              <w:rPr>
                <w:lang w:val="es-ES"/>
              </w:rPr>
              <w:t>en el marco del apartado</w:t>
            </w:r>
            <w:r w:rsidRPr="000D2717">
              <w:rPr>
                <w:lang w:val="es-ES"/>
              </w:rPr>
              <w:t xml:space="preserve"> 6.1 del Artículo 6 del Apéndice </w:t>
            </w:r>
            <w:r w:rsidRPr="00267359">
              <w:rPr>
                <w:b/>
                <w:bCs/>
                <w:lang w:val="es-ES"/>
              </w:rPr>
              <w:t>30B</w:t>
            </w:r>
            <w:r>
              <w:rPr>
                <w:lang w:val="es-ES"/>
              </w:rPr>
              <w:t>,</w:t>
            </w:r>
            <w:r w:rsidRPr="000D2717">
              <w:rPr>
                <w:lang w:val="es-ES"/>
              </w:rPr>
              <w:t xml:space="preserve"> no sujeta a la Resolución </w:t>
            </w:r>
            <w:r w:rsidRPr="00267359">
              <w:rPr>
                <w:b/>
                <w:lang w:val="es-ES"/>
              </w:rPr>
              <w:t>170 (CMR-19)</w:t>
            </w:r>
            <w:r w:rsidRPr="000D2717">
              <w:rPr>
                <w:bCs/>
                <w:lang w:val="es-ES"/>
              </w:rPr>
              <w:t xml:space="preserve"> </w:t>
            </w:r>
            <w:r>
              <w:rPr>
                <w:lang w:val="es-ES"/>
              </w:rPr>
              <w:t>ni</w:t>
            </w:r>
            <w:r w:rsidRPr="000D2717">
              <w:rPr>
                <w:lang w:val="es-ES"/>
              </w:rPr>
              <w:t xml:space="preserve"> </w:t>
            </w:r>
            <w:r>
              <w:rPr>
                <w:lang w:val="es-ES"/>
              </w:rPr>
              <w:t>a transformación</w:t>
            </w:r>
            <w:r w:rsidRPr="000D2717">
              <w:rPr>
                <w:lang w:val="es-ES"/>
              </w:rPr>
              <w:t xml:space="preserve"> de </w:t>
            </w:r>
            <w:r>
              <w:rPr>
                <w:lang w:val="es-ES"/>
              </w:rPr>
              <w:t xml:space="preserve">una </w:t>
            </w:r>
            <w:r w:rsidRPr="000D2717">
              <w:rPr>
                <w:lang w:val="es-ES"/>
              </w:rPr>
              <w:t>adjudicación en asignación</w:t>
            </w:r>
            <w:r>
              <w:rPr>
                <w:lang w:val="es-ES"/>
              </w:rPr>
              <w:t>,</w:t>
            </w:r>
            <w:r w:rsidRPr="000D2717">
              <w:rPr>
                <w:lang w:val="es-ES"/>
              </w:rPr>
              <w:t xml:space="preserve"> </w:t>
            </w:r>
            <w:r>
              <w:rPr>
                <w:lang w:val="es-ES"/>
              </w:rPr>
              <w:t>modificada</w:t>
            </w:r>
            <w:r w:rsidRPr="000D2717">
              <w:rPr>
                <w:lang w:val="es-ES"/>
              </w:rPr>
              <w:t xml:space="preserve"> </w:t>
            </w:r>
            <w:r>
              <w:rPr>
                <w:lang w:val="es-ES"/>
              </w:rPr>
              <w:t>más allá</w:t>
            </w:r>
            <w:r w:rsidRPr="000D2717">
              <w:rPr>
                <w:lang w:val="es-ES"/>
              </w:rPr>
              <w:t xml:space="preserve"> de</w:t>
            </w:r>
            <w:r>
              <w:rPr>
                <w:lang w:val="es-ES"/>
              </w:rPr>
              <w:t xml:space="preserve">l alcance </w:t>
            </w:r>
            <w:r w:rsidRPr="000D2717">
              <w:rPr>
                <w:lang w:val="es-ES"/>
              </w:rPr>
              <w:t>de la adjudicación</w:t>
            </w:r>
            <w:r>
              <w:rPr>
                <w:lang w:val="es-ES"/>
              </w:rPr>
              <w:t>, sin sujeción</w:t>
            </w:r>
            <w:r w:rsidRPr="000D2717">
              <w:rPr>
                <w:lang w:val="es-ES"/>
              </w:rPr>
              <w:t xml:space="preserve"> a la Resolución </w:t>
            </w:r>
            <w:r w:rsidRPr="00267359">
              <w:rPr>
                <w:b/>
                <w:lang w:val="es-ES"/>
              </w:rPr>
              <w:t>170 (CMR-19)</w:t>
            </w:r>
            <w:r w:rsidRPr="000D2717">
              <w:rPr>
                <w:lang w:val="es-ES"/>
              </w:rPr>
              <w:t>.</w:t>
            </w:r>
          </w:p>
          <w:p w14:paraId="5ACB870D" w14:textId="77777777" w:rsidR="00B20F1E" w:rsidRPr="000D2717" w:rsidRDefault="00B20F1E" w:rsidP="00267359">
            <w:pPr>
              <w:pStyle w:val="Tabletext"/>
              <w:ind w:left="284" w:hanging="284"/>
              <w:rPr>
                <w:lang w:val="es-ES"/>
              </w:rPr>
            </w:pPr>
            <w:r w:rsidRPr="000D2717">
              <w:rPr>
                <w:lang w:val="es-ES"/>
              </w:rPr>
              <w:t>e)</w:t>
            </w:r>
            <w:r w:rsidRPr="000D2717">
              <w:rPr>
                <w:lang w:val="es-ES"/>
              </w:rPr>
              <w:tab/>
            </w:r>
            <w:r>
              <w:rPr>
                <w:lang w:val="es-ES"/>
              </w:rPr>
              <w:t xml:space="preserve">Una </w:t>
            </w:r>
            <w:r w:rsidRPr="000D2717">
              <w:rPr>
                <w:lang w:val="es-ES"/>
              </w:rPr>
              <w:t xml:space="preserve">vez que una red sujeta </w:t>
            </w:r>
            <w:r>
              <w:rPr>
                <w:lang w:val="es-ES"/>
              </w:rPr>
              <w:t>a lo establecido con arreglo al</w:t>
            </w:r>
            <w:r w:rsidRPr="000D2717">
              <w:rPr>
                <w:lang w:val="es-ES"/>
              </w:rPr>
              <w:t xml:space="preserve"> Tema F </w:t>
            </w:r>
            <w:r>
              <w:rPr>
                <w:lang w:val="es-ES"/>
              </w:rPr>
              <w:t>figure</w:t>
            </w:r>
            <w:r w:rsidRPr="000D2717">
              <w:rPr>
                <w:lang w:val="es-ES"/>
              </w:rPr>
              <w:t xml:space="preserve"> en la Lista, no se actualizará</w:t>
            </w:r>
            <w:r>
              <w:rPr>
                <w:lang w:val="es-ES"/>
              </w:rPr>
              <w:t xml:space="preserve"> </w:t>
            </w:r>
            <w:r w:rsidRPr="000D2717">
              <w:rPr>
                <w:lang w:val="es-ES"/>
              </w:rPr>
              <w:t xml:space="preserve">la situación de referencia de </w:t>
            </w:r>
            <w:r>
              <w:rPr>
                <w:lang w:val="es-ES"/>
              </w:rPr>
              <w:t>la red</w:t>
            </w:r>
            <w:r w:rsidRPr="000D2717">
              <w:rPr>
                <w:lang w:val="es-ES"/>
              </w:rPr>
              <w:t xml:space="preserve"> </w:t>
            </w:r>
            <w:r>
              <w:rPr>
                <w:lang w:val="es-ES"/>
              </w:rPr>
              <w:t xml:space="preserve">existente </w:t>
            </w:r>
            <w:r w:rsidRPr="000D2717">
              <w:rPr>
                <w:lang w:val="es-ES"/>
              </w:rPr>
              <w:t xml:space="preserve">a la que se </w:t>
            </w:r>
            <w:r>
              <w:rPr>
                <w:lang w:val="es-ES"/>
              </w:rPr>
              <w:t>refiere el apartado</w:t>
            </w:r>
            <w:r w:rsidRPr="000D2717">
              <w:rPr>
                <w:lang w:val="es-ES"/>
              </w:rPr>
              <w:t xml:space="preserve"> c) anterior </w:t>
            </w:r>
            <w:r>
              <w:rPr>
                <w:lang w:val="es-ES"/>
              </w:rPr>
              <w:t>en relación con</w:t>
            </w:r>
            <w:r w:rsidRPr="000D2717">
              <w:rPr>
                <w:lang w:val="es-ES"/>
              </w:rPr>
              <w:t xml:space="preserve"> el Apéndice </w:t>
            </w:r>
            <w:r w:rsidRPr="00267359">
              <w:rPr>
                <w:b/>
                <w:lang w:val="es-ES"/>
              </w:rPr>
              <w:t>30A</w:t>
            </w:r>
            <w:r w:rsidRPr="000D2717">
              <w:rPr>
                <w:bCs/>
                <w:lang w:val="es-ES"/>
              </w:rPr>
              <w:t xml:space="preserve"> </w:t>
            </w:r>
            <w:r w:rsidRPr="000D2717">
              <w:rPr>
                <w:lang w:val="es-ES"/>
              </w:rPr>
              <w:t xml:space="preserve">y </w:t>
            </w:r>
            <w:r>
              <w:rPr>
                <w:lang w:val="es-ES"/>
              </w:rPr>
              <w:t>el apartado</w:t>
            </w:r>
            <w:r w:rsidRPr="000D2717">
              <w:rPr>
                <w:lang w:val="es-ES"/>
              </w:rPr>
              <w:t xml:space="preserve"> d) </w:t>
            </w:r>
            <w:r>
              <w:rPr>
                <w:lang w:val="es-ES"/>
              </w:rPr>
              <w:t>en relación con</w:t>
            </w:r>
            <w:r w:rsidRPr="000D2717">
              <w:rPr>
                <w:lang w:val="es-ES"/>
              </w:rPr>
              <w:t xml:space="preserve"> el Apéndice </w:t>
            </w:r>
            <w:r w:rsidRPr="00267359">
              <w:rPr>
                <w:b/>
                <w:lang w:val="es-ES"/>
              </w:rPr>
              <w:t>30B</w:t>
            </w:r>
            <w:r>
              <w:rPr>
                <w:bCs/>
                <w:lang w:val="es-ES"/>
              </w:rPr>
              <w:t xml:space="preserve">, </w:t>
            </w:r>
            <w:r w:rsidRPr="009A5D2E">
              <w:rPr>
                <w:lang w:val="es-ES"/>
              </w:rPr>
              <w:t xml:space="preserve">y con la que se ha </w:t>
            </w:r>
            <w:r>
              <w:rPr>
                <w:lang w:val="es-ES"/>
              </w:rPr>
              <w:t>llevado a cabo</w:t>
            </w:r>
            <w:r w:rsidRPr="009A5D2E">
              <w:rPr>
                <w:lang w:val="es-ES"/>
              </w:rPr>
              <w:t xml:space="preserve"> la coordinación, o ésta no es necesaria sobre la base </w:t>
            </w:r>
            <w:r>
              <w:rPr>
                <w:lang w:val="es-ES"/>
              </w:rPr>
              <w:t>de la zona</w:t>
            </w:r>
            <w:r w:rsidRPr="009A5D2E">
              <w:rPr>
                <w:lang w:val="es-ES"/>
              </w:rPr>
              <w:t xml:space="preserve"> de cobertura alternativa del enlace ascendente</w:t>
            </w:r>
            <w:r w:rsidRPr="000D2717">
              <w:rPr>
                <w:lang w:val="es-ES"/>
              </w:rPr>
              <w:t>.</w:t>
            </w:r>
          </w:p>
          <w:p w14:paraId="4D08DC95" w14:textId="576FB00C" w:rsidR="00B20F1E" w:rsidRPr="000D2717" w:rsidRDefault="00B20F1E" w:rsidP="00267359">
            <w:pPr>
              <w:pStyle w:val="Tabletext"/>
              <w:ind w:left="284" w:hanging="284"/>
              <w:rPr>
                <w:lang w:val="es-ES"/>
              </w:rPr>
            </w:pPr>
            <w:r w:rsidRPr="000D2717">
              <w:rPr>
                <w:lang w:val="es-ES"/>
              </w:rPr>
              <w:t>f)</w:t>
            </w:r>
            <w:r w:rsidRPr="000D2717">
              <w:rPr>
                <w:lang w:val="es-ES"/>
              </w:rPr>
              <w:tab/>
              <w:t xml:space="preserve">Para el examen por la Oficina de la red sujeta </w:t>
            </w:r>
            <w:r>
              <w:rPr>
                <w:lang w:val="es-ES"/>
              </w:rPr>
              <w:t>a lo establecido en el</w:t>
            </w:r>
            <w:r w:rsidRPr="000D2717">
              <w:rPr>
                <w:lang w:val="es-ES"/>
              </w:rPr>
              <w:t xml:space="preserve"> Tema F </w:t>
            </w:r>
            <w:r>
              <w:rPr>
                <w:lang w:val="es-ES"/>
              </w:rPr>
              <w:t>con respecto</w:t>
            </w:r>
            <w:r w:rsidRPr="000D2717">
              <w:rPr>
                <w:lang w:val="es-ES"/>
              </w:rPr>
              <w:t xml:space="preserve"> a una red existente</w:t>
            </w:r>
            <w:r>
              <w:rPr>
                <w:lang w:val="es-ES"/>
              </w:rPr>
              <w:t>, según se menciona</w:t>
            </w:r>
            <w:r w:rsidRPr="000D2717">
              <w:rPr>
                <w:lang w:val="es-ES"/>
              </w:rPr>
              <w:t xml:space="preserve"> en el apartado d) anterior </w:t>
            </w:r>
            <w:r>
              <w:rPr>
                <w:lang w:val="es-ES"/>
              </w:rPr>
              <w:t>en relación</w:t>
            </w:r>
            <w:r w:rsidRPr="000D2717">
              <w:rPr>
                <w:lang w:val="es-ES"/>
              </w:rPr>
              <w:t xml:space="preserve"> el Apéndice </w:t>
            </w:r>
            <w:r w:rsidRPr="00267359">
              <w:rPr>
                <w:b/>
                <w:lang w:val="es-ES"/>
              </w:rPr>
              <w:t>30B</w:t>
            </w:r>
            <w:r w:rsidRPr="000D2717">
              <w:rPr>
                <w:bCs/>
                <w:lang w:val="es-ES"/>
              </w:rPr>
              <w:t xml:space="preserve">, </w:t>
            </w:r>
            <w:r>
              <w:rPr>
                <w:lang w:val="es-ES"/>
              </w:rPr>
              <w:t>los</w:t>
            </w:r>
            <w:r w:rsidRPr="000D2717">
              <w:rPr>
                <w:bCs/>
                <w:lang w:val="es-ES"/>
              </w:rPr>
              <w:t xml:space="preserve"> </w:t>
            </w:r>
            <w:r w:rsidRPr="000D2717">
              <w:rPr>
                <w:lang w:val="es-ES"/>
              </w:rPr>
              <w:t>enlace</w:t>
            </w:r>
            <w:r>
              <w:rPr>
                <w:lang w:val="es-ES"/>
              </w:rPr>
              <w:t>s</w:t>
            </w:r>
            <w:r w:rsidRPr="000D2717">
              <w:rPr>
                <w:lang w:val="es-ES"/>
              </w:rPr>
              <w:t xml:space="preserve"> descendente y ascendente se examinarán </w:t>
            </w:r>
            <w:r>
              <w:rPr>
                <w:lang w:val="es-ES"/>
              </w:rPr>
              <w:t>de forma independiente</w:t>
            </w:r>
            <w:r w:rsidRPr="000D2717">
              <w:rPr>
                <w:lang w:val="es-ES"/>
              </w:rPr>
              <w:t>.</w:t>
            </w:r>
            <w:r>
              <w:rPr>
                <w:lang w:val="es-ES"/>
              </w:rPr>
              <w:t xml:space="preserve"> L</w:t>
            </w:r>
            <w:r w:rsidRPr="0014448F">
              <w:rPr>
                <w:lang w:val="es-ES"/>
              </w:rPr>
              <w:t xml:space="preserve">a Oficina utilizará los criterios de </w:t>
            </w:r>
            <w:r w:rsidRPr="007D7EC9">
              <w:rPr>
                <w:i/>
                <w:iCs/>
                <w:lang w:val="es-ES"/>
              </w:rPr>
              <w:t>C/I</w:t>
            </w:r>
            <w:r w:rsidRPr="0014448F">
              <w:rPr>
                <w:lang w:val="es-ES"/>
              </w:rPr>
              <w:t xml:space="preserve"> de una sola fuente y de </w:t>
            </w:r>
            <w:proofErr w:type="spellStart"/>
            <w:r w:rsidRPr="0014448F">
              <w:rPr>
                <w:lang w:val="es-ES"/>
              </w:rPr>
              <w:t>dfp</w:t>
            </w:r>
            <w:proofErr w:type="spellEnd"/>
            <w:r w:rsidRPr="0014448F">
              <w:rPr>
                <w:lang w:val="es-ES"/>
              </w:rPr>
              <w:t xml:space="preserve"> </w:t>
            </w:r>
            <w:r>
              <w:rPr>
                <w:lang w:val="es-ES"/>
              </w:rPr>
              <w:t>que figuran</w:t>
            </w:r>
            <w:r w:rsidRPr="0014448F">
              <w:rPr>
                <w:lang w:val="es-ES"/>
              </w:rPr>
              <w:t xml:space="preserve"> en el </w:t>
            </w:r>
            <w:r>
              <w:rPr>
                <w:lang w:val="es-ES"/>
              </w:rPr>
              <w:t>Apéndice</w:t>
            </w:r>
            <w:r w:rsidRPr="0014448F">
              <w:rPr>
                <w:lang w:val="es-ES"/>
              </w:rPr>
              <w:t xml:space="preserve"> 1 </w:t>
            </w:r>
            <w:r>
              <w:rPr>
                <w:lang w:val="es-ES"/>
              </w:rPr>
              <w:t xml:space="preserve">del Adjunto 1 </w:t>
            </w:r>
            <w:r w:rsidRPr="0014448F">
              <w:rPr>
                <w:lang w:val="es-ES"/>
              </w:rPr>
              <w:t xml:space="preserve">a la Resolución </w:t>
            </w:r>
            <w:r w:rsidRPr="00267359">
              <w:rPr>
                <w:b/>
                <w:lang w:val="es-ES"/>
              </w:rPr>
              <w:t>170 (CMR-19)</w:t>
            </w:r>
            <w:r w:rsidRPr="0014448F">
              <w:rPr>
                <w:lang w:val="es-ES"/>
              </w:rPr>
              <w:t xml:space="preserve"> o en cualquier actualización futura de dicha Resolución en lugar del Anexo 4 al Apéndice </w:t>
            </w:r>
            <w:r w:rsidRPr="00267359">
              <w:rPr>
                <w:b/>
                <w:bCs/>
                <w:lang w:val="es-ES"/>
              </w:rPr>
              <w:t>30B</w:t>
            </w:r>
            <w:r w:rsidRPr="0014448F">
              <w:rPr>
                <w:lang w:val="es-ES"/>
              </w:rPr>
              <w:t>.</w:t>
            </w:r>
          </w:p>
          <w:p w14:paraId="68031851" w14:textId="77777777" w:rsidR="00B20F1E" w:rsidRPr="000D2717" w:rsidRDefault="00B20F1E" w:rsidP="004E1829">
            <w:pPr>
              <w:pStyle w:val="Tabletext"/>
              <w:ind w:left="284" w:hanging="284"/>
              <w:rPr>
                <w:lang w:val="es-ES"/>
              </w:rPr>
            </w:pPr>
            <w:r w:rsidRPr="000D2717">
              <w:rPr>
                <w:lang w:val="es-ES"/>
              </w:rPr>
              <w:t>g)</w:t>
            </w:r>
            <w:r w:rsidRPr="000D2717">
              <w:rPr>
                <w:lang w:val="es-ES"/>
              </w:rPr>
              <w:tab/>
            </w:r>
            <w:r>
              <w:rPr>
                <w:lang w:val="es-ES"/>
              </w:rPr>
              <w:t>Si</w:t>
            </w:r>
            <w:r w:rsidRPr="000E1637">
              <w:rPr>
                <w:lang w:val="es-ES"/>
              </w:rPr>
              <w:t xml:space="preserve"> </w:t>
            </w:r>
            <w:r>
              <w:rPr>
                <w:lang w:val="es-ES"/>
              </w:rPr>
              <w:t xml:space="preserve">la </w:t>
            </w:r>
            <w:r w:rsidRPr="000E1637">
              <w:rPr>
                <w:lang w:val="es-ES"/>
              </w:rPr>
              <w:t xml:space="preserve">red afectada </w:t>
            </w:r>
            <w:r>
              <w:rPr>
                <w:lang w:val="es-ES"/>
              </w:rPr>
              <w:t xml:space="preserve">a la que se refieren los </w:t>
            </w:r>
            <w:r w:rsidRPr="000E1637">
              <w:rPr>
                <w:lang w:val="es-ES"/>
              </w:rPr>
              <w:t>apartado</w:t>
            </w:r>
            <w:r>
              <w:rPr>
                <w:lang w:val="es-ES"/>
              </w:rPr>
              <w:t>s</w:t>
            </w:r>
            <w:r w:rsidRPr="000E1637">
              <w:rPr>
                <w:lang w:val="es-ES"/>
              </w:rPr>
              <w:t xml:space="preserve"> c) o d) anteriores se inscrib</w:t>
            </w:r>
            <w:r>
              <w:rPr>
                <w:lang w:val="es-ES"/>
              </w:rPr>
              <w:t>e</w:t>
            </w:r>
            <w:r w:rsidRPr="000E1637">
              <w:rPr>
                <w:lang w:val="es-ES"/>
              </w:rPr>
              <w:t xml:space="preserve"> en la Lista, la Oficina </w:t>
            </w:r>
            <w:r>
              <w:rPr>
                <w:lang w:val="es-ES"/>
              </w:rPr>
              <w:t>examinará</w:t>
            </w:r>
            <w:r w:rsidRPr="000E1637">
              <w:rPr>
                <w:lang w:val="es-ES"/>
              </w:rPr>
              <w:t xml:space="preserve"> </w:t>
            </w:r>
            <w:r>
              <w:rPr>
                <w:lang w:val="es-ES"/>
              </w:rPr>
              <w:t>la situación</w:t>
            </w:r>
            <w:r w:rsidRPr="000E1637">
              <w:rPr>
                <w:lang w:val="es-ES"/>
              </w:rPr>
              <w:t xml:space="preserve"> de la red </w:t>
            </w:r>
            <w:r>
              <w:rPr>
                <w:lang w:val="es-ES"/>
              </w:rPr>
              <w:t>en</w:t>
            </w:r>
            <w:r w:rsidRPr="000E1637">
              <w:rPr>
                <w:lang w:val="es-ES"/>
              </w:rPr>
              <w:t xml:space="preserve"> la Lista</w:t>
            </w:r>
            <w:r>
              <w:rPr>
                <w:lang w:val="es-ES"/>
              </w:rPr>
              <w:t>, con sujeción</w:t>
            </w:r>
            <w:r w:rsidRPr="000E1637">
              <w:rPr>
                <w:lang w:val="es-ES"/>
              </w:rPr>
              <w:t xml:space="preserve"> </w:t>
            </w:r>
            <w:r>
              <w:rPr>
                <w:lang w:val="es-ES"/>
              </w:rPr>
              <w:t>a lo establecido en virtud del</w:t>
            </w:r>
            <w:r w:rsidRPr="000E1637">
              <w:rPr>
                <w:lang w:val="es-ES"/>
              </w:rPr>
              <w:t xml:space="preserve"> Tema F, </w:t>
            </w:r>
            <w:r>
              <w:rPr>
                <w:lang w:val="es-ES"/>
              </w:rPr>
              <w:t>según</w:t>
            </w:r>
            <w:r w:rsidRPr="000E1637">
              <w:rPr>
                <w:lang w:val="es-ES"/>
              </w:rPr>
              <w:t xml:space="preserve"> los principios </w:t>
            </w:r>
            <w:r>
              <w:rPr>
                <w:lang w:val="es-ES"/>
              </w:rPr>
              <w:t>señalados</w:t>
            </w:r>
            <w:r w:rsidRPr="000E1637">
              <w:rPr>
                <w:lang w:val="es-ES"/>
              </w:rPr>
              <w:t xml:space="preserve"> en el apartado b) anterior y </w:t>
            </w:r>
            <w:r>
              <w:rPr>
                <w:lang w:val="es-ES"/>
              </w:rPr>
              <w:t>el número</w:t>
            </w:r>
            <w:r w:rsidRPr="000E1637">
              <w:rPr>
                <w:lang w:val="es-ES"/>
              </w:rPr>
              <w:t xml:space="preserve"> 9</w:t>
            </w:r>
            <w:r w:rsidRPr="004E1829">
              <w:rPr>
                <w:i/>
                <w:iCs/>
                <w:lang w:val="es-ES"/>
              </w:rPr>
              <w:t>bis</w:t>
            </w:r>
            <w:r w:rsidRPr="000E1637">
              <w:rPr>
                <w:lang w:val="es-ES"/>
              </w:rPr>
              <w:t xml:space="preserve"> del Artículo 4 del Apéndice </w:t>
            </w:r>
            <w:r w:rsidRPr="004E1829">
              <w:rPr>
                <w:b/>
                <w:bCs/>
                <w:lang w:val="es-ES"/>
              </w:rPr>
              <w:t>30A</w:t>
            </w:r>
            <w:r w:rsidRPr="000E1637">
              <w:rPr>
                <w:lang w:val="es-ES"/>
              </w:rPr>
              <w:t xml:space="preserve"> del RR</w:t>
            </w:r>
            <w:r>
              <w:rPr>
                <w:lang w:val="es-ES"/>
              </w:rPr>
              <w:t>,</w:t>
            </w:r>
            <w:r w:rsidRPr="000E1637">
              <w:rPr>
                <w:lang w:val="es-ES"/>
              </w:rPr>
              <w:t xml:space="preserve"> o </w:t>
            </w:r>
            <w:r>
              <w:rPr>
                <w:lang w:val="es-ES"/>
              </w:rPr>
              <w:t>el número</w:t>
            </w:r>
            <w:r w:rsidRPr="000E1637">
              <w:rPr>
                <w:lang w:val="es-ES"/>
              </w:rPr>
              <w:t xml:space="preserve"> 7</w:t>
            </w:r>
            <w:r w:rsidRPr="004E1829">
              <w:rPr>
                <w:i/>
                <w:iCs/>
                <w:lang w:val="es-ES"/>
              </w:rPr>
              <w:t>bis</w:t>
            </w:r>
            <w:r w:rsidRPr="000E1637">
              <w:rPr>
                <w:lang w:val="es-ES"/>
              </w:rPr>
              <w:t xml:space="preserve"> del Apéndice </w:t>
            </w:r>
            <w:r w:rsidRPr="004E1829">
              <w:rPr>
                <w:b/>
                <w:bCs/>
                <w:lang w:val="es-ES"/>
              </w:rPr>
              <w:t>30B</w:t>
            </w:r>
            <w:r w:rsidRPr="000E1637">
              <w:rPr>
                <w:lang w:val="es-ES"/>
              </w:rPr>
              <w:t xml:space="preserve"> del RR, según proceda</w:t>
            </w:r>
            <w:r w:rsidRPr="000D2717">
              <w:rPr>
                <w:lang w:val="es-ES"/>
              </w:rPr>
              <w:t>.</w:t>
            </w:r>
          </w:p>
          <w:p w14:paraId="59C8D39C" w14:textId="77777777" w:rsidR="00B20F1E" w:rsidRPr="000D2717" w:rsidRDefault="00B20F1E" w:rsidP="00267359">
            <w:pPr>
              <w:pStyle w:val="Tabletext"/>
              <w:rPr>
                <w:rFonts w:eastAsia="Calibri"/>
                <w:i/>
                <w:lang w:val="es-ES"/>
              </w:rPr>
            </w:pPr>
            <w:r>
              <w:rPr>
                <w:lang w:val="es-ES"/>
              </w:rPr>
              <w:t>Habida cuenta</w:t>
            </w:r>
            <w:r w:rsidRPr="007B4D6E">
              <w:rPr>
                <w:lang w:val="es-ES"/>
              </w:rPr>
              <w:t xml:space="preserve"> de lo anterior, se proponen las modificaciones y adiciones </w:t>
            </w:r>
            <w:r>
              <w:rPr>
                <w:lang w:val="es-ES"/>
              </w:rPr>
              <w:t>pertinentes en relación con los</w:t>
            </w:r>
            <w:r w:rsidRPr="007B4D6E">
              <w:rPr>
                <w:lang w:val="es-ES"/>
              </w:rPr>
              <w:t xml:space="preserve"> Apéndice</w:t>
            </w:r>
            <w:r>
              <w:rPr>
                <w:lang w:val="es-ES"/>
              </w:rPr>
              <w:t>s</w:t>
            </w:r>
            <w:r w:rsidRPr="007B4D6E">
              <w:rPr>
                <w:lang w:val="es-ES"/>
              </w:rPr>
              <w:t xml:space="preserve"> </w:t>
            </w:r>
            <w:r w:rsidRPr="004E1829">
              <w:rPr>
                <w:b/>
                <w:lang w:val="es-ES"/>
              </w:rPr>
              <w:t>30A</w:t>
            </w:r>
            <w:r w:rsidRPr="007B4D6E">
              <w:rPr>
                <w:lang w:val="es-ES"/>
              </w:rPr>
              <w:t xml:space="preserve"> </w:t>
            </w:r>
            <w:r>
              <w:rPr>
                <w:lang w:val="es-ES"/>
              </w:rPr>
              <w:t xml:space="preserve">y </w:t>
            </w:r>
            <w:r w:rsidRPr="004E1829">
              <w:rPr>
                <w:b/>
                <w:lang w:val="es-ES"/>
              </w:rPr>
              <w:t>30B</w:t>
            </w:r>
            <w:r w:rsidRPr="007B4D6E">
              <w:rPr>
                <w:lang w:val="es-ES"/>
              </w:rPr>
              <w:t xml:space="preserve"> </w:t>
            </w:r>
            <w:r>
              <w:rPr>
                <w:lang w:val="es-ES"/>
              </w:rPr>
              <w:t>(</w:t>
            </w:r>
            <w:r w:rsidRPr="00F67B9E">
              <w:rPr>
                <w:lang w:val="es-ES"/>
              </w:rPr>
              <w:t xml:space="preserve">véase el </w:t>
            </w:r>
            <w:proofErr w:type="spellStart"/>
            <w:r>
              <w:rPr>
                <w:lang w:val="es-ES"/>
              </w:rPr>
              <w:t>addéndum</w:t>
            </w:r>
            <w:proofErr w:type="spellEnd"/>
            <w:r w:rsidRPr="00F67B9E">
              <w:rPr>
                <w:lang w:val="es-ES"/>
              </w:rPr>
              <w:t xml:space="preserve"> correspondiente a</w:t>
            </w:r>
            <w:r>
              <w:rPr>
                <w:lang w:val="es-ES"/>
              </w:rPr>
              <w:t>l presente</w:t>
            </w:r>
            <w:r w:rsidRPr="00F67B9E">
              <w:rPr>
                <w:lang w:val="es-ES"/>
              </w:rPr>
              <w:t xml:space="preserve"> documento de base que figura en el </w:t>
            </w:r>
            <w:r>
              <w:rPr>
                <w:lang w:val="es-ES"/>
              </w:rPr>
              <w:t>A</w:t>
            </w:r>
            <w:r w:rsidRPr="00F67B9E">
              <w:rPr>
                <w:lang w:val="es-ES"/>
              </w:rPr>
              <w:t>nexo 2</w:t>
            </w:r>
            <w:r>
              <w:rPr>
                <w:lang w:val="es-ES"/>
              </w:rPr>
              <w:t>)</w:t>
            </w:r>
            <w:r w:rsidRPr="007B4D6E">
              <w:rPr>
                <w:lang w:val="es-ES"/>
              </w:rPr>
              <w:t>.</w:t>
            </w:r>
            <w:r w:rsidRPr="007B4D6E">
              <w:rPr>
                <w:rFonts w:eastAsia="Calibri"/>
                <w:lang w:val="es-ES"/>
              </w:rPr>
              <w:t xml:space="preserve"> </w:t>
            </w:r>
          </w:p>
        </w:tc>
      </w:tr>
      <w:tr w:rsidR="00B20F1E" w:rsidRPr="00B707C8" w14:paraId="4C65B36B" w14:textId="77777777" w:rsidTr="00DB48C6">
        <w:trPr>
          <w:jc w:val="center"/>
        </w:trPr>
        <w:tc>
          <w:tcPr>
            <w:tcW w:w="2547" w:type="dxa"/>
          </w:tcPr>
          <w:p w14:paraId="095F98FD" w14:textId="32668832" w:rsidR="00B20F1E" w:rsidRPr="004E1829" w:rsidRDefault="00B20F1E" w:rsidP="004E1829">
            <w:pPr>
              <w:pStyle w:val="Tabletext"/>
              <w:rPr>
                <w:rFonts w:eastAsia="Calibri"/>
                <w:b/>
                <w:bCs/>
                <w:lang w:val="es-ES"/>
              </w:rPr>
            </w:pPr>
            <w:r w:rsidRPr="004E1829">
              <w:rPr>
                <w:rFonts w:eastAsia="Calibri"/>
                <w:b/>
                <w:bCs/>
                <w:lang w:val="es-ES"/>
              </w:rPr>
              <w:lastRenderedPageBreak/>
              <w:t>Punto 7, Tema G:</w:t>
            </w:r>
          </w:p>
          <w:p w14:paraId="337CC80D" w14:textId="7A0B41B9" w:rsidR="00B20F1E" w:rsidRPr="000D2717" w:rsidRDefault="00B20F1E" w:rsidP="004E1829">
            <w:pPr>
              <w:pStyle w:val="Tabletext"/>
              <w:rPr>
                <w:rFonts w:eastAsia="Calibri"/>
                <w:lang w:val="es-ES"/>
              </w:rPr>
            </w:pPr>
            <w:r w:rsidRPr="000D2717">
              <w:rPr>
                <w:rFonts w:eastAsia="Calibri"/>
                <w:lang w:val="es-ES"/>
              </w:rPr>
              <w:t>Revisiones de la Resolución</w:t>
            </w:r>
            <w:r w:rsidR="004E1829">
              <w:rPr>
                <w:rFonts w:eastAsia="Calibri"/>
                <w:lang w:val="es-ES"/>
              </w:rPr>
              <w:t> </w:t>
            </w:r>
            <w:r w:rsidRPr="004E1829">
              <w:rPr>
                <w:rFonts w:eastAsia="Calibri"/>
                <w:b/>
                <w:bCs/>
                <w:lang w:val="es-ES"/>
              </w:rPr>
              <w:t>770</w:t>
            </w:r>
            <w:r w:rsidRPr="000D2717">
              <w:rPr>
                <w:rFonts w:eastAsia="Calibri"/>
                <w:lang w:val="es-ES"/>
              </w:rPr>
              <w:t xml:space="preserve"> (CMR-19) (PROTECCIÓN DE LAS OSG CONTRA LAS NO OSG EN BANDAS Q/V) para permitir su aplicación</w:t>
            </w:r>
          </w:p>
        </w:tc>
        <w:tc>
          <w:tcPr>
            <w:tcW w:w="6718" w:type="dxa"/>
          </w:tcPr>
          <w:p w14:paraId="55135FA8" w14:textId="77777777" w:rsidR="00B20F1E" w:rsidRPr="000D2717" w:rsidRDefault="00B20F1E" w:rsidP="004E1829">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63498E10" w14:textId="14046760" w:rsidR="00B20F1E" w:rsidRPr="000D2717" w:rsidRDefault="00B20F1E" w:rsidP="004E1829">
            <w:pPr>
              <w:pStyle w:val="Tabletext"/>
              <w:rPr>
                <w:rFonts w:eastAsia="Calibri"/>
                <w:lang w:val="es-ES"/>
              </w:rPr>
            </w:pPr>
            <w:r w:rsidRPr="004E1829">
              <w:rPr>
                <w:rFonts w:eastAsia="Calibri"/>
                <w:b/>
                <w:bCs/>
                <w:lang w:val="es-ES"/>
              </w:rPr>
              <w:t>Apoyar el método G3</w:t>
            </w:r>
            <w:r w:rsidRPr="000D2717">
              <w:rPr>
                <w:rFonts w:eastAsia="Calibri"/>
                <w:lang w:val="es-ES"/>
              </w:rPr>
              <w:t xml:space="preserve"> </w:t>
            </w:r>
            <w:r w:rsidR="004E1829" w:rsidRPr="004E1829">
              <w:rPr>
                <w:rFonts w:eastAsia="Calibri"/>
                <w:lang w:val="es-ES"/>
              </w:rPr>
              <w:t>–</w:t>
            </w:r>
            <w:r w:rsidRPr="000D2717">
              <w:rPr>
                <w:rFonts w:eastAsia="Calibri"/>
                <w:lang w:val="es-ES"/>
              </w:rPr>
              <w:t xml:space="preserve"> que propone suprimir el anexo 2 de la Resolución </w:t>
            </w:r>
            <w:r w:rsidRPr="00DB1DF5">
              <w:rPr>
                <w:rFonts w:eastAsia="Calibri"/>
                <w:b/>
                <w:bCs/>
                <w:lang w:val="es-ES"/>
              </w:rPr>
              <w:t xml:space="preserve">770 </w:t>
            </w:r>
            <w:r w:rsidRPr="000D2717">
              <w:rPr>
                <w:rFonts w:eastAsia="Calibri"/>
                <w:lang w:val="es-ES"/>
              </w:rPr>
              <w:t>(CMR-19) y trasladarlo a una nueva recomendación UIT-R</w:t>
            </w:r>
            <w:r w:rsidR="00DB1DF5">
              <w:rPr>
                <w:rFonts w:eastAsia="Calibri"/>
                <w:lang w:val="es-ES"/>
              </w:rPr>
              <w:t>.</w:t>
            </w:r>
          </w:p>
          <w:p w14:paraId="17DBFA72" w14:textId="77777777" w:rsidR="00B20F1E" w:rsidRPr="000D2717" w:rsidRDefault="00B20F1E" w:rsidP="004E1829">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6D2399D7" w14:textId="77777777" w:rsidR="00B20F1E" w:rsidRPr="004E1829" w:rsidRDefault="00B20F1E" w:rsidP="004E1829">
            <w:pPr>
              <w:pStyle w:val="Tabletext"/>
              <w:rPr>
                <w:rFonts w:eastAsia="Calibri"/>
                <w:b/>
                <w:bCs/>
                <w:color w:val="000000"/>
                <w:lang w:val="es-ES"/>
              </w:rPr>
            </w:pPr>
            <w:r w:rsidRPr="004E1829">
              <w:rPr>
                <w:rFonts w:eastAsia="Calibri"/>
                <w:b/>
                <w:bCs/>
                <w:i/>
                <w:color w:val="000000"/>
                <w:lang w:val="es-ES"/>
              </w:rPr>
              <w:t>Solicitar a las administraciones de las UTA que:</w:t>
            </w:r>
          </w:p>
          <w:p w14:paraId="09D1B050" w14:textId="77777777" w:rsidR="00B20F1E" w:rsidRPr="000D2717" w:rsidRDefault="00B20F1E" w:rsidP="004E1829">
            <w:pPr>
              <w:pStyle w:val="Tabletext"/>
              <w:rPr>
                <w:rFonts w:eastAsia="Calibri"/>
                <w:i/>
                <w:lang w:val="es-ES"/>
              </w:rPr>
            </w:pPr>
            <w:r w:rsidRPr="004E1829">
              <w:rPr>
                <w:rFonts w:eastAsia="Calibri"/>
                <w:b/>
                <w:bCs/>
                <w:lang w:val="es-ES"/>
              </w:rPr>
              <w:t>Apoye</w:t>
            </w:r>
            <w:r w:rsidRPr="000D2717">
              <w:rPr>
                <w:rFonts w:eastAsia="Calibri"/>
                <w:lang w:val="es-ES"/>
              </w:rPr>
              <w:t xml:space="preserve"> a la AFCP en este tema.</w:t>
            </w:r>
          </w:p>
        </w:tc>
      </w:tr>
      <w:tr w:rsidR="00B20F1E" w:rsidRPr="00B707C8" w14:paraId="5978AE0C" w14:textId="77777777" w:rsidTr="00DB48C6">
        <w:trPr>
          <w:jc w:val="center"/>
        </w:trPr>
        <w:tc>
          <w:tcPr>
            <w:tcW w:w="2547" w:type="dxa"/>
          </w:tcPr>
          <w:p w14:paraId="74A0FF36" w14:textId="1F87A8E1" w:rsidR="00B20F1E" w:rsidRPr="004E1829" w:rsidRDefault="00B20F1E" w:rsidP="004E1829">
            <w:pPr>
              <w:pStyle w:val="Tabletext"/>
              <w:rPr>
                <w:rFonts w:eastAsia="Calibri"/>
                <w:b/>
                <w:bCs/>
                <w:lang w:val="es-ES"/>
              </w:rPr>
            </w:pPr>
            <w:r w:rsidRPr="004E1829">
              <w:rPr>
                <w:rFonts w:eastAsia="Calibri"/>
                <w:b/>
                <w:bCs/>
                <w:lang w:val="es-ES"/>
              </w:rPr>
              <w:t>Punto 7, Tema H:</w:t>
            </w:r>
          </w:p>
          <w:p w14:paraId="5F6BB7AC" w14:textId="77777777" w:rsidR="00B20F1E" w:rsidRPr="000D2717" w:rsidRDefault="00B20F1E" w:rsidP="004E1829">
            <w:pPr>
              <w:pStyle w:val="Tabletext"/>
              <w:rPr>
                <w:rFonts w:eastAsia="Calibri"/>
                <w:lang w:val="es-ES"/>
              </w:rPr>
            </w:pPr>
            <w:r w:rsidRPr="003B414F">
              <w:rPr>
                <w:rFonts w:eastAsia="Calibri"/>
                <w:lang w:val="es-ES"/>
              </w:rPr>
              <w:t xml:space="preserve">Mejora de la protección en los Apéndices </w:t>
            </w:r>
            <w:r w:rsidRPr="004E1829">
              <w:rPr>
                <w:rFonts w:eastAsia="Calibri"/>
                <w:b/>
                <w:bCs/>
                <w:lang w:val="es-ES"/>
              </w:rPr>
              <w:t>30/30A</w:t>
            </w:r>
            <w:r w:rsidRPr="003B414F">
              <w:rPr>
                <w:rFonts w:eastAsia="Calibri"/>
                <w:lang w:val="es-ES"/>
              </w:rPr>
              <w:t xml:space="preserve"> del RR</w:t>
            </w:r>
            <w:r>
              <w:rPr>
                <w:rFonts w:eastAsia="Calibri"/>
                <w:lang w:val="es-ES"/>
              </w:rPr>
              <w:t xml:space="preserve"> </w:t>
            </w:r>
            <w:r w:rsidRPr="003B414F">
              <w:rPr>
                <w:rFonts w:eastAsia="Calibri"/>
                <w:lang w:val="es-ES"/>
              </w:rPr>
              <w:t xml:space="preserve">para las Regiones 1 y 3 y en el Apéndice </w:t>
            </w:r>
            <w:r w:rsidRPr="004E1829">
              <w:rPr>
                <w:rFonts w:eastAsia="Calibri"/>
                <w:b/>
                <w:bCs/>
                <w:lang w:val="es-ES"/>
              </w:rPr>
              <w:t>30B</w:t>
            </w:r>
            <w:r>
              <w:rPr>
                <w:rFonts w:eastAsia="Calibri"/>
                <w:lang w:val="es-ES"/>
              </w:rPr>
              <w:t>.</w:t>
            </w:r>
          </w:p>
        </w:tc>
        <w:tc>
          <w:tcPr>
            <w:tcW w:w="6718" w:type="dxa"/>
          </w:tcPr>
          <w:p w14:paraId="42722178" w14:textId="77777777" w:rsidR="00B20F1E" w:rsidRPr="000D2717" w:rsidRDefault="00B20F1E" w:rsidP="004E1829">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2F7AC639" w14:textId="31616F72" w:rsidR="00B20F1E" w:rsidRPr="000D2717" w:rsidRDefault="004E1829" w:rsidP="004E1829">
            <w:pPr>
              <w:pStyle w:val="Tabletext"/>
              <w:ind w:left="284" w:hanging="284"/>
              <w:rPr>
                <w:rFonts w:eastAsia="Calibri"/>
                <w:color w:val="000000"/>
                <w:lang w:val="es-ES"/>
              </w:rPr>
            </w:pPr>
            <w:r>
              <w:rPr>
                <w:rFonts w:eastAsia="Calibri"/>
                <w:color w:val="000000"/>
                <w:lang w:val="es-ES"/>
              </w:rPr>
              <w:t>1</w:t>
            </w:r>
            <w:r>
              <w:rPr>
                <w:rFonts w:eastAsia="Calibri"/>
                <w:color w:val="000000"/>
                <w:lang w:val="es-ES"/>
              </w:rPr>
              <w:tab/>
            </w:r>
            <w:r w:rsidR="00B20F1E" w:rsidRPr="004E1829">
              <w:rPr>
                <w:rFonts w:eastAsia="Calibri"/>
                <w:b/>
                <w:bCs/>
                <w:color w:val="000000"/>
                <w:lang w:val="es-ES"/>
              </w:rPr>
              <w:t>Apoyar</w:t>
            </w:r>
            <w:r w:rsidR="00B20F1E" w:rsidRPr="000D2717">
              <w:rPr>
                <w:rFonts w:eastAsia="Calibri"/>
                <w:color w:val="000000"/>
                <w:lang w:val="es-ES"/>
              </w:rPr>
              <w:t xml:space="preserve"> </w:t>
            </w:r>
            <w:r w:rsidR="00B20F1E">
              <w:rPr>
                <w:rFonts w:eastAsia="Calibri"/>
                <w:color w:val="000000"/>
                <w:lang w:val="es-ES"/>
              </w:rPr>
              <w:t>e</w:t>
            </w:r>
            <w:r w:rsidR="00B20F1E" w:rsidRPr="000D2717">
              <w:rPr>
                <w:rFonts w:eastAsia="Calibri"/>
                <w:color w:val="000000"/>
                <w:lang w:val="es-ES"/>
              </w:rPr>
              <w:t>l método H1B</w:t>
            </w:r>
            <w:r w:rsidR="00B20F1E">
              <w:rPr>
                <w:rFonts w:eastAsia="Calibri"/>
                <w:color w:val="000000"/>
                <w:lang w:val="es-ES"/>
              </w:rPr>
              <w:t>,</w:t>
            </w:r>
            <w:r w:rsidR="00B20F1E" w:rsidRPr="000D2717">
              <w:rPr>
                <w:rFonts w:eastAsia="Calibri"/>
                <w:color w:val="000000"/>
                <w:lang w:val="es-ES"/>
              </w:rPr>
              <w:t xml:space="preserve"> opción 1</w:t>
            </w:r>
            <w:r w:rsidR="00B20F1E">
              <w:rPr>
                <w:rFonts w:eastAsia="Calibri"/>
                <w:color w:val="000000"/>
                <w:lang w:val="es-ES"/>
              </w:rPr>
              <w:t>,</w:t>
            </w:r>
            <w:r w:rsidR="00B20F1E" w:rsidRPr="000D2717">
              <w:rPr>
                <w:rFonts w:eastAsia="Calibri"/>
                <w:color w:val="000000"/>
                <w:lang w:val="es-ES"/>
              </w:rPr>
              <w:t xml:space="preserve"> en relación con el concepto de acuerdo implícito </w:t>
            </w:r>
          </w:p>
          <w:p w14:paraId="14133314" w14:textId="48311CD3" w:rsidR="00B20F1E" w:rsidRPr="000D2717" w:rsidRDefault="004E1829" w:rsidP="004E1829">
            <w:pPr>
              <w:pStyle w:val="Tabletext"/>
              <w:ind w:left="284" w:hanging="284"/>
              <w:rPr>
                <w:rFonts w:eastAsia="Calibri"/>
                <w:color w:val="000000"/>
                <w:lang w:val="es-ES"/>
              </w:rPr>
            </w:pPr>
            <w:r>
              <w:rPr>
                <w:rFonts w:eastAsia="Calibri"/>
                <w:color w:val="000000"/>
                <w:lang w:val="es-ES"/>
              </w:rPr>
              <w:t>2</w:t>
            </w:r>
            <w:r>
              <w:rPr>
                <w:rFonts w:eastAsia="Calibri"/>
                <w:color w:val="000000"/>
                <w:lang w:val="es-ES"/>
              </w:rPr>
              <w:tab/>
            </w:r>
            <w:r w:rsidR="00B20F1E" w:rsidRPr="004E1829">
              <w:rPr>
                <w:rFonts w:eastAsia="Calibri"/>
                <w:b/>
                <w:bCs/>
                <w:color w:val="000000"/>
                <w:lang w:val="es-ES"/>
              </w:rPr>
              <w:t>Apoyar</w:t>
            </w:r>
            <w:r w:rsidR="00B20F1E" w:rsidRPr="000D2717">
              <w:rPr>
                <w:rFonts w:eastAsia="Calibri"/>
                <w:color w:val="000000"/>
                <w:lang w:val="es-ES"/>
              </w:rPr>
              <w:t xml:space="preserve"> el método H2B con respecto a la </w:t>
            </w:r>
            <w:r w:rsidR="00B20F1E">
              <w:rPr>
                <w:rFonts w:eastAsia="Calibri"/>
                <w:color w:val="000000"/>
                <w:lang w:val="es-ES"/>
              </w:rPr>
              <w:t>t</w:t>
            </w:r>
            <w:r w:rsidR="00B20F1E" w:rsidRPr="00B67D15">
              <w:rPr>
                <w:rFonts w:eastAsia="Calibri"/>
                <w:color w:val="000000"/>
                <w:lang w:val="es-ES"/>
              </w:rPr>
              <w:t>olerancia a la degradación del</w:t>
            </w:r>
            <w:r w:rsidR="00DB1DF5">
              <w:rPr>
                <w:rFonts w:eastAsia="Calibri"/>
                <w:color w:val="000000"/>
                <w:lang w:val="es-ES"/>
              </w:rPr>
              <w:t> </w:t>
            </w:r>
            <w:r w:rsidR="00B20F1E" w:rsidRPr="00B67D15">
              <w:rPr>
                <w:rFonts w:eastAsia="Calibri"/>
                <w:color w:val="000000"/>
                <w:lang w:val="es-ES"/>
              </w:rPr>
              <w:t>MPE</w:t>
            </w:r>
          </w:p>
          <w:p w14:paraId="3F9B4CD9" w14:textId="20FD34B0" w:rsidR="00B20F1E" w:rsidRPr="000D2717" w:rsidRDefault="004E1829" w:rsidP="004E1829">
            <w:pPr>
              <w:pStyle w:val="Tabletext"/>
              <w:ind w:left="284" w:hanging="284"/>
              <w:rPr>
                <w:rFonts w:eastAsia="Calibri"/>
                <w:color w:val="000000"/>
                <w:lang w:val="es-ES"/>
              </w:rPr>
            </w:pPr>
            <w:r>
              <w:rPr>
                <w:rFonts w:eastAsia="Calibri"/>
                <w:color w:val="000000"/>
                <w:lang w:val="es-ES"/>
              </w:rPr>
              <w:t>3</w:t>
            </w:r>
            <w:r>
              <w:rPr>
                <w:rFonts w:eastAsia="Calibri"/>
                <w:color w:val="000000"/>
                <w:lang w:val="es-ES"/>
              </w:rPr>
              <w:tab/>
            </w:r>
            <w:r w:rsidR="00B20F1E" w:rsidRPr="004E1829">
              <w:rPr>
                <w:rFonts w:eastAsia="Calibri"/>
                <w:b/>
                <w:bCs/>
                <w:color w:val="000000"/>
                <w:lang w:val="es-ES"/>
              </w:rPr>
              <w:t>Nota:</w:t>
            </w:r>
            <w:r w:rsidR="00B20F1E" w:rsidRPr="000D2717">
              <w:rPr>
                <w:rFonts w:eastAsia="Calibri"/>
                <w:color w:val="000000"/>
                <w:lang w:val="es-ES"/>
              </w:rPr>
              <w:t xml:space="preserve"> Algunas administraciones opinan que los métodos propuestos podrían afectar a los sistemas en funcionamiento de otras administraciones africanas. </w:t>
            </w:r>
            <w:r w:rsidR="00B20F1E">
              <w:rPr>
                <w:rFonts w:eastAsia="Calibri"/>
                <w:color w:val="000000"/>
                <w:lang w:val="es-ES"/>
              </w:rPr>
              <w:t>Por otro lado</w:t>
            </w:r>
            <w:r w:rsidR="00B20F1E" w:rsidRPr="000D2717">
              <w:rPr>
                <w:rFonts w:eastAsia="Calibri"/>
                <w:color w:val="000000"/>
                <w:lang w:val="es-ES"/>
              </w:rPr>
              <w:t xml:space="preserve">, </w:t>
            </w:r>
            <w:r w:rsidR="00B20F1E">
              <w:rPr>
                <w:rFonts w:eastAsia="Calibri"/>
                <w:color w:val="000000"/>
                <w:lang w:val="es-ES"/>
              </w:rPr>
              <w:t>varios</w:t>
            </w:r>
            <w:r w:rsidR="00B20F1E" w:rsidRPr="000D2717">
              <w:rPr>
                <w:rFonts w:eastAsia="Calibri"/>
                <w:color w:val="000000"/>
                <w:lang w:val="es-ES"/>
              </w:rPr>
              <w:t xml:space="preserve"> cambios propuestos podrían aumentar los requisitos de coordinación.</w:t>
            </w:r>
          </w:p>
          <w:p w14:paraId="43DFFEB8" w14:textId="77777777" w:rsidR="00B20F1E" w:rsidRPr="000D2717" w:rsidRDefault="00B20F1E" w:rsidP="004E1829">
            <w:pPr>
              <w:pStyle w:val="Tabletext"/>
              <w:rPr>
                <w:rFonts w:eastAsia="Calibri"/>
                <w:i/>
                <w:u w:val="single"/>
                <w:lang w:val="es-ES"/>
              </w:rPr>
            </w:pPr>
            <w:r w:rsidRPr="000D2717">
              <w:rPr>
                <w:rFonts w:eastAsia="Calibri"/>
                <w:i/>
                <w:u w:val="single"/>
                <w:lang w:val="es-ES"/>
              </w:rPr>
              <w:lastRenderedPageBreak/>
              <w:t xml:space="preserve">Parte 2: </w:t>
            </w:r>
            <w:r>
              <w:rPr>
                <w:rFonts w:eastAsia="Calibri"/>
                <w:i/>
                <w:u w:val="single"/>
                <w:lang w:val="es-ES"/>
              </w:rPr>
              <w:t>Medidas propuestas</w:t>
            </w:r>
          </w:p>
          <w:p w14:paraId="033BA32D" w14:textId="77777777" w:rsidR="00B20F1E" w:rsidRPr="004E1829" w:rsidRDefault="00B20F1E" w:rsidP="004E1829">
            <w:pPr>
              <w:pStyle w:val="Tabletext"/>
              <w:rPr>
                <w:rFonts w:eastAsia="Calibri"/>
                <w:b/>
                <w:bCs/>
                <w:color w:val="000000"/>
                <w:lang w:val="es-ES"/>
              </w:rPr>
            </w:pPr>
            <w:r w:rsidRPr="004E1829">
              <w:rPr>
                <w:rFonts w:eastAsia="Calibri"/>
                <w:b/>
                <w:bCs/>
                <w:i/>
                <w:color w:val="000000"/>
                <w:lang w:val="es-ES"/>
              </w:rPr>
              <w:t>Solicitar a las administraciones de la UAT que:</w:t>
            </w:r>
          </w:p>
          <w:p w14:paraId="21EFB005" w14:textId="671611E5" w:rsidR="00B20F1E" w:rsidRPr="000D2717" w:rsidRDefault="004E1829" w:rsidP="004E1829">
            <w:pPr>
              <w:pStyle w:val="Tabletext"/>
              <w:rPr>
                <w:rFonts w:eastAsia="Calibri"/>
                <w:color w:val="000000"/>
                <w:lang w:val="es-ES"/>
              </w:rPr>
            </w:pPr>
            <w:r>
              <w:rPr>
                <w:rFonts w:eastAsia="Calibri"/>
                <w:color w:val="000000"/>
                <w:lang w:val="es-ES"/>
              </w:rPr>
              <w:t>1</w:t>
            </w:r>
            <w:r>
              <w:rPr>
                <w:rFonts w:eastAsia="Calibri"/>
                <w:color w:val="000000"/>
                <w:lang w:val="es-ES"/>
              </w:rPr>
              <w:tab/>
            </w:r>
            <w:r w:rsidR="00B20F1E" w:rsidRPr="004E1829">
              <w:rPr>
                <w:rFonts w:eastAsia="Calibri"/>
                <w:b/>
                <w:bCs/>
                <w:color w:val="000000"/>
                <w:lang w:val="es-ES"/>
              </w:rPr>
              <w:t>Apoyen</w:t>
            </w:r>
            <w:r w:rsidR="00B20F1E" w:rsidRPr="000D2717">
              <w:rPr>
                <w:rFonts w:eastAsia="Calibri"/>
                <w:color w:val="000000"/>
                <w:lang w:val="es-ES"/>
              </w:rPr>
              <w:t xml:space="preserve"> la </w:t>
            </w:r>
            <w:r w:rsidR="00B20F1E">
              <w:rPr>
                <w:rFonts w:eastAsia="Calibri"/>
                <w:color w:val="000000"/>
                <w:lang w:val="es-ES"/>
              </w:rPr>
              <w:t>AFCP en relación con</w:t>
            </w:r>
            <w:r w:rsidR="00B20F1E" w:rsidRPr="000D2717">
              <w:rPr>
                <w:rFonts w:eastAsia="Calibri"/>
                <w:color w:val="000000"/>
                <w:lang w:val="es-ES"/>
              </w:rPr>
              <w:t xml:space="preserve"> este tema.</w:t>
            </w:r>
          </w:p>
          <w:p w14:paraId="03406BEA" w14:textId="66DA4C69" w:rsidR="00B20F1E" w:rsidRPr="000D2717" w:rsidRDefault="004E1829" w:rsidP="004E1829">
            <w:pPr>
              <w:pStyle w:val="Tabletext"/>
              <w:ind w:left="284" w:hanging="284"/>
              <w:rPr>
                <w:rFonts w:eastAsia="Calibri"/>
                <w:i/>
                <w:lang w:val="es-ES"/>
              </w:rPr>
            </w:pPr>
            <w:r>
              <w:rPr>
                <w:rFonts w:eastAsia="Calibri"/>
                <w:color w:val="000000"/>
                <w:lang w:val="es-ES"/>
              </w:rPr>
              <w:t>2</w:t>
            </w:r>
            <w:r>
              <w:rPr>
                <w:rFonts w:eastAsia="Calibri"/>
                <w:color w:val="000000"/>
                <w:lang w:val="es-ES"/>
              </w:rPr>
              <w:tab/>
            </w:r>
            <w:r w:rsidR="00B20F1E" w:rsidRPr="004E1829">
              <w:rPr>
                <w:rFonts w:eastAsia="Calibri"/>
                <w:b/>
                <w:bCs/>
                <w:color w:val="000000"/>
                <w:lang w:val="es-ES"/>
              </w:rPr>
              <w:t>Tomen en consideración</w:t>
            </w:r>
            <w:r w:rsidR="00B20F1E" w:rsidRPr="000D2717">
              <w:rPr>
                <w:rFonts w:eastAsia="Calibri"/>
                <w:color w:val="000000"/>
                <w:lang w:val="es-ES"/>
              </w:rPr>
              <w:t xml:space="preserve"> la opinión </w:t>
            </w:r>
            <w:r w:rsidR="00B20F1E">
              <w:rPr>
                <w:rFonts w:eastAsia="Calibri"/>
                <w:color w:val="000000"/>
                <w:lang w:val="es-ES"/>
              </w:rPr>
              <w:t>manifestada</w:t>
            </w:r>
            <w:r w:rsidR="00B20F1E" w:rsidRPr="000D2717">
              <w:rPr>
                <w:rFonts w:eastAsia="Calibri"/>
                <w:color w:val="000000"/>
                <w:lang w:val="es-ES"/>
              </w:rPr>
              <w:t xml:space="preserve"> anteriormente por algunas Administraciones.</w:t>
            </w:r>
          </w:p>
        </w:tc>
      </w:tr>
      <w:tr w:rsidR="00B20F1E" w:rsidRPr="00B707C8" w14:paraId="37FC0029" w14:textId="77777777" w:rsidTr="00DB48C6">
        <w:trPr>
          <w:jc w:val="center"/>
        </w:trPr>
        <w:tc>
          <w:tcPr>
            <w:tcW w:w="2547" w:type="dxa"/>
          </w:tcPr>
          <w:p w14:paraId="05B9EB7D" w14:textId="0251F2B2" w:rsidR="00B20F1E" w:rsidRPr="004E1829" w:rsidRDefault="00B20F1E" w:rsidP="004E1829">
            <w:pPr>
              <w:pStyle w:val="Tabletext"/>
              <w:rPr>
                <w:rFonts w:eastAsia="Calibri"/>
                <w:b/>
                <w:bCs/>
                <w:lang w:val="es-ES"/>
              </w:rPr>
            </w:pPr>
            <w:r w:rsidRPr="004E1829">
              <w:rPr>
                <w:rFonts w:eastAsia="Calibri"/>
                <w:b/>
                <w:bCs/>
                <w:lang w:val="es-ES"/>
              </w:rPr>
              <w:lastRenderedPageBreak/>
              <w:t>Punto 7, Tema I:</w:t>
            </w:r>
          </w:p>
          <w:p w14:paraId="488BDED2" w14:textId="2F004B82" w:rsidR="00B20F1E" w:rsidRPr="000D2717" w:rsidRDefault="00B20F1E" w:rsidP="004E1829">
            <w:pPr>
              <w:pStyle w:val="Tabletext"/>
              <w:rPr>
                <w:rFonts w:eastAsia="Calibri"/>
                <w:lang w:val="es-ES"/>
              </w:rPr>
            </w:pPr>
            <w:r w:rsidRPr="008F59A3">
              <w:rPr>
                <w:rFonts w:eastAsia="Calibri"/>
                <w:lang w:val="es-ES"/>
              </w:rPr>
              <w:t xml:space="preserve">Acuerdos especiales en virtud del Apéndice </w:t>
            </w:r>
            <w:r w:rsidRPr="004E1829">
              <w:rPr>
                <w:rFonts w:eastAsia="Calibri"/>
                <w:b/>
                <w:bCs/>
                <w:lang w:val="es-ES"/>
              </w:rPr>
              <w:t>30B</w:t>
            </w:r>
            <w:r w:rsidRPr="008F59A3">
              <w:rPr>
                <w:rFonts w:eastAsia="Calibri"/>
                <w:lang w:val="es-ES"/>
              </w:rPr>
              <w:t xml:space="preserve"> del</w:t>
            </w:r>
            <w:r w:rsidR="004E1829">
              <w:rPr>
                <w:rFonts w:eastAsia="Calibri"/>
                <w:lang w:val="es-ES"/>
              </w:rPr>
              <w:t> </w:t>
            </w:r>
            <w:r w:rsidRPr="008F59A3">
              <w:rPr>
                <w:rFonts w:eastAsia="Calibri"/>
                <w:lang w:val="es-ES"/>
              </w:rPr>
              <w:t>RR</w:t>
            </w:r>
            <w:r w:rsidRPr="000D2717">
              <w:rPr>
                <w:rFonts w:eastAsia="Calibri"/>
                <w:lang w:val="es-ES"/>
              </w:rPr>
              <w:t>.</w:t>
            </w:r>
          </w:p>
        </w:tc>
        <w:tc>
          <w:tcPr>
            <w:tcW w:w="6718" w:type="dxa"/>
          </w:tcPr>
          <w:p w14:paraId="38EFF1E9" w14:textId="77777777" w:rsidR="00B20F1E" w:rsidRPr="000D2717" w:rsidRDefault="00B20F1E" w:rsidP="004E1829">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68204664" w14:textId="1F2BB74D" w:rsidR="00B20F1E" w:rsidRPr="000D2717" w:rsidRDefault="00B20F1E" w:rsidP="004E1829">
            <w:pPr>
              <w:pStyle w:val="Tabletext"/>
              <w:rPr>
                <w:rFonts w:eastAsia="Calibri"/>
                <w:color w:val="000000"/>
                <w:lang w:val="es-ES"/>
              </w:rPr>
            </w:pPr>
            <w:r w:rsidRPr="004E1829">
              <w:rPr>
                <w:rFonts w:eastAsia="Calibri"/>
                <w:b/>
                <w:bCs/>
                <w:color w:val="000000"/>
                <w:lang w:val="es-ES"/>
              </w:rPr>
              <w:t>Apoyar el método I2</w:t>
            </w:r>
            <w:r>
              <w:rPr>
                <w:rFonts w:eastAsia="Calibri"/>
                <w:color w:val="000000"/>
                <w:lang w:val="es-ES"/>
              </w:rPr>
              <w:t>, en virtud del cual se</w:t>
            </w:r>
            <w:r w:rsidRPr="000D2717">
              <w:rPr>
                <w:rFonts w:eastAsia="Calibri"/>
                <w:color w:val="000000"/>
                <w:lang w:val="es-ES"/>
              </w:rPr>
              <w:t xml:space="preserve"> propone:</w:t>
            </w:r>
          </w:p>
          <w:p w14:paraId="393966DC" w14:textId="5137D933" w:rsidR="00B20F1E" w:rsidRPr="000D2717" w:rsidRDefault="004E1829" w:rsidP="004E1829">
            <w:pPr>
              <w:pStyle w:val="Tabletext"/>
              <w:ind w:left="284" w:hanging="284"/>
              <w:rPr>
                <w:rFonts w:eastAsia="Calibri"/>
                <w:color w:val="000000"/>
                <w:lang w:val="es-ES"/>
              </w:rPr>
            </w:pPr>
            <w:r>
              <w:rPr>
                <w:rFonts w:eastAsia="Calibri"/>
                <w:color w:val="000000"/>
                <w:lang w:val="es-ES"/>
              </w:rPr>
              <w:t>1</w:t>
            </w:r>
            <w:r>
              <w:rPr>
                <w:rFonts w:eastAsia="Calibri"/>
                <w:color w:val="000000"/>
                <w:lang w:val="es-ES"/>
              </w:rPr>
              <w:tab/>
            </w:r>
            <w:r w:rsidR="00B20F1E" w:rsidRPr="008F59A3">
              <w:rPr>
                <w:rFonts w:eastAsia="Calibri"/>
                <w:color w:val="000000"/>
                <w:lang w:val="es-ES"/>
              </w:rPr>
              <w:t>Definir un nuevo tipo de acuerdo entre las administraciones notificantes de una adjudicación nacional y de una asignación. En virtud de dicho acuerdo, la administración de la adjudicación nacional permite que la asignación funcione hasta la puesta en funcionamiento de su adjudicación nacional.</w:t>
            </w:r>
            <w:r w:rsidR="00B20F1E">
              <w:rPr>
                <w:rFonts w:eastAsia="Calibri"/>
                <w:color w:val="000000"/>
                <w:lang w:val="es-ES"/>
              </w:rPr>
              <w:t xml:space="preserve"> </w:t>
            </w:r>
            <w:r w:rsidR="00B20F1E" w:rsidRPr="008F59A3">
              <w:rPr>
                <w:rFonts w:eastAsia="Calibri"/>
                <w:color w:val="000000"/>
                <w:lang w:val="es-ES"/>
              </w:rPr>
              <w:t xml:space="preserve">En ese momento, la administración de la asignación se compromete a respetar los niveles de </w:t>
            </w:r>
            <w:proofErr w:type="spellStart"/>
            <w:r w:rsidR="00B20F1E" w:rsidRPr="008F59A3">
              <w:rPr>
                <w:rFonts w:eastAsia="Calibri"/>
                <w:color w:val="000000"/>
                <w:lang w:val="es-ES"/>
              </w:rPr>
              <w:t>dfp</w:t>
            </w:r>
            <w:proofErr w:type="spellEnd"/>
            <w:r w:rsidR="00B20F1E" w:rsidRPr="008F59A3">
              <w:rPr>
                <w:rFonts w:eastAsia="Calibri"/>
                <w:color w:val="000000"/>
                <w:lang w:val="es-ES"/>
              </w:rPr>
              <w:t xml:space="preserve"> de la sección 2.2 del Anexo 4 en el territorio de la </w:t>
            </w:r>
            <w:r w:rsidR="00B20F1E">
              <w:rPr>
                <w:rFonts w:eastAsia="Calibri"/>
                <w:color w:val="000000"/>
                <w:lang w:val="es-ES"/>
              </w:rPr>
              <w:t>adjudicación</w:t>
            </w:r>
            <w:r w:rsidR="00B20F1E" w:rsidRPr="008F59A3">
              <w:rPr>
                <w:rFonts w:eastAsia="Calibri"/>
                <w:color w:val="000000"/>
                <w:lang w:val="es-ES"/>
              </w:rPr>
              <w:t xml:space="preserve"> nacional. Como la adjudicación nacional y la asignación no funcionarán simultáneamente en la misma frecuencia </w:t>
            </w:r>
            <w:r w:rsidR="00B20F1E">
              <w:rPr>
                <w:rFonts w:eastAsia="Calibri"/>
                <w:color w:val="000000"/>
                <w:lang w:val="es-ES"/>
              </w:rPr>
              <w:t>para</w:t>
            </w:r>
            <w:r w:rsidR="00B20F1E" w:rsidRPr="008F59A3">
              <w:rPr>
                <w:rFonts w:eastAsia="Calibri"/>
                <w:color w:val="000000"/>
                <w:lang w:val="es-ES"/>
              </w:rPr>
              <w:t xml:space="preserve"> la misma zona, no se considera la interferencia mutua</w:t>
            </w:r>
            <w:r w:rsidR="00B20F1E" w:rsidRPr="000D2717">
              <w:rPr>
                <w:rFonts w:eastAsia="Calibri"/>
                <w:color w:val="000000"/>
                <w:lang w:val="es-ES"/>
              </w:rPr>
              <w:t>.</w:t>
            </w:r>
          </w:p>
          <w:p w14:paraId="6A2BDB6A" w14:textId="631B5125" w:rsidR="00B20F1E" w:rsidRPr="000D2717" w:rsidRDefault="004E1829" w:rsidP="004E1829">
            <w:pPr>
              <w:pStyle w:val="Tabletext"/>
              <w:ind w:left="284" w:hanging="284"/>
              <w:rPr>
                <w:rFonts w:eastAsia="Calibri"/>
                <w:color w:val="000000"/>
                <w:lang w:val="es-ES"/>
              </w:rPr>
            </w:pPr>
            <w:r>
              <w:rPr>
                <w:rFonts w:eastAsia="Calibri"/>
                <w:color w:val="000000"/>
                <w:lang w:val="es-ES"/>
              </w:rPr>
              <w:t>2</w:t>
            </w:r>
            <w:r>
              <w:rPr>
                <w:rFonts w:eastAsia="Calibri"/>
                <w:color w:val="000000"/>
                <w:lang w:val="es-ES"/>
              </w:rPr>
              <w:tab/>
            </w:r>
            <w:r w:rsidR="00B20F1E" w:rsidRPr="00A51C30">
              <w:rPr>
                <w:rFonts w:eastAsia="Calibri"/>
                <w:color w:val="000000"/>
                <w:lang w:val="es-ES"/>
              </w:rPr>
              <w:t xml:space="preserve">Elaborar una nueva Resolución que permita a la administración notificante de una adjudicación nacional, sujeta a acuerdos en virtud del § 6.15 del Apéndice </w:t>
            </w:r>
            <w:r w:rsidR="00B20F1E" w:rsidRPr="004E1829">
              <w:rPr>
                <w:rFonts w:eastAsia="Calibri"/>
                <w:b/>
                <w:bCs/>
                <w:color w:val="000000"/>
                <w:lang w:val="es-ES"/>
              </w:rPr>
              <w:t>30B</w:t>
            </w:r>
            <w:r w:rsidR="00B20F1E" w:rsidRPr="00A51C30">
              <w:rPr>
                <w:rFonts w:eastAsia="Calibri"/>
                <w:color w:val="000000"/>
                <w:lang w:val="es-ES"/>
              </w:rPr>
              <w:t xml:space="preserve"> del RR</w:t>
            </w:r>
            <w:r w:rsidR="00B20F1E" w:rsidRPr="000D2717">
              <w:rPr>
                <w:rFonts w:eastAsia="Calibri"/>
                <w:color w:val="000000"/>
                <w:lang w:val="es-ES"/>
              </w:rPr>
              <w:t>:</w:t>
            </w:r>
          </w:p>
          <w:p w14:paraId="2F8D5504" w14:textId="329976B7" w:rsidR="00B20F1E" w:rsidRPr="00A51C30" w:rsidRDefault="004E1829" w:rsidP="004E1829">
            <w:pPr>
              <w:pStyle w:val="Tabletext"/>
              <w:ind w:left="567" w:hanging="567"/>
              <w:rPr>
                <w:rFonts w:eastAsia="Calibri"/>
                <w:color w:val="000000"/>
                <w:lang w:val="es-ES"/>
              </w:rPr>
            </w:pPr>
            <w:r>
              <w:rPr>
                <w:rFonts w:eastAsia="Calibri"/>
                <w:color w:val="000000"/>
                <w:lang w:val="es-ES"/>
              </w:rPr>
              <w:tab/>
              <w:t>1)</w:t>
            </w:r>
            <w:r>
              <w:rPr>
                <w:rFonts w:eastAsia="Calibri"/>
                <w:color w:val="000000"/>
                <w:lang w:val="es-ES"/>
              </w:rPr>
              <w:tab/>
            </w:r>
            <w:r w:rsidR="00B20F1E" w:rsidRPr="00A51C30">
              <w:rPr>
                <w:rFonts w:eastAsia="Calibri"/>
                <w:color w:val="000000"/>
                <w:lang w:val="es-ES"/>
              </w:rPr>
              <w:t xml:space="preserve">firmar este nuevo tipo de acuerdo con la administración notificante de las asignaciones </w:t>
            </w:r>
            <w:r w:rsidR="00B20F1E">
              <w:rPr>
                <w:rFonts w:eastAsia="Calibri"/>
                <w:color w:val="000000"/>
                <w:lang w:val="es-ES"/>
              </w:rPr>
              <w:t>de que se trate</w:t>
            </w:r>
            <w:r w:rsidR="00B20F1E" w:rsidRPr="00A51C30">
              <w:rPr>
                <w:rFonts w:eastAsia="Calibri"/>
                <w:color w:val="000000"/>
                <w:lang w:val="es-ES"/>
              </w:rPr>
              <w:t>;</w:t>
            </w:r>
          </w:p>
          <w:p w14:paraId="5C033652" w14:textId="0EEFE41A" w:rsidR="00B20F1E" w:rsidRPr="00A51C30" w:rsidRDefault="004E1829" w:rsidP="004E1829">
            <w:pPr>
              <w:pStyle w:val="Tabletext"/>
              <w:ind w:left="567" w:hanging="567"/>
              <w:rPr>
                <w:rFonts w:eastAsia="Calibri"/>
                <w:color w:val="000000"/>
                <w:lang w:val="es-ES"/>
              </w:rPr>
            </w:pPr>
            <w:r>
              <w:rPr>
                <w:rFonts w:eastAsia="Calibri"/>
                <w:color w:val="000000"/>
                <w:lang w:val="es-ES"/>
              </w:rPr>
              <w:tab/>
              <w:t>2)</w:t>
            </w:r>
            <w:r>
              <w:rPr>
                <w:rFonts w:eastAsia="Calibri"/>
                <w:color w:val="000000"/>
                <w:lang w:val="es-ES"/>
              </w:rPr>
              <w:tab/>
            </w:r>
            <w:r w:rsidR="00B20F1E" w:rsidRPr="00A51C30">
              <w:rPr>
                <w:rFonts w:eastAsia="Calibri"/>
                <w:color w:val="000000"/>
                <w:lang w:val="es-ES"/>
              </w:rPr>
              <w:t>solicitar a la Oficina que actualice la situación de referencia sin analizar los exámenes anteriores, y</w:t>
            </w:r>
          </w:p>
          <w:p w14:paraId="0247C6A7" w14:textId="3E9B80CF" w:rsidR="00B20F1E" w:rsidRPr="000D2717" w:rsidRDefault="004E1829" w:rsidP="00DB1DF5">
            <w:pPr>
              <w:pStyle w:val="Tabletext"/>
              <w:ind w:left="567" w:hanging="567"/>
              <w:rPr>
                <w:rFonts w:eastAsia="Calibri"/>
                <w:color w:val="000000"/>
                <w:lang w:val="es-ES"/>
              </w:rPr>
            </w:pPr>
            <w:r>
              <w:rPr>
                <w:rFonts w:eastAsia="Calibri"/>
                <w:color w:val="000000"/>
                <w:lang w:val="es-ES"/>
              </w:rPr>
              <w:tab/>
              <w:t>3)</w:t>
            </w:r>
            <w:r>
              <w:rPr>
                <w:rFonts w:eastAsia="Calibri"/>
                <w:color w:val="000000"/>
                <w:lang w:val="es-ES"/>
              </w:rPr>
              <w:tab/>
            </w:r>
            <w:r w:rsidR="00B20F1E" w:rsidRPr="00A51C30">
              <w:rPr>
                <w:rFonts w:eastAsia="Calibri"/>
                <w:color w:val="000000"/>
                <w:lang w:val="es-ES"/>
              </w:rPr>
              <w:t xml:space="preserve">solicitar a las administraciones notificantes de las asignaciones para las que aún no se han </w:t>
            </w:r>
            <w:r w:rsidR="00B20F1E">
              <w:rPr>
                <w:rFonts w:eastAsia="Calibri"/>
                <w:color w:val="000000"/>
                <w:lang w:val="es-ES"/>
              </w:rPr>
              <w:t>llevado a cabo</w:t>
            </w:r>
            <w:r w:rsidR="00B20F1E" w:rsidRPr="00A51C30">
              <w:rPr>
                <w:rFonts w:eastAsia="Calibri"/>
                <w:color w:val="000000"/>
                <w:lang w:val="es-ES"/>
              </w:rPr>
              <w:t xml:space="preserve"> los procedimientos del Artículo </w:t>
            </w:r>
            <w:r w:rsidR="00B20F1E" w:rsidRPr="007D7EC9">
              <w:rPr>
                <w:rFonts w:eastAsia="Calibri"/>
                <w:color w:val="000000"/>
                <w:lang w:val="es-ES"/>
              </w:rPr>
              <w:t xml:space="preserve">6 </w:t>
            </w:r>
            <w:r w:rsidR="00B20F1E" w:rsidRPr="00A51C30">
              <w:rPr>
                <w:rFonts w:eastAsia="Calibri"/>
                <w:color w:val="000000"/>
                <w:lang w:val="es-ES"/>
              </w:rPr>
              <w:t xml:space="preserve">del Apéndice </w:t>
            </w:r>
            <w:r w:rsidR="00B20F1E" w:rsidRPr="004E1829">
              <w:rPr>
                <w:rFonts w:eastAsia="Calibri"/>
                <w:b/>
                <w:bCs/>
                <w:color w:val="000000"/>
                <w:lang w:val="es-ES"/>
              </w:rPr>
              <w:t>30B</w:t>
            </w:r>
            <w:r w:rsidR="00B20F1E" w:rsidRPr="00A51C30">
              <w:rPr>
                <w:rFonts w:eastAsia="Calibri"/>
                <w:color w:val="000000"/>
                <w:lang w:val="es-ES"/>
              </w:rPr>
              <w:t xml:space="preserve"> del RR y que la Oficina ya ha examinado antes de la firma de dicho acuerdo, que </w:t>
            </w:r>
            <w:r w:rsidR="00B20F1E">
              <w:rPr>
                <w:rFonts w:eastAsia="Calibri"/>
                <w:color w:val="000000"/>
                <w:lang w:val="es-ES"/>
              </w:rPr>
              <w:t>redoblen sus</w:t>
            </w:r>
            <w:r w:rsidR="00B20F1E" w:rsidRPr="00A51C30">
              <w:rPr>
                <w:rFonts w:eastAsia="Calibri"/>
                <w:color w:val="000000"/>
                <w:lang w:val="es-ES"/>
              </w:rPr>
              <w:t xml:space="preserve"> esfuerzos para tener en cuenta la nueva situación de referencia de esa adjudicación nacional</w:t>
            </w:r>
            <w:r w:rsidR="00B20F1E" w:rsidRPr="000D2717">
              <w:rPr>
                <w:rFonts w:eastAsia="Calibri"/>
                <w:color w:val="000000"/>
                <w:lang w:val="es-ES"/>
              </w:rPr>
              <w:t>.</w:t>
            </w:r>
          </w:p>
          <w:p w14:paraId="169CA680" w14:textId="77777777" w:rsidR="00B20F1E" w:rsidRPr="000D2717" w:rsidRDefault="00B20F1E" w:rsidP="004E1829">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12AC27F7" w14:textId="77777777" w:rsidR="00B20F1E" w:rsidRPr="004E1829" w:rsidRDefault="00B20F1E" w:rsidP="004E1829">
            <w:pPr>
              <w:pStyle w:val="Tabletext"/>
              <w:rPr>
                <w:rFonts w:eastAsia="Calibri"/>
                <w:b/>
                <w:bCs/>
                <w:color w:val="000000"/>
                <w:lang w:val="es-ES"/>
              </w:rPr>
            </w:pPr>
            <w:r w:rsidRPr="004E1829">
              <w:rPr>
                <w:rFonts w:eastAsia="Calibri"/>
                <w:b/>
                <w:bCs/>
                <w:i/>
                <w:color w:val="000000"/>
                <w:lang w:val="es-ES"/>
              </w:rPr>
              <w:t>Solicitar a las administraciones de la UAT que:</w:t>
            </w:r>
          </w:p>
          <w:p w14:paraId="7185E055" w14:textId="77777777" w:rsidR="00B20F1E" w:rsidRPr="000D2717" w:rsidRDefault="00B20F1E" w:rsidP="004E1829">
            <w:pPr>
              <w:pStyle w:val="Tabletext"/>
              <w:rPr>
                <w:rFonts w:eastAsia="Calibri"/>
                <w:i/>
                <w:lang w:val="es-ES"/>
              </w:rPr>
            </w:pPr>
            <w:r w:rsidRPr="004E1829">
              <w:rPr>
                <w:rFonts w:eastAsia="Calibri"/>
                <w:b/>
                <w:bCs/>
                <w:lang w:val="es-ES"/>
              </w:rPr>
              <w:t>Apoyen</w:t>
            </w:r>
            <w:r w:rsidRPr="000D2717">
              <w:rPr>
                <w:rFonts w:eastAsia="Calibri"/>
                <w:lang w:val="es-ES"/>
              </w:rPr>
              <w:t xml:space="preserve"> la </w:t>
            </w:r>
            <w:r>
              <w:rPr>
                <w:rFonts w:eastAsia="Calibri"/>
                <w:lang w:val="es-ES"/>
              </w:rPr>
              <w:t>AFCP en relación con</w:t>
            </w:r>
            <w:r w:rsidRPr="000D2717">
              <w:rPr>
                <w:rFonts w:eastAsia="Calibri"/>
                <w:lang w:val="es-ES"/>
              </w:rPr>
              <w:t xml:space="preserve"> este tema.</w:t>
            </w:r>
          </w:p>
        </w:tc>
      </w:tr>
      <w:tr w:rsidR="00B20F1E" w:rsidRPr="00B707C8" w14:paraId="793176CB" w14:textId="77777777" w:rsidTr="00DB48C6">
        <w:trPr>
          <w:jc w:val="center"/>
        </w:trPr>
        <w:tc>
          <w:tcPr>
            <w:tcW w:w="2547" w:type="dxa"/>
          </w:tcPr>
          <w:p w14:paraId="599EF24B" w14:textId="77777777" w:rsidR="00B20F1E" w:rsidRPr="004E1829" w:rsidRDefault="00B20F1E" w:rsidP="004E1829">
            <w:pPr>
              <w:pStyle w:val="Tabletext"/>
              <w:rPr>
                <w:rFonts w:eastAsia="Calibri"/>
                <w:b/>
                <w:bCs/>
                <w:lang w:val="es-ES"/>
              </w:rPr>
            </w:pPr>
            <w:r w:rsidRPr="004E1829">
              <w:rPr>
                <w:rFonts w:eastAsia="Calibri"/>
                <w:b/>
                <w:bCs/>
                <w:lang w:val="es-ES"/>
              </w:rPr>
              <w:t xml:space="preserve">Punto 7, Tema J: </w:t>
            </w:r>
          </w:p>
          <w:p w14:paraId="41C21970" w14:textId="52187E2E" w:rsidR="00B20F1E" w:rsidRPr="000D2717" w:rsidRDefault="00B20F1E" w:rsidP="004E1829">
            <w:pPr>
              <w:pStyle w:val="Tabletext"/>
              <w:rPr>
                <w:rFonts w:eastAsia="Calibri"/>
                <w:lang w:val="es-ES"/>
              </w:rPr>
            </w:pPr>
            <w:r w:rsidRPr="000D2717">
              <w:rPr>
                <w:rFonts w:eastAsia="Calibri"/>
                <w:lang w:val="es-ES"/>
              </w:rPr>
              <w:t xml:space="preserve">Modificación de la Resolución </w:t>
            </w:r>
            <w:r w:rsidRPr="004E1829">
              <w:rPr>
                <w:rFonts w:eastAsia="Calibri"/>
                <w:b/>
                <w:bCs/>
                <w:lang w:val="es-ES"/>
              </w:rPr>
              <w:t>76 (Rev.CMR</w:t>
            </w:r>
            <w:r w:rsidR="004E1829">
              <w:rPr>
                <w:rFonts w:eastAsia="Calibri"/>
                <w:b/>
                <w:bCs/>
                <w:lang w:val="es-ES"/>
              </w:rPr>
              <w:noBreakHyphen/>
            </w:r>
            <w:r w:rsidRPr="004E1829">
              <w:rPr>
                <w:rFonts w:eastAsia="Calibri"/>
                <w:b/>
                <w:bCs/>
                <w:lang w:val="es-ES"/>
              </w:rPr>
              <w:t>15)</w:t>
            </w:r>
            <w:r w:rsidRPr="000D2717">
              <w:rPr>
                <w:rFonts w:eastAsia="Calibri"/>
                <w:lang w:val="es-ES"/>
              </w:rPr>
              <w:t>.</w:t>
            </w:r>
          </w:p>
        </w:tc>
        <w:tc>
          <w:tcPr>
            <w:tcW w:w="6718" w:type="dxa"/>
          </w:tcPr>
          <w:p w14:paraId="4E56B0A2" w14:textId="77777777" w:rsidR="00B20F1E" w:rsidRPr="000D2717" w:rsidRDefault="00B20F1E" w:rsidP="004E1829">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6EC3139C" w14:textId="3711F6E3" w:rsidR="00B20F1E" w:rsidRPr="000D2717" w:rsidRDefault="004E1829" w:rsidP="004E1829">
            <w:pPr>
              <w:pStyle w:val="Tabletext"/>
              <w:ind w:left="284" w:hanging="284"/>
              <w:rPr>
                <w:rFonts w:eastAsia="Calibri"/>
                <w:lang w:val="es-ES"/>
              </w:rPr>
            </w:pPr>
            <w:r>
              <w:rPr>
                <w:rFonts w:eastAsia="Calibri"/>
                <w:lang w:val="es-ES"/>
              </w:rPr>
              <w:t>1</w:t>
            </w:r>
            <w:r>
              <w:rPr>
                <w:rFonts w:eastAsia="Calibri"/>
                <w:lang w:val="es-ES"/>
              </w:rPr>
              <w:tab/>
            </w:r>
            <w:r w:rsidR="00B20F1E" w:rsidRPr="004E1829">
              <w:rPr>
                <w:rFonts w:eastAsia="Calibri"/>
                <w:b/>
                <w:bCs/>
                <w:lang w:val="es-ES"/>
              </w:rPr>
              <w:t>Apoyar el Método J3</w:t>
            </w:r>
            <w:r w:rsidR="00B20F1E">
              <w:rPr>
                <w:rFonts w:eastAsia="Calibri"/>
                <w:lang w:val="es-ES"/>
              </w:rPr>
              <w:t xml:space="preserve">, </w:t>
            </w:r>
            <w:r w:rsidR="00B20F1E" w:rsidRPr="008B616F">
              <w:rPr>
                <w:rFonts w:eastAsia="Calibri"/>
                <w:bCs/>
                <w:lang w:val="es-ES"/>
              </w:rPr>
              <w:t>en virtud del cual se</w:t>
            </w:r>
            <w:r w:rsidR="00B20F1E" w:rsidRPr="000D2717">
              <w:rPr>
                <w:rFonts w:eastAsia="Calibri"/>
                <w:lang w:val="es-ES"/>
              </w:rPr>
              <w:t xml:space="preserve"> propone </w:t>
            </w:r>
            <w:r w:rsidR="00B20F1E">
              <w:rPr>
                <w:rFonts w:eastAsia="Calibri"/>
                <w:lang w:val="es-ES"/>
              </w:rPr>
              <w:t>m</w:t>
            </w:r>
            <w:r w:rsidR="00B20F1E" w:rsidRPr="000D2717">
              <w:rPr>
                <w:rFonts w:eastAsia="Calibri"/>
                <w:lang w:val="es-ES"/>
              </w:rPr>
              <w:t>odificar la Resolución</w:t>
            </w:r>
            <w:r>
              <w:rPr>
                <w:rFonts w:eastAsia="Calibri"/>
                <w:lang w:val="es-ES"/>
              </w:rPr>
              <w:t> </w:t>
            </w:r>
            <w:r w:rsidR="00B20F1E" w:rsidRPr="004E1829">
              <w:rPr>
                <w:rFonts w:eastAsia="Calibri"/>
                <w:b/>
                <w:bCs/>
                <w:lang w:val="es-ES"/>
              </w:rPr>
              <w:t>76</w:t>
            </w:r>
            <w:r w:rsidR="00B20F1E" w:rsidRPr="000D2717">
              <w:rPr>
                <w:rFonts w:eastAsia="Calibri"/>
                <w:lang w:val="es-ES"/>
              </w:rPr>
              <w:t xml:space="preserve"> (</w:t>
            </w:r>
            <w:r w:rsidR="007D7EC9">
              <w:rPr>
                <w:rFonts w:eastAsia="Calibri"/>
                <w:lang w:val="es-ES"/>
              </w:rPr>
              <w:t>Rev.</w:t>
            </w:r>
            <w:r w:rsidR="00B20F1E" w:rsidRPr="000D2717">
              <w:rPr>
                <w:rFonts w:eastAsia="Calibri"/>
                <w:lang w:val="es-ES"/>
              </w:rPr>
              <w:t xml:space="preserve">CMR-15) para cumplir los niveles de </w:t>
            </w:r>
            <w:r w:rsidR="00B20F1E">
              <w:rPr>
                <w:rFonts w:eastAsia="Calibri"/>
                <w:lang w:val="es-ES"/>
              </w:rPr>
              <w:t>DFPE</w:t>
            </w:r>
            <w:r w:rsidR="00B20F1E" w:rsidRPr="000D2717">
              <w:rPr>
                <w:rFonts w:eastAsia="Calibri"/>
                <w:lang w:val="es-ES"/>
              </w:rPr>
              <w:t xml:space="preserve"> </w:t>
            </w:r>
            <w:r w:rsidR="00B20F1E">
              <w:rPr>
                <w:rFonts w:eastAsia="Calibri"/>
                <w:lang w:val="es-ES"/>
              </w:rPr>
              <w:t>combinada que figuran</w:t>
            </w:r>
            <w:r w:rsidR="00B20F1E" w:rsidRPr="000D2717">
              <w:rPr>
                <w:rFonts w:eastAsia="Calibri"/>
                <w:lang w:val="es-ES"/>
              </w:rPr>
              <w:t xml:space="preserve"> en </w:t>
            </w:r>
            <w:r w:rsidR="00B20F1E">
              <w:rPr>
                <w:rFonts w:eastAsia="Calibri"/>
                <w:lang w:val="es-ES"/>
              </w:rPr>
              <w:t>dicha</w:t>
            </w:r>
            <w:r w:rsidR="00B20F1E" w:rsidRPr="000D2717">
              <w:rPr>
                <w:rFonts w:eastAsia="Calibri"/>
                <w:lang w:val="es-ES"/>
              </w:rPr>
              <w:t xml:space="preserve"> Resolución </w:t>
            </w:r>
            <w:r w:rsidR="00B20F1E">
              <w:rPr>
                <w:rFonts w:eastAsia="Calibri"/>
                <w:lang w:val="es-ES"/>
              </w:rPr>
              <w:t>en el marco de</w:t>
            </w:r>
            <w:r w:rsidR="00B20F1E" w:rsidRPr="000D2717">
              <w:rPr>
                <w:rFonts w:eastAsia="Calibri"/>
                <w:lang w:val="es-ES"/>
              </w:rPr>
              <w:t xml:space="preserve"> un proceso</w:t>
            </w:r>
            <w:r w:rsidR="00B20F1E">
              <w:rPr>
                <w:rFonts w:eastAsia="Calibri"/>
                <w:lang w:val="es-ES"/>
              </w:rPr>
              <w:t xml:space="preserve"> o </w:t>
            </w:r>
            <w:r w:rsidR="00B20F1E" w:rsidRPr="000D2717">
              <w:rPr>
                <w:rFonts w:eastAsia="Calibri"/>
                <w:lang w:val="es-ES"/>
              </w:rPr>
              <w:t>reunión de consulta.</w:t>
            </w:r>
          </w:p>
          <w:p w14:paraId="4CD442EE" w14:textId="1D9C0423" w:rsidR="00B20F1E" w:rsidRPr="000D2717" w:rsidRDefault="004E1829" w:rsidP="004E1829">
            <w:pPr>
              <w:pStyle w:val="Tabletext"/>
              <w:ind w:left="284" w:hanging="284"/>
              <w:rPr>
                <w:rFonts w:eastAsia="Calibri"/>
                <w:lang w:val="es-ES"/>
              </w:rPr>
            </w:pPr>
            <w:r>
              <w:rPr>
                <w:rFonts w:eastAsia="Calibri"/>
                <w:lang w:val="es-ES"/>
              </w:rPr>
              <w:t>2</w:t>
            </w:r>
            <w:r>
              <w:rPr>
                <w:rFonts w:eastAsia="Calibri"/>
                <w:lang w:val="es-ES"/>
              </w:rPr>
              <w:tab/>
            </w:r>
            <w:r w:rsidR="00B20F1E" w:rsidRPr="004E1829">
              <w:rPr>
                <w:rFonts w:eastAsia="Calibri"/>
                <w:b/>
                <w:bCs/>
                <w:lang w:val="es-ES"/>
              </w:rPr>
              <w:t>Señalar</w:t>
            </w:r>
            <w:r w:rsidR="00B20F1E" w:rsidRPr="000D2717">
              <w:rPr>
                <w:rFonts w:eastAsia="Calibri"/>
                <w:lang w:val="es-ES"/>
              </w:rPr>
              <w:t xml:space="preserve"> que algunas Administraciones </w:t>
            </w:r>
            <w:r w:rsidR="00B20F1E">
              <w:rPr>
                <w:rFonts w:eastAsia="Calibri"/>
                <w:lang w:val="es-ES"/>
              </w:rPr>
              <w:t>manifestaron</w:t>
            </w:r>
            <w:r w:rsidR="00B20F1E" w:rsidRPr="000D2717">
              <w:rPr>
                <w:rFonts w:eastAsia="Calibri"/>
                <w:lang w:val="es-ES"/>
              </w:rPr>
              <w:t xml:space="preserve"> la necesidad de seguir debatiendo la cuestión relativa al funcionamiento de los sistemas no OSG </w:t>
            </w:r>
            <w:r w:rsidR="00B20F1E">
              <w:rPr>
                <w:rFonts w:eastAsia="Calibri"/>
                <w:lang w:val="es-ES"/>
              </w:rPr>
              <w:t>y</w:t>
            </w:r>
            <w:r w:rsidR="00B20F1E" w:rsidRPr="000D2717">
              <w:rPr>
                <w:rFonts w:eastAsia="Calibri"/>
                <w:lang w:val="es-ES"/>
              </w:rPr>
              <w:t xml:space="preserve"> de los sistemas no OSG previstos</w:t>
            </w:r>
            <w:r w:rsidR="00B20F1E">
              <w:rPr>
                <w:rFonts w:eastAsia="Calibri"/>
                <w:lang w:val="es-ES"/>
              </w:rPr>
              <w:t>,</w:t>
            </w:r>
            <w:r w:rsidR="00B20F1E" w:rsidRPr="000D2717">
              <w:rPr>
                <w:rFonts w:eastAsia="Calibri"/>
                <w:lang w:val="es-ES"/>
              </w:rPr>
              <w:t xml:space="preserve"> </w:t>
            </w:r>
            <w:r w:rsidR="00B20F1E">
              <w:rPr>
                <w:rFonts w:eastAsia="Calibri"/>
                <w:lang w:val="es-ES"/>
              </w:rPr>
              <w:t>a los efectos de</w:t>
            </w:r>
            <w:r w:rsidR="00B20F1E" w:rsidRPr="000D2717">
              <w:rPr>
                <w:rFonts w:eastAsia="Calibri"/>
                <w:lang w:val="es-ES"/>
              </w:rPr>
              <w:t xml:space="preserve"> cálculo del límite </w:t>
            </w:r>
            <w:r w:rsidR="00B20F1E">
              <w:rPr>
                <w:rFonts w:eastAsia="Calibri"/>
                <w:lang w:val="es-ES"/>
              </w:rPr>
              <w:t>de DFPE combinada</w:t>
            </w:r>
            <w:r w:rsidR="00B20F1E" w:rsidRPr="000D2717">
              <w:rPr>
                <w:rFonts w:eastAsia="Calibri"/>
                <w:lang w:val="es-ES"/>
              </w:rPr>
              <w:t xml:space="preserve">. </w:t>
            </w:r>
          </w:p>
          <w:p w14:paraId="061876A9" w14:textId="77777777" w:rsidR="00B20F1E" w:rsidRPr="000D2717" w:rsidRDefault="00B20F1E" w:rsidP="004E1829">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738CEED5" w14:textId="77777777" w:rsidR="00B20F1E" w:rsidRPr="004E1829" w:rsidRDefault="00B20F1E" w:rsidP="004E1829">
            <w:pPr>
              <w:pStyle w:val="Tabletext"/>
              <w:rPr>
                <w:rFonts w:eastAsia="Calibri"/>
                <w:b/>
                <w:bCs/>
                <w:color w:val="000000"/>
                <w:lang w:val="es-ES"/>
              </w:rPr>
            </w:pPr>
            <w:r w:rsidRPr="004E1829">
              <w:rPr>
                <w:rFonts w:eastAsia="Calibri"/>
                <w:b/>
                <w:bCs/>
                <w:i/>
                <w:color w:val="000000"/>
                <w:lang w:val="es-ES"/>
              </w:rPr>
              <w:t>Solicitar a las administraciones de la UAT que:</w:t>
            </w:r>
          </w:p>
          <w:p w14:paraId="00B35F7D" w14:textId="7F345B58" w:rsidR="00B20F1E" w:rsidRPr="000D2717" w:rsidRDefault="000D2D05" w:rsidP="004E1829">
            <w:pPr>
              <w:pStyle w:val="Tabletext"/>
              <w:rPr>
                <w:rFonts w:eastAsia="Calibri"/>
                <w:color w:val="000000"/>
                <w:lang w:val="es-ES"/>
              </w:rPr>
            </w:pPr>
            <w:r>
              <w:rPr>
                <w:rFonts w:eastAsia="Calibri"/>
                <w:color w:val="000000"/>
                <w:lang w:val="es-ES"/>
              </w:rPr>
              <w:t>1</w:t>
            </w:r>
            <w:r>
              <w:rPr>
                <w:rFonts w:eastAsia="Calibri"/>
                <w:color w:val="000000"/>
                <w:lang w:val="es-ES"/>
              </w:rPr>
              <w:tab/>
            </w:r>
            <w:r w:rsidR="00B20F1E" w:rsidRPr="000D2D05">
              <w:rPr>
                <w:rFonts w:eastAsia="Calibri"/>
                <w:b/>
                <w:bCs/>
                <w:color w:val="000000"/>
                <w:lang w:val="es-ES"/>
              </w:rPr>
              <w:t>Apoyen</w:t>
            </w:r>
            <w:r w:rsidR="00B20F1E" w:rsidRPr="000D2717">
              <w:rPr>
                <w:rFonts w:eastAsia="Calibri"/>
                <w:color w:val="000000"/>
                <w:lang w:val="es-ES"/>
              </w:rPr>
              <w:t xml:space="preserve"> la AFCP en </w:t>
            </w:r>
            <w:r w:rsidR="00B20F1E">
              <w:rPr>
                <w:rFonts w:eastAsia="Calibri"/>
                <w:color w:val="000000"/>
                <w:lang w:val="es-ES"/>
              </w:rPr>
              <w:t xml:space="preserve">relación con </w:t>
            </w:r>
            <w:r w:rsidR="00B20F1E" w:rsidRPr="000D2717">
              <w:rPr>
                <w:rFonts w:eastAsia="Calibri"/>
                <w:color w:val="000000"/>
                <w:lang w:val="es-ES"/>
              </w:rPr>
              <w:t>este tema.</w:t>
            </w:r>
          </w:p>
          <w:p w14:paraId="7C62E67E" w14:textId="442F1F14" w:rsidR="00B20F1E" w:rsidRPr="000D2717" w:rsidRDefault="000D2D05" w:rsidP="000D2D05">
            <w:pPr>
              <w:pStyle w:val="Tabletext"/>
              <w:ind w:left="284" w:hanging="284"/>
              <w:rPr>
                <w:rFonts w:eastAsia="Calibri"/>
                <w:i/>
                <w:lang w:val="es-ES"/>
              </w:rPr>
            </w:pPr>
            <w:r>
              <w:rPr>
                <w:rFonts w:eastAsia="Calibri"/>
                <w:lang w:val="es-ES"/>
              </w:rPr>
              <w:t>2</w:t>
            </w:r>
            <w:r>
              <w:rPr>
                <w:rFonts w:eastAsia="Calibri"/>
                <w:lang w:val="es-ES"/>
              </w:rPr>
              <w:tab/>
            </w:r>
            <w:r w:rsidR="00B20F1E" w:rsidRPr="000D2D05">
              <w:rPr>
                <w:rFonts w:eastAsia="Calibri"/>
                <w:b/>
                <w:bCs/>
                <w:lang w:val="es-ES"/>
              </w:rPr>
              <w:t>Considerar</w:t>
            </w:r>
            <w:r w:rsidR="00B20F1E" w:rsidRPr="000D2717">
              <w:rPr>
                <w:rFonts w:eastAsia="Calibri"/>
                <w:lang w:val="es-ES"/>
              </w:rPr>
              <w:t xml:space="preserve"> la opinión </w:t>
            </w:r>
            <w:r w:rsidR="00B20F1E">
              <w:rPr>
                <w:rFonts w:eastAsia="Calibri"/>
                <w:lang w:val="es-ES"/>
              </w:rPr>
              <w:t>manifestada</w:t>
            </w:r>
            <w:r w:rsidR="00B20F1E" w:rsidRPr="000D2717">
              <w:rPr>
                <w:rFonts w:eastAsia="Calibri"/>
                <w:lang w:val="es-ES"/>
              </w:rPr>
              <w:t xml:space="preserve"> por algunas administraciones </w:t>
            </w:r>
            <w:r w:rsidR="00B20F1E">
              <w:rPr>
                <w:rFonts w:eastAsia="Calibri"/>
                <w:lang w:val="es-ES"/>
              </w:rPr>
              <w:t>respecto de</w:t>
            </w:r>
            <w:r w:rsidR="00B20F1E" w:rsidRPr="000D2717">
              <w:rPr>
                <w:rFonts w:eastAsia="Calibri"/>
                <w:lang w:val="es-ES"/>
              </w:rPr>
              <w:t xml:space="preserve"> la contribución a la CMR-23. </w:t>
            </w:r>
          </w:p>
        </w:tc>
      </w:tr>
      <w:tr w:rsidR="00B20F1E" w:rsidRPr="00B707C8" w14:paraId="5824CAF3" w14:textId="77777777" w:rsidTr="00DB48C6">
        <w:trPr>
          <w:jc w:val="center"/>
        </w:trPr>
        <w:tc>
          <w:tcPr>
            <w:tcW w:w="2547" w:type="dxa"/>
          </w:tcPr>
          <w:p w14:paraId="79A73B42" w14:textId="77777777" w:rsidR="00B20F1E" w:rsidRPr="00446316" w:rsidRDefault="00B20F1E" w:rsidP="00446316">
            <w:pPr>
              <w:pStyle w:val="Tabletext"/>
              <w:rPr>
                <w:rFonts w:eastAsia="Calibri"/>
                <w:b/>
                <w:bCs/>
                <w:lang w:val="es-ES"/>
              </w:rPr>
            </w:pPr>
            <w:r w:rsidRPr="00446316">
              <w:rPr>
                <w:rFonts w:eastAsia="Calibri"/>
                <w:b/>
                <w:bCs/>
                <w:lang w:val="es-ES"/>
              </w:rPr>
              <w:t xml:space="preserve">Punto 7, Tema K: </w:t>
            </w:r>
          </w:p>
          <w:p w14:paraId="1F995A60" w14:textId="1F7B877A" w:rsidR="00B20F1E" w:rsidRPr="000D2717" w:rsidRDefault="00B20F1E" w:rsidP="00446316">
            <w:pPr>
              <w:pStyle w:val="Tabletext"/>
              <w:rPr>
                <w:rFonts w:eastAsia="Calibri"/>
                <w:lang w:val="es-ES"/>
              </w:rPr>
            </w:pPr>
            <w:r w:rsidRPr="000D2717">
              <w:rPr>
                <w:rFonts w:eastAsia="Calibri"/>
                <w:lang w:val="es-ES"/>
              </w:rPr>
              <w:t xml:space="preserve">Modificación de la Resolución </w:t>
            </w:r>
            <w:r w:rsidRPr="00446316">
              <w:rPr>
                <w:rFonts w:eastAsia="Calibri"/>
                <w:b/>
                <w:bCs/>
                <w:lang w:val="es-ES"/>
              </w:rPr>
              <w:t>553 (Rev.CMR</w:t>
            </w:r>
            <w:r w:rsidR="00446316">
              <w:rPr>
                <w:rFonts w:eastAsia="Calibri"/>
                <w:b/>
                <w:bCs/>
                <w:lang w:val="es-ES"/>
              </w:rPr>
              <w:noBreakHyphen/>
            </w:r>
            <w:r w:rsidRPr="00446316">
              <w:rPr>
                <w:rFonts w:eastAsia="Calibri"/>
                <w:b/>
                <w:bCs/>
                <w:lang w:val="es-ES"/>
              </w:rPr>
              <w:t>15)</w:t>
            </w:r>
            <w:r w:rsidRPr="000D2717">
              <w:rPr>
                <w:rFonts w:eastAsia="Calibri"/>
                <w:lang w:val="es-ES"/>
              </w:rPr>
              <w:t xml:space="preserve"> para garantizar un acceso equitativo </w:t>
            </w:r>
          </w:p>
          <w:p w14:paraId="592CD10B" w14:textId="77777777" w:rsidR="00B20F1E" w:rsidRPr="000D2717" w:rsidRDefault="00B20F1E" w:rsidP="00446316">
            <w:pPr>
              <w:pStyle w:val="Tabletext"/>
              <w:rPr>
                <w:rFonts w:eastAsia="Calibri"/>
                <w:lang w:val="es-ES"/>
              </w:rPr>
            </w:pPr>
            <w:r w:rsidRPr="000D2717">
              <w:rPr>
                <w:rFonts w:eastAsia="Calibri"/>
                <w:lang w:val="es-ES"/>
              </w:rPr>
              <w:t>a la banda de frecuencias 21,4-22 GHz</w:t>
            </w:r>
          </w:p>
        </w:tc>
        <w:tc>
          <w:tcPr>
            <w:tcW w:w="6718" w:type="dxa"/>
          </w:tcPr>
          <w:p w14:paraId="275C675E" w14:textId="77777777" w:rsidR="00B20F1E" w:rsidRPr="000D2717" w:rsidRDefault="00B20F1E" w:rsidP="00446316">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1EF648DB" w14:textId="61091D80" w:rsidR="00B20F1E" w:rsidRPr="000D2717" w:rsidRDefault="00B20F1E" w:rsidP="00446316">
            <w:pPr>
              <w:pStyle w:val="Tabletext"/>
              <w:rPr>
                <w:rFonts w:eastAsia="Calibri"/>
                <w:lang w:val="es-ES"/>
              </w:rPr>
            </w:pPr>
            <w:r w:rsidRPr="00446316">
              <w:rPr>
                <w:rFonts w:eastAsia="Calibri"/>
                <w:b/>
                <w:bCs/>
                <w:lang w:val="es-ES"/>
              </w:rPr>
              <w:t>Apoyar</w:t>
            </w:r>
            <w:r w:rsidRPr="000D2717">
              <w:rPr>
                <w:rFonts w:eastAsia="Calibri"/>
                <w:lang w:val="es-ES"/>
              </w:rPr>
              <w:t xml:space="preserve"> el método K2, </w:t>
            </w:r>
            <w:r>
              <w:rPr>
                <w:rFonts w:eastAsia="Calibri"/>
                <w:lang w:val="es-ES"/>
              </w:rPr>
              <w:t>cuyo objetivo es</w:t>
            </w:r>
            <w:r w:rsidRPr="000D2717">
              <w:rPr>
                <w:rFonts w:eastAsia="Calibri"/>
                <w:lang w:val="es-ES"/>
              </w:rPr>
              <w:t xml:space="preserve"> aumentar </w:t>
            </w:r>
            <w:r>
              <w:rPr>
                <w:rFonts w:eastAsia="Calibri"/>
                <w:lang w:val="es-ES"/>
              </w:rPr>
              <w:t>la probabilidad</w:t>
            </w:r>
            <w:r w:rsidRPr="000D2717">
              <w:rPr>
                <w:rFonts w:eastAsia="Calibri"/>
                <w:lang w:val="es-ES"/>
              </w:rPr>
              <w:t xml:space="preserve"> de </w:t>
            </w:r>
            <w:r>
              <w:rPr>
                <w:rFonts w:eastAsia="Calibri"/>
                <w:lang w:val="es-ES"/>
              </w:rPr>
              <w:t xml:space="preserve">que las administraciones apliquen </w:t>
            </w:r>
            <w:r w:rsidRPr="000D2717">
              <w:rPr>
                <w:rFonts w:eastAsia="Calibri"/>
                <w:lang w:val="es-ES"/>
              </w:rPr>
              <w:t xml:space="preserve">la Resolución </w:t>
            </w:r>
            <w:r w:rsidRPr="00446316">
              <w:rPr>
                <w:rFonts w:eastAsia="Calibri"/>
                <w:b/>
                <w:bCs/>
                <w:lang w:val="es-ES"/>
              </w:rPr>
              <w:t>553 (Rev.CMR-15)</w:t>
            </w:r>
            <w:r w:rsidRPr="000D2717">
              <w:rPr>
                <w:rFonts w:eastAsia="Calibri"/>
                <w:lang w:val="es-ES"/>
              </w:rPr>
              <w:t xml:space="preserve"> </w:t>
            </w:r>
            <w:r>
              <w:rPr>
                <w:rFonts w:eastAsia="Calibri"/>
                <w:lang w:val="es-ES"/>
              </w:rPr>
              <w:t>de forma eficaz.</w:t>
            </w:r>
          </w:p>
          <w:p w14:paraId="6955CCE0" w14:textId="77777777" w:rsidR="00B20F1E" w:rsidRPr="000D2717" w:rsidRDefault="00B20F1E" w:rsidP="00446316">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1BA1ACFB" w14:textId="77777777" w:rsidR="00B20F1E" w:rsidRPr="00446316" w:rsidRDefault="00B20F1E" w:rsidP="00446316">
            <w:pPr>
              <w:pStyle w:val="Tabletext"/>
              <w:rPr>
                <w:rFonts w:eastAsia="Calibri"/>
                <w:b/>
                <w:bCs/>
                <w:i/>
                <w:lang w:val="es-ES"/>
              </w:rPr>
            </w:pPr>
            <w:r w:rsidRPr="00446316">
              <w:rPr>
                <w:rFonts w:eastAsia="Calibri"/>
                <w:b/>
                <w:bCs/>
                <w:i/>
                <w:lang w:val="es-ES"/>
              </w:rPr>
              <w:t>Solicitar a las administraciones de la UAT que:</w:t>
            </w:r>
          </w:p>
          <w:p w14:paraId="2475D979" w14:textId="77777777" w:rsidR="00B20F1E" w:rsidRPr="000D2717" w:rsidRDefault="00B20F1E" w:rsidP="00446316">
            <w:pPr>
              <w:pStyle w:val="Tabletext"/>
              <w:rPr>
                <w:rFonts w:eastAsia="Calibri"/>
                <w:i/>
                <w:lang w:val="es-ES"/>
              </w:rPr>
            </w:pPr>
            <w:r w:rsidRPr="00446316">
              <w:rPr>
                <w:rFonts w:eastAsia="Calibri"/>
                <w:b/>
                <w:bCs/>
                <w:lang w:val="es-ES"/>
              </w:rPr>
              <w:t>Apoyen</w:t>
            </w:r>
            <w:r w:rsidRPr="000D2717">
              <w:rPr>
                <w:rFonts w:eastAsia="Calibri"/>
                <w:lang w:val="es-ES"/>
              </w:rPr>
              <w:t xml:space="preserve"> la </w:t>
            </w:r>
            <w:r>
              <w:rPr>
                <w:rFonts w:eastAsia="Calibri"/>
                <w:lang w:val="es-ES"/>
              </w:rPr>
              <w:t>AFCP en relación con</w:t>
            </w:r>
            <w:r w:rsidRPr="000D2717">
              <w:rPr>
                <w:rFonts w:eastAsia="Calibri"/>
                <w:lang w:val="es-ES"/>
              </w:rPr>
              <w:t xml:space="preserve"> este tema.</w:t>
            </w:r>
          </w:p>
        </w:tc>
      </w:tr>
    </w:tbl>
    <w:p w14:paraId="168ABDDF" w14:textId="77777777" w:rsidR="00B20F1E" w:rsidRPr="000D2717" w:rsidRDefault="00B20F1E" w:rsidP="00B20F1E">
      <w:pPr>
        <w:rPr>
          <w:lang w:val="es-ES"/>
        </w:rPr>
      </w:pPr>
    </w:p>
    <w:p w14:paraId="63A2D592" w14:textId="77777777" w:rsidR="00B20F1E" w:rsidRPr="000D2717" w:rsidRDefault="00B20F1E" w:rsidP="00B20F1E">
      <w:pPr>
        <w:overflowPunct/>
        <w:autoSpaceDE/>
        <w:autoSpaceDN/>
        <w:adjustRightInd/>
        <w:textAlignment w:val="auto"/>
        <w:rPr>
          <w:rFonts w:ascii="Times New Roman Bold" w:hAnsi="Times New Roman Bold"/>
          <w:b/>
          <w:sz w:val="20"/>
          <w:lang w:val="es-ES"/>
        </w:rPr>
      </w:pPr>
      <w:bookmarkStart w:id="13" w:name="_heading=h.4i7ojhp" w:colFirst="0" w:colLast="0"/>
      <w:bookmarkEnd w:id="13"/>
      <w:r w:rsidRPr="000D2717">
        <w:rPr>
          <w:lang w:val="es-ES"/>
        </w:rPr>
        <w:br w:type="page"/>
      </w:r>
    </w:p>
    <w:p w14:paraId="78E83FC4" w14:textId="77777777" w:rsidR="00B20F1E" w:rsidRPr="000D2717" w:rsidRDefault="00B20F1E" w:rsidP="00B20F1E">
      <w:pPr>
        <w:pStyle w:val="Tabletitle"/>
        <w:rPr>
          <w:lang w:val="es-ES"/>
        </w:rPr>
      </w:pPr>
      <w:r w:rsidRPr="000D2717">
        <w:rPr>
          <w:lang w:val="es-ES"/>
        </w:rPr>
        <w:lastRenderedPageBreak/>
        <w:t>Puntos del orden del día</w:t>
      </w:r>
      <w:r w:rsidRPr="00F44120">
        <w:rPr>
          <w:lang w:val="es-ES"/>
        </w:rPr>
        <w:t xml:space="preserve"> </w:t>
      </w:r>
      <w:r>
        <w:rPr>
          <w:lang w:val="es-ES"/>
        </w:rPr>
        <w:t xml:space="preserve">del </w:t>
      </w:r>
      <w:r w:rsidRPr="000D2717">
        <w:rPr>
          <w:lang w:val="es-ES"/>
        </w:rPr>
        <w:t>Capítulo 5: Cuestiones generales</w:t>
      </w:r>
      <w:r w:rsidRPr="000D2717">
        <w:rPr>
          <w:lang w:val="es-ES"/>
        </w:rPr>
        <w:br/>
        <w:t>(Puntos 2, 4, 8, 9.2, 9.3 y 10 del orden del día)</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6287"/>
      </w:tblGrid>
      <w:tr w:rsidR="00B20F1E" w:rsidRPr="00B707C8" w14:paraId="3ABD7FFE" w14:textId="77777777" w:rsidTr="00DB48C6">
        <w:trPr>
          <w:jc w:val="center"/>
        </w:trPr>
        <w:tc>
          <w:tcPr>
            <w:tcW w:w="2978" w:type="dxa"/>
            <w:vAlign w:val="center"/>
          </w:tcPr>
          <w:p w14:paraId="00E33A78" w14:textId="77777777" w:rsidR="00B20F1E" w:rsidRPr="000D2717" w:rsidRDefault="00B20F1E" w:rsidP="00446316">
            <w:pPr>
              <w:pStyle w:val="Tablehead"/>
              <w:rPr>
                <w:rFonts w:eastAsia="Calibri"/>
                <w:lang w:val="es-ES"/>
              </w:rPr>
            </w:pPr>
            <w:r w:rsidRPr="000D2717">
              <w:rPr>
                <w:rFonts w:eastAsia="Calibri"/>
                <w:lang w:val="es-ES"/>
              </w:rPr>
              <w:t xml:space="preserve">Punto del orden del día </w:t>
            </w:r>
          </w:p>
        </w:tc>
        <w:tc>
          <w:tcPr>
            <w:tcW w:w="6287" w:type="dxa"/>
            <w:vAlign w:val="center"/>
          </w:tcPr>
          <w:p w14:paraId="2846AF3D" w14:textId="77777777" w:rsidR="00B20F1E" w:rsidRPr="000D2717" w:rsidRDefault="00B20F1E" w:rsidP="00446316">
            <w:pPr>
              <w:pStyle w:val="Tablehead"/>
              <w:rPr>
                <w:rFonts w:eastAsia="Calibri"/>
                <w:lang w:val="es-ES"/>
              </w:rPr>
            </w:pPr>
            <w:r w:rsidRPr="000D2717">
              <w:rPr>
                <w:rFonts w:eastAsia="Calibri"/>
                <w:lang w:val="es-ES"/>
              </w:rPr>
              <w:t>Posición común/propuesta africana (</w:t>
            </w:r>
            <w:r>
              <w:rPr>
                <w:rFonts w:eastAsia="Calibri"/>
                <w:lang w:val="es-ES"/>
              </w:rPr>
              <w:t>AFCP</w:t>
            </w:r>
            <w:r w:rsidRPr="000D2717">
              <w:rPr>
                <w:rFonts w:eastAsia="Calibri"/>
                <w:lang w:val="es-ES"/>
              </w:rPr>
              <w:t>)</w:t>
            </w:r>
          </w:p>
        </w:tc>
      </w:tr>
      <w:tr w:rsidR="00B20F1E" w:rsidRPr="00B707C8" w14:paraId="0253B204" w14:textId="77777777" w:rsidTr="00DB48C6">
        <w:trPr>
          <w:jc w:val="center"/>
        </w:trPr>
        <w:tc>
          <w:tcPr>
            <w:tcW w:w="2978" w:type="dxa"/>
          </w:tcPr>
          <w:p w14:paraId="12E40789" w14:textId="77777777" w:rsidR="00B20F1E" w:rsidRPr="000D2717" w:rsidRDefault="00B20F1E" w:rsidP="00446316">
            <w:pPr>
              <w:pStyle w:val="Tabletext"/>
              <w:rPr>
                <w:rFonts w:eastAsia="Calibri"/>
                <w:lang w:val="es-ES"/>
              </w:rPr>
            </w:pPr>
            <w:r>
              <w:rPr>
                <w:rFonts w:eastAsia="Calibri"/>
                <w:lang w:val="es-ES"/>
              </w:rPr>
              <w:t>Punto</w:t>
            </w:r>
            <w:r w:rsidRPr="000D2717">
              <w:rPr>
                <w:rFonts w:eastAsia="Calibri"/>
                <w:lang w:val="es-ES"/>
              </w:rPr>
              <w:t xml:space="preserve"> 2</w:t>
            </w:r>
          </w:p>
          <w:p w14:paraId="5101BCE1" w14:textId="56958C5C" w:rsidR="00B20F1E" w:rsidRPr="000D2717" w:rsidRDefault="00DB1DF5" w:rsidP="00446316">
            <w:pPr>
              <w:pStyle w:val="Tabletext"/>
              <w:rPr>
                <w:rFonts w:eastAsia="Calibri"/>
                <w:lang w:val="es-ES"/>
              </w:rPr>
            </w:pPr>
            <w:r>
              <w:rPr>
                <w:rFonts w:eastAsia="Calibri"/>
                <w:lang w:val="es-ES"/>
              </w:rPr>
              <w:t>E</w:t>
            </w:r>
            <w:r w:rsidR="00B20F1E" w:rsidRPr="004D3F00">
              <w:rPr>
                <w:rFonts w:eastAsia="Calibri"/>
                <w:lang w:val="es-ES"/>
              </w:rPr>
              <w:t xml:space="preserve">xaminar las Recomendaciones UIT-R revisadas e incorporadas por referencia </w:t>
            </w:r>
            <w:r w:rsidR="00B20F1E">
              <w:rPr>
                <w:rFonts w:eastAsia="Calibri"/>
                <w:lang w:val="es-ES"/>
              </w:rPr>
              <w:t>al</w:t>
            </w:r>
            <w:r w:rsidR="00B20F1E" w:rsidRPr="004D3F00">
              <w:rPr>
                <w:rFonts w:eastAsia="Calibri"/>
                <w:lang w:val="es-ES"/>
              </w:rPr>
              <w:t xml:space="preserve"> Reglamento de Radiocomunicaciones, comunicadas por la Asamblea de Radiocomunicaciones</w:t>
            </w:r>
            <w:r w:rsidR="00B20F1E">
              <w:rPr>
                <w:rFonts w:eastAsia="Calibri"/>
                <w:lang w:val="es-ES"/>
              </w:rPr>
              <w:t>,</w:t>
            </w:r>
            <w:r w:rsidR="00B20F1E" w:rsidRPr="004D3F00">
              <w:rPr>
                <w:rFonts w:eastAsia="Calibri"/>
                <w:lang w:val="es-ES"/>
              </w:rPr>
              <w:t xml:space="preserve"> de </w:t>
            </w:r>
            <w:r w:rsidR="00B20F1E">
              <w:rPr>
                <w:rFonts w:eastAsia="Calibri"/>
                <w:lang w:val="es-ES"/>
              </w:rPr>
              <w:t>conformidad</w:t>
            </w:r>
            <w:r w:rsidR="00B20F1E" w:rsidRPr="004D3F00">
              <w:rPr>
                <w:rFonts w:eastAsia="Calibri"/>
                <w:lang w:val="es-ES"/>
              </w:rPr>
              <w:t xml:space="preserve"> con el </w:t>
            </w:r>
            <w:r w:rsidR="00B20F1E" w:rsidRPr="004D3F00">
              <w:rPr>
                <w:rFonts w:eastAsia="Calibri"/>
                <w:i/>
                <w:iCs/>
                <w:lang w:val="es-ES"/>
              </w:rPr>
              <w:t>resuelve además</w:t>
            </w:r>
            <w:r w:rsidR="00B20F1E" w:rsidRPr="004D3F00">
              <w:rPr>
                <w:rFonts w:eastAsia="Calibri"/>
                <w:lang w:val="es-ES"/>
              </w:rPr>
              <w:t xml:space="preserve"> de la Resolución </w:t>
            </w:r>
            <w:r w:rsidR="00B20F1E" w:rsidRPr="004D3F00">
              <w:rPr>
                <w:rFonts w:eastAsia="Calibri"/>
                <w:bCs/>
                <w:lang w:val="es-ES"/>
              </w:rPr>
              <w:t>27 (Rev.CMR-19)</w:t>
            </w:r>
            <w:r w:rsidR="00B20F1E" w:rsidRPr="004D3F00">
              <w:rPr>
                <w:rFonts w:eastAsia="Calibri"/>
                <w:lang w:val="es-ES"/>
              </w:rPr>
              <w:t xml:space="preserve">, y decidir si se actualizan las correspondientes referencias en el Reglamento de Radiocomunicaciones, con arreglo a los principios </w:t>
            </w:r>
            <w:r w:rsidR="00B20F1E">
              <w:rPr>
                <w:rFonts w:eastAsia="Calibri"/>
                <w:lang w:val="es-ES"/>
              </w:rPr>
              <w:t>que figuran</w:t>
            </w:r>
            <w:r w:rsidR="00B20F1E" w:rsidRPr="004D3F00">
              <w:rPr>
                <w:rFonts w:eastAsia="Calibri"/>
                <w:lang w:val="es-ES"/>
              </w:rPr>
              <w:t xml:space="preserve"> en el </w:t>
            </w:r>
            <w:r w:rsidR="00B20F1E" w:rsidRPr="004D3F00">
              <w:rPr>
                <w:rFonts w:eastAsia="Calibri"/>
                <w:i/>
                <w:iCs/>
                <w:lang w:val="es-ES"/>
              </w:rPr>
              <w:t>resuelve</w:t>
            </w:r>
            <w:r w:rsidR="00B20F1E" w:rsidRPr="004D3F00">
              <w:rPr>
                <w:rFonts w:eastAsia="Calibri"/>
                <w:lang w:val="es-ES"/>
              </w:rPr>
              <w:t xml:space="preserve"> de </w:t>
            </w:r>
            <w:r w:rsidR="00B20F1E">
              <w:rPr>
                <w:rFonts w:eastAsia="Calibri"/>
                <w:lang w:val="es-ES"/>
              </w:rPr>
              <w:t>dicha</w:t>
            </w:r>
            <w:r w:rsidR="00B20F1E" w:rsidRPr="004D3F00">
              <w:rPr>
                <w:rFonts w:eastAsia="Calibri"/>
                <w:lang w:val="es-ES"/>
              </w:rPr>
              <w:t xml:space="preserve"> Resolución</w:t>
            </w:r>
            <w:r w:rsidR="00B20F1E">
              <w:rPr>
                <w:rFonts w:eastAsia="Calibri"/>
                <w:lang w:val="es-ES"/>
              </w:rPr>
              <w:t>.</w:t>
            </w:r>
          </w:p>
          <w:p w14:paraId="4AB7E0B9" w14:textId="77777777" w:rsidR="00B20F1E" w:rsidRPr="000D2717" w:rsidRDefault="00B20F1E" w:rsidP="00446316">
            <w:pPr>
              <w:pStyle w:val="Tabletext"/>
              <w:rPr>
                <w:rFonts w:eastAsia="Calibri"/>
                <w:lang w:val="es-ES"/>
              </w:rPr>
            </w:pPr>
          </w:p>
        </w:tc>
        <w:tc>
          <w:tcPr>
            <w:tcW w:w="6287" w:type="dxa"/>
          </w:tcPr>
          <w:p w14:paraId="0B350302" w14:textId="77777777" w:rsidR="00B20F1E" w:rsidRPr="000D2717" w:rsidRDefault="00B20F1E" w:rsidP="00446316">
            <w:pPr>
              <w:pStyle w:val="Tabletext"/>
              <w:rPr>
                <w:rFonts w:eastAsia="Calibri"/>
                <w:u w:val="single"/>
                <w:lang w:val="es-ES"/>
              </w:rPr>
            </w:pPr>
            <w:r>
              <w:rPr>
                <w:rFonts w:eastAsia="Calibri"/>
                <w:i/>
                <w:u w:val="single"/>
                <w:lang w:val="es-ES"/>
              </w:rPr>
              <w:t>Parte 1</w:t>
            </w:r>
            <w:r w:rsidRPr="000D2717">
              <w:rPr>
                <w:rFonts w:eastAsia="Calibri"/>
                <w:i/>
                <w:u w:val="single"/>
                <w:lang w:val="es-ES"/>
              </w:rPr>
              <w:t>: Posición común:</w:t>
            </w:r>
          </w:p>
          <w:p w14:paraId="0BC1297D" w14:textId="77777777" w:rsidR="00B20F1E" w:rsidRPr="000D2717" w:rsidRDefault="00B20F1E" w:rsidP="00446316">
            <w:pPr>
              <w:pStyle w:val="Tabletext"/>
              <w:rPr>
                <w:rFonts w:eastAsia="Calibri"/>
                <w:lang w:val="es-ES"/>
              </w:rPr>
            </w:pPr>
            <w:r w:rsidRPr="00446316">
              <w:rPr>
                <w:rFonts w:eastAsia="Calibri"/>
                <w:b/>
                <w:bCs/>
                <w:lang w:val="es-ES"/>
              </w:rPr>
              <w:t>Apoyar</w:t>
            </w:r>
            <w:r w:rsidRPr="000D2717">
              <w:rPr>
                <w:rFonts w:eastAsia="Calibri"/>
                <w:lang w:val="es-ES"/>
              </w:rPr>
              <w:t xml:space="preserve"> la revisión de las Recomendaciones UIT-R incorporadas por referencia </w:t>
            </w:r>
            <w:r>
              <w:rPr>
                <w:rFonts w:eastAsia="Calibri"/>
                <w:lang w:val="es-ES"/>
              </w:rPr>
              <w:t>a</w:t>
            </w:r>
            <w:r w:rsidRPr="000D2717">
              <w:rPr>
                <w:rFonts w:eastAsia="Calibri"/>
                <w:lang w:val="es-ES"/>
              </w:rPr>
              <w:t>l Reglamento de Radiocomunicaciones</w:t>
            </w:r>
            <w:r>
              <w:rPr>
                <w:rFonts w:eastAsia="Calibri"/>
                <w:lang w:val="es-ES"/>
              </w:rPr>
              <w:t>,</w:t>
            </w:r>
            <w:r w:rsidRPr="000D2717">
              <w:rPr>
                <w:rFonts w:eastAsia="Calibri"/>
                <w:lang w:val="es-ES"/>
              </w:rPr>
              <w:t xml:space="preserve"> comunicadas por la Asamblea de Radiocomunicaciones, de conformidad con la Resolución </w:t>
            </w:r>
            <w:r w:rsidRPr="00446316">
              <w:rPr>
                <w:rFonts w:eastAsia="Calibri"/>
                <w:b/>
                <w:bCs/>
                <w:lang w:val="es-ES"/>
              </w:rPr>
              <w:t>27 (Rev.CMR-19)</w:t>
            </w:r>
            <w:r w:rsidRPr="000D2717">
              <w:rPr>
                <w:rFonts w:eastAsia="Calibri"/>
                <w:lang w:val="es-ES"/>
              </w:rPr>
              <w:t>, con miras a actualizar las correspondientes referencias en el Reglamento de Radiocomunicaciones.</w:t>
            </w:r>
          </w:p>
          <w:p w14:paraId="0C615803" w14:textId="77777777" w:rsidR="00B20F1E" w:rsidRPr="000D2717" w:rsidRDefault="00B20F1E" w:rsidP="00446316">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0D7A1607" w14:textId="77777777" w:rsidR="00B20F1E" w:rsidRPr="00446316" w:rsidRDefault="00B20F1E" w:rsidP="00446316">
            <w:pPr>
              <w:pStyle w:val="Tabletext"/>
              <w:rPr>
                <w:rFonts w:eastAsia="Calibri"/>
                <w:b/>
                <w:bCs/>
                <w:i/>
                <w:lang w:val="es-ES"/>
              </w:rPr>
            </w:pPr>
            <w:r w:rsidRPr="00446316">
              <w:rPr>
                <w:rFonts w:eastAsia="Calibri"/>
                <w:b/>
                <w:bCs/>
                <w:i/>
                <w:lang w:val="es-ES"/>
              </w:rPr>
              <w:t xml:space="preserve">Solicitar a las administraciones de la UAT </w:t>
            </w:r>
            <w:r w:rsidRPr="00446316">
              <w:rPr>
                <w:rFonts w:eastAsia="Calibri"/>
                <w:b/>
                <w:bCs/>
                <w:i/>
                <w:color w:val="000000"/>
                <w:lang w:val="es-ES"/>
              </w:rPr>
              <w:t>que:</w:t>
            </w:r>
          </w:p>
          <w:p w14:paraId="1FABC118" w14:textId="3D38292D" w:rsidR="00B20F1E" w:rsidRPr="000D2717" w:rsidRDefault="00446316" w:rsidP="00446316">
            <w:pPr>
              <w:pStyle w:val="Tabletext"/>
              <w:ind w:left="284" w:hanging="284"/>
              <w:rPr>
                <w:rFonts w:eastAsia="Calibri"/>
                <w:color w:val="000000"/>
                <w:lang w:val="es-ES"/>
              </w:rPr>
            </w:pPr>
            <w:r>
              <w:rPr>
                <w:rFonts w:eastAsia="Calibri"/>
                <w:color w:val="000000"/>
                <w:lang w:val="es-ES"/>
              </w:rPr>
              <w:t>1</w:t>
            </w:r>
            <w:r>
              <w:rPr>
                <w:rFonts w:eastAsia="Calibri"/>
                <w:color w:val="000000"/>
                <w:lang w:val="es-ES"/>
              </w:rPr>
              <w:tab/>
            </w:r>
            <w:r w:rsidR="00B20F1E" w:rsidRPr="00446316">
              <w:rPr>
                <w:rFonts w:eastAsia="Calibri"/>
                <w:b/>
                <w:bCs/>
                <w:color w:val="000000"/>
                <w:lang w:val="es-ES"/>
              </w:rPr>
              <w:t>Supervisen</w:t>
            </w:r>
            <w:r w:rsidR="00B20F1E" w:rsidRPr="000D2717">
              <w:rPr>
                <w:rFonts w:eastAsia="Calibri"/>
                <w:color w:val="000000"/>
                <w:lang w:val="es-ES"/>
              </w:rPr>
              <w:t xml:space="preserve"> </w:t>
            </w:r>
            <w:r w:rsidR="00B20F1E" w:rsidRPr="001B5CBC">
              <w:rPr>
                <w:rFonts w:eastAsia="Calibri"/>
                <w:bCs/>
                <w:color w:val="000000"/>
                <w:lang w:val="es-ES"/>
              </w:rPr>
              <w:t>los</w:t>
            </w:r>
            <w:r w:rsidR="00B20F1E" w:rsidRPr="000D2717">
              <w:rPr>
                <w:rFonts w:eastAsia="Calibri"/>
                <w:color w:val="000000"/>
                <w:lang w:val="es-ES"/>
              </w:rPr>
              <w:t xml:space="preserve"> </w:t>
            </w:r>
            <w:r w:rsidR="00B20F1E">
              <w:rPr>
                <w:rFonts w:eastAsia="Calibri"/>
                <w:color w:val="000000"/>
                <w:lang w:val="es-ES"/>
              </w:rPr>
              <w:t>avances</w:t>
            </w:r>
            <w:r w:rsidR="00B20F1E" w:rsidRPr="000D2717">
              <w:rPr>
                <w:rFonts w:eastAsia="Calibri"/>
                <w:color w:val="000000"/>
                <w:lang w:val="es-ES"/>
              </w:rPr>
              <w:t xml:space="preserve"> de la</w:t>
            </w:r>
            <w:r w:rsidR="00B20F1E">
              <w:rPr>
                <w:rFonts w:eastAsia="Calibri"/>
                <w:color w:val="000000"/>
                <w:lang w:val="es-ES"/>
              </w:rPr>
              <w:t xml:space="preserve">s propuesta de revisión </w:t>
            </w:r>
            <w:r w:rsidR="00B20F1E" w:rsidRPr="000D2717">
              <w:rPr>
                <w:rFonts w:eastAsia="Calibri"/>
                <w:color w:val="000000"/>
                <w:lang w:val="es-ES"/>
              </w:rPr>
              <w:t>de las Recomendaciones UIT-R.</w:t>
            </w:r>
          </w:p>
          <w:p w14:paraId="1B1B7230" w14:textId="4097752F" w:rsidR="00B20F1E" w:rsidRPr="000D2717" w:rsidRDefault="00446316" w:rsidP="00446316">
            <w:pPr>
              <w:pStyle w:val="Tabletext"/>
              <w:ind w:left="284" w:hanging="284"/>
              <w:rPr>
                <w:rFonts w:eastAsia="Calibri"/>
                <w:lang w:val="es-ES"/>
              </w:rPr>
            </w:pPr>
            <w:r>
              <w:rPr>
                <w:rFonts w:eastAsia="Calibri"/>
                <w:lang w:val="es-ES"/>
              </w:rPr>
              <w:t>2</w:t>
            </w:r>
            <w:r>
              <w:rPr>
                <w:rFonts w:eastAsia="Calibri"/>
                <w:lang w:val="es-ES"/>
              </w:rPr>
              <w:tab/>
            </w:r>
            <w:r w:rsidR="00B20F1E" w:rsidRPr="00446316">
              <w:rPr>
                <w:rFonts w:eastAsia="Calibri"/>
                <w:b/>
                <w:bCs/>
                <w:lang w:val="es-ES"/>
              </w:rPr>
              <w:t>Tomen nota</w:t>
            </w:r>
            <w:r w:rsidR="00B20F1E" w:rsidRPr="000D2717">
              <w:rPr>
                <w:rFonts w:eastAsia="Calibri"/>
                <w:lang w:val="es-ES"/>
              </w:rPr>
              <w:t xml:space="preserve"> y examin</w:t>
            </w:r>
            <w:r w:rsidR="00B20F1E">
              <w:rPr>
                <w:rFonts w:eastAsia="Calibri"/>
                <w:lang w:val="es-ES"/>
              </w:rPr>
              <w:t>en</w:t>
            </w:r>
            <w:r w:rsidR="00B20F1E" w:rsidRPr="000D2717">
              <w:rPr>
                <w:rFonts w:eastAsia="Calibri"/>
                <w:lang w:val="es-ES"/>
              </w:rPr>
              <w:t xml:space="preserve"> el informe del Director de la Oficina de Radiocomunicaciones a la segunda </w:t>
            </w:r>
            <w:r w:rsidR="00B20F1E">
              <w:rPr>
                <w:rFonts w:eastAsia="Calibri"/>
                <w:lang w:val="es-ES"/>
              </w:rPr>
              <w:t>reunión</w:t>
            </w:r>
            <w:r w:rsidR="00B20F1E" w:rsidRPr="000D2717">
              <w:rPr>
                <w:rFonts w:eastAsia="Calibri"/>
                <w:lang w:val="es-ES"/>
              </w:rPr>
              <w:t xml:space="preserve"> de la </w:t>
            </w:r>
            <w:r w:rsidR="00B20F1E">
              <w:rPr>
                <w:rFonts w:eastAsia="Calibri"/>
                <w:lang w:val="es-ES"/>
              </w:rPr>
              <w:t>RPC</w:t>
            </w:r>
            <w:r w:rsidR="00B20F1E" w:rsidRPr="000D2717">
              <w:rPr>
                <w:rFonts w:eastAsia="Calibri"/>
                <w:lang w:val="es-ES"/>
              </w:rPr>
              <w:t>.</w:t>
            </w:r>
          </w:p>
          <w:p w14:paraId="06F86552" w14:textId="6105921C" w:rsidR="00B20F1E" w:rsidRPr="000D2717" w:rsidRDefault="00446316" w:rsidP="00446316">
            <w:pPr>
              <w:pStyle w:val="Tabletext"/>
              <w:ind w:left="284" w:hanging="284"/>
              <w:rPr>
                <w:rFonts w:eastAsia="Calibri"/>
                <w:lang w:val="es-ES"/>
              </w:rPr>
            </w:pPr>
            <w:r>
              <w:rPr>
                <w:rFonts w:eastAsia="Calibri"/>
                <w:lang w:val="es-ES"/>
              </w:rPr>
              <w:t>3</w:t>
            </w:r>
            <w:r>
              <w:rPr>
                <w:rFonts w:eastAsia="Calibri"/>
                <w:lang w:val="es-ES"/>
              </w:rPr>
              <w:tab/>
            </w:r>
            <w:r w:rsidR="00B20F1E" w:rsidRPr="00446316">
              <w:rPr>
                <w:rFonts w:eastAsia="Calibri"/>
                <w:b/>
                <w:bCs/>
                <w:lang w:val="es-ES"/>
              </w:rPr>
              <w:t>Apoyen</w:t>
            </w:r>
            <w:r w:rsidR="00B20F1E">
              <w:rPr>
                <w:rFonts w:eastAsia="Calibri"/>
                <w:lang w:val="es-ES"/>
              </w:rPr>
              <w:t xml:space="preserve"> </w:t>
            </w:r>
            <w:r w:rsidR="00B20F1E" w:rsidRPr="001B5CBC">
              <w:rPr>
                <w:rFonts w:eastAsia="Calibri"/>
                <w:bCs/>
                <w:lang w:val="es-ES"/>
              </w:rPr>
              <w:t>los trabajos de las Comisiones de Estudio de Radiocomunicaciones y de la Asamblea de Radiocomunicaciones relacionado con la revisión de las Recomendaciones consideradas como referencias obligatorias en las disposiciones del Reglamento de Radiocomunicaciones.</w:t>
            </w:r>
          </w:p>
        </w:tc>
      </w:tr>
      <w:tr w:rsidR="00B20F1E" w:rsidRPr="00B707C8" w14:paraId="7F94126C" w14:textId="77777777" w:rsidTr="00DB48C6">
        <w:trPr>
          <w:jc w:val="center"/>
        </w:trPr>
        <w:tc>
          <w:tcPr>
            <w:tcW w:w="2978" w:type="dxa"/>
          </w:tcPr>
          <w:p w14:paraId="5FE0F1E8" w14:textId="77777777" w:rsidR="00B20F1E" w:rsidRPr="000D2717" w:rsidRDefault="00B20F1E" w:rsidP="00446316">
            <w:pPr>
              <w:pStyle w:val="Tabletext"/>
              <w:rPr>
                <w:rFonts w:eastAsia="Calibri"/>
                <w:lang w:val="es-ES"/>
              </w:rPr>
            </w:pPr>
            <w:r>
              <w:rPr>
                <w:rFonts w:eastAsia="Calibri"/>
                <w:lang w:val="es-ES"/>
              </w:rPr>
              <w:t>Punto</w:t>
            </w:r>
            <w:r w:rsidRPr="000D2717">
              <w:rPr>
                <w:rFonts w:eastAsia="Calibri"/>
                <w:lang w:val="es-ES"/>
              </w:rPr>
              <w:t xml:space="preserve"> 4</w:t>
            </w:r>
          </w:p>
          <w:p w14:paraId="53AD42CD" w14:textId="77777777" w:rsidR="00B20F1E" w:rsidRPr="000D2717" w:rsidRDefault="00B20F1E" w:rsidP="00446316">
            <w:pPr>
              <w:pStyle w:val="Tabletext"/>
              <w:rPr>
                <w:rFonts w:eastAsia="Calibri"/>
                <w:lang w:val="es-ES"/>
              </w:rPr>
            </w:pPr>
            <w:r>
              <w:rPr>
                <w:rFonts w:eastAsia="Calibri"/>
                <w:color w:val="000000"/>
                <w:lang w:val="es-ES"/>
              </w:rPr>
              <w:t>D</w:t>
            </w:r>
            <w:r w:rsidRPr="009604B4">
              <w:rPr>
                <w:rFonts w:eastAsia="Calibri"/>
                <w:color w:val="000000"/>
                <w:lang w:val="es-ES"/>
              </w:rPr>
              <w:t xml:space="preserve">e conformidad con la Resolución 95 (Rev.CMR-19), </w:t>
            </w:r>
            <w:r>
              <w:rPr>
                <w:rFonts w:eastAsia="Calibri"/>
                <w:color w:val="000000"/>
                <w:lang w:val="es-ES"/>
              </w:rPr>
              <w:t>examinar</w:t>
            </w:r>
            <w:r w:rsidRPr="009604B4">
              <w:rPr>
                <w:rFonts w:eastAsia="Calibri"/>
                <w:color w:val="000000"/>
                <w:lang w:val="es-ES"/>
              </w:rPr>
              <w:t xml:space="preserve"> las Resoluciones y Recomendaciones de conferencias anteriores para su posible revisión, sustitución o supresión</w:t>
            </w:r>
            <w:r>
              <w:rPr>
                <w:rFonts w:eastAsia="Calibri"/>
                <w:color w:val="000000"/>
                <w:lang w:val="es-ES"/>
              </w:rPr>
              <w:t>.</w:t>
            </w:r>
          </w:p>
        </w:tc>
        <w:tc>
          <w:tcPr>
            <w:tcW w:w="6287" w:type="dxa"/>
          </w:tcPr>
          <w:p w14:paraId="38E88412" w14:textId="77777777" w:rsidR="00B20F1E" w:rsidRPr="000D2717" w:rsidRDefault="00B20F1E" w:rsidP="00446316">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4B1F78F6" w14:textId="77777777" w:rsidR="00B20F1E" w:rsidRPr="000D2717" w:rsidRDefault="00B20F1E" w:rsidP="00446316">
            <w:pPr>
              <w:pStyle w:val="Tabletext"/>
              <w:rPr>
                <w:rFonts w:eastAsia="Calibri"/>
                <w:lang w:val="es-ES"/>
              </w:rPr>
            </w:pPr>
            <w:r w:rsidRPr="00446316">
              <w:rPr>
                <w:rFonts w:eastAsia="Calibri"/>
                <w:b/>
                <w:bCs/>
                <w:lang w:val="es-ES"/>
              </w:rPr>
              <w:t>Apoyar</w:t>
            </w:r>
            <w:r w:rsidRPr="000D2717">
              <w:rPr>
                <w:rFonts w:eastAsia="Calibri"/>
                <w:lang w:val="es-ES"/>
              </w:rPr>
              <w:t xml:space="preserve"> la revisión periódica de Resoluciones y Recomendaciones de conferencias anteriores y seguir las actividades</w:t>
            </w:r>
            <w:r>
              <w:rPr>
                <w:rFonts w:eastAsia="Calibri"/>
                <w:lang w:val="es-ES"/>
              </w:rPr>
              <w:t xml:space="preserve"> al respecto</w:t>
            </w:r>
            <w:r w:rsidRPr="000D2717">
              <w:rPr>
                <w:rFonts w:eastAsia="Calibri"/>
                <w:lang w:val="es-ES"/>
              </w:rPr>
              <w:t xml:space="preserve">, en particular </w:t>
            </w:r>
            <w:r>
              <w:rPr>
                <w:rFonts w:eastAsia="Calibri"/>
                <w:lang w:val="es-ES"/>
              </w:rPr>
              <w:t xml:space="preserve">las </w:t>
            </w:r>
            <w:r w:rsidRPr="000D2717">
              <w:rPr>
                <w:rFonts w:eastAsia="Calibri"/>
                <w:lang w:val="es-ES"/>
              </w:rPr>
              <w:t>de la UIT.</w:t>
            </w:r>
          </w:p>
          <w:p w14:paraId="117047B7" w14:textId="77777777" w:rsidR="00B20F1E" w:rsidRPr="000D2717" w:rsidRDefault="00B20F1E" w:rsidP="00446316">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1B7C02DC" w14:textId="77777777" w:rsidR="00B20F1E" w:rsidRPr="00446316" w:rsidRDefault="00B20F1E" w:rsidP="00446316">
            <w:pPr>
              <w:pStyle w:val="Tabletext"/>
              <w:rPr>
                <w:rFonts w:eastAsia="Calibri"/>
                <w:b/>
                <w:bCs/>
                <w:lang w:val="es-ES"/>
              </w:rPr>
            </w:pPr>
            <w:r w:rsidRPr="00446316">
              <w:rPr>
                <w:rFonts w:eastAsia="Calibri"/>
                <w:b/>
                <w:bCs/>
                <w:i/>
                <w:lang w:val="es-ES"/>
              </w:rPr>
              <w:t xml:space="preserve">Solicitar a las administraciones de la UAT </w:t>
            </w:r>
            <w:r w:rsidRPr="00446316">
              <w:rPr>
                <w:rFonts w:eastAsia="Calibri"/>
                <w:b/>
                <w:bCs/>
                <w:i/>
                <w:color w:val="000000"/>
                <w:lang w:val="es-ES"/>
              </w:rPr>
              <w:t>que:</w:t>
            </w:r>
          </w:p>
          <w:p w14:paraId="7F86816B" w14:textId="7C62D8C5" w:rsidR="00B20F1E" w:rsidRPr="000D2717" w:rsidRDefault="00446316" w:rsidP="00446316">
            <w:pPr>
              <w:pStyle w:val="Tabletext"/>
              <w:ind w:left="284" w:hanging="284"/>
              <w:rPr>
                <w:rFonts w:eastAsia="Calibri"/>
                <w:lang w:val="es-ES"/>
              </w:rPr>
            </w:pPr>
            <w:r>
              <w:rPr>
                <w:rFonts w:eastAsia="Calibri"/>
                <w:lang w:val="es-ES"/>
              </w:rPr>
              <w:t>1</w:t>
            </w:r>
            <w:r>
              <w:rPr>
                <w:rFonts w:eastAsia="Calibri"/>
                <w:lang w:val="es-ES"/>
              </w:rPr>
              <w:tab/>
            </w:r>
            <w:r w:rsidR="00B20F1E" w:rsidRPr="00446316">
              <w:rPr>
                <w:rFonts w:eastAsia="Calibri"/>
                <w:b/>
                <w:bCs/>
                <w:lang w:val="es-ES"/>
              </w:rPr>
              <w:t>Estudien</w:t>
            </w:r>
            <w:r w:rsidR="00B20F1E" w:rsidRPr="000D2717">
              <w:rPr>
                <w:rFonts w:eastAsia="Calibri"/>
                <w:lang w:val="es-ES"/>
              </w:rPr>
              <w:t xml:space="preserve"> las Recomendaciones y Resoluciones de conferencias anteriores para identificar </w:t>
            </w:r>
            <w:r w:rsidR="00B20F1E">
              <w:rPr>
                <w:rFonts w:eastAsia="Calibri"/>
                <w:lang w:val="es-ES"/>
              </w:rPr>
              <w:t>las</w:t>
            </w:r>
            <w:r w:rsidR="00B20F1E" w:rsidRPr="000D2717">
              <w:rPr>
                <w:rFonts w:eastAsia="Calibri"/>
                <w:lang w:val="es-ES"/>
              </w:rPr>
              <w:t xml:space="preserve"> que hayan cumplido su </w:t>
            </w:r>
            <w:r w:rsidR="00B20F1E">
              <w:rPr>
                <w:rFonts w:eastAsia="Calibri"/>
                <w:lang w:val="es-ES"/>
              </w:rPr>
              <w:t>finalidad</w:t>
            </w:r>
            <w:r w:rsidR="00B20F1E" w:rsidRPr="000D2717">
              <w:rPr>
                <w:rFonts w:eastAsia="Calibri"/>
                <w:lang w:val="es-ES"/>
              </w:rPr>
              <w:t xml:space="preserve"> y deban ser derogadas</w:t>
            </w:r>
            <w:r w:rsidR="00B20F1E">
              <w:rPr>
                <w:rFonts w:eastAsia="Calibri"/>
                <w:lang w:val="es-ES"/>
              </w:rPr>
              <w:t>,</w:t>
            </w:r>
            <w:r w:rsidR="00B20F1E" w:rsidRPr="000D2717">
              <w:rPr>
                <w:rFonts w:eastAsia="Calibri"/>
                <w:lang w:val="es-ES"/>
              </w:rPr>
              <w:t xml:space="preserve"> o </w:t>
            </w:r>
            <w:r w:rsidR="00B20F1E">
              <w:rPr>
                <w:rFonts w:eastAsia="Calibri"/>
                <w:lang w:val="es-ES"/>
              </w:rPr>
              <w:t>las</w:t>
            </w:r>
            <w:r w:rsidR="00B20F1E" w:rsidRPr="000D2717">
              <w:rPr>
                <w:rFonts w:eastAsia="Calibri"/>
                <w:lang w:val="es-ES"/>
              </w:rPr>
              <w:t xml:space="preserve"> que deban ser revisadas o sustituidas. </w:t>
            </w:r>
          </w:p>
          <w:p w14:paraId="661FDB5B" w14:textId="13B92864" w:rsidR="00B20F1E" w:rsidRPr="000D2717" w:rsidRDefault="00446316" w:rsidP="00446316">
            <w:pPr>
              <w:pStyle w:val="Tabletext"/>
              <w:ind w:left="284" w:hanging="284"/>
              <w:rPr>
                <w:rFonts w:eastAsia="Calibri"/>
                <w:lang w:val="es-ES"/>
              </w:rPr>
            </w:pPr>
            <w:r>
              <w:rPr>
                <w:rFonts w:eastAsia="Calibri"/>
                <w:lang w:val="es-ES"/>
              </w:rPr>
              <w:t>2</w:t>
            </w:r>
            <w:r>
              <w:rPr>
                <w:rFonts w:eastAsia="Calibri"/>
                <w:lang w:val="es-ES"/>
              </w:rPr>
              <w:tab/>
            </w:r>
            <w:r w:rsidR="00B20F1E" w:rsidRPr="00446316">
              <w:rPr>
                <w:rFonts w:eastAsia="Calibri"/>
                <w:b/>
                <w:bCs/>
                <w:lang w:val="es-ES"/>
              </w:rPr>
              <w:t>Estudien</w:t>
            </w:r>
            <w:r w:rsidR="00B20F1E" w:rsidRPr="000D2717">
              <w:rPr>
                <w:rFonts w:eastAsia="Calibri"/>
                <w:lang w:val="es-ES"/>
              </w:rPr>
              <w:t xml:space="preserve"> </w:t>
            </w:r>
            <w:r w:rsidR="00B20F1E" w:rsidRPr="00C90CD6">
              <w:rPr>
                <w:rFonts w:eastAsia="Calibri"/>
                <w:bCs/>
                <w:lang w:val="es-ES"/>
              </w:rPr>
              <w:t>el</w:t>
            </w:r>
            <w:r w:rsidR="00B20F1E" w:rsidRPr="000D2717">
              <w:rPr>
                <w:rFonts w:eastAsia="Calibri"/>
                <w:lang w:val="es-ES"/>
              </w:rPr>
              <w:t xml:space="preserve"> informe del Director de la BR para </w:t>
            </w:r>
            <w:r w:rsidR="00B20F1E">
              <w:rPr>
                <w:rFonts w:eastAsia="Calibri"/>
                <w:lang w:val="es-ES"/>
              </w:rPr>
              <w:t>velar por</w:t>
            </w:r>
            <w:r w:rsidR="00B20F1E" w:rsidRPr="000D2717">
              <w:rPr>
                <w:rFonts w:eastAsia="Calibri"/>
                <w:lang w:val="es-ES"/>
              </w:rPr>
              <w:t xml:space="preserve"> que </w:t>
            </w:r>
            <w:r w:rsidR="00B20F1E">
              <w:rPr>
                <w:rFonts w:eastAsia="Calibri"/>
                <w:lang w:val="es-ES"/>
              </w:rPr>
              <w:t>toda</w:t>
            </w:r>
            <w:r w:rsidR="00B20F1E" w:rsidRPr="000D2717">
              <w:rPr>
                <w:rFonts w:eastAsia="Calibri"/>
                <w:lang w:val="es-ES"/>
              </w:rPr>
              <w:t xml:space="preserve"> propuesta de derogación, revisión o sustitución de </w:t>
            </w:r>
            <w:r w:rsidR="00B20F1E">
              <w:rPr>
                <w:rFonts w:eastAsia="Calibri"/>
                <w:lang w:val="es-ES"/>
              </w:rPr>
              <w:t>R</w:t>
            </w:r>
            <w:r w:rsidR="00B20F1E" w:rsidRPr="000D2717">
              <w:rPr>
                <w:rFonts w:eastAsia="Calibri"/>
                <w:lang w:val="es-ES"/>
              </w:rPr>
              <w:t xml:space="preserve">esoluciones o </w:t>
            </w:r>
            <w:r w:rsidR="00B20F1E">
              <w:rPr>
                <w:rFonts w:eastAsia="Calibri"/>
                <w:lang w:val="es-ES"/>
              </w:rPr>
              <w:t>R</w:t>
            </w:r>
            <w:r w:rsidR="00B20F1E" w:rsidRPr="000D2717">
              <w:rPr>
                <w:rFonts w:eastAsia="Calibri"/>
                <w:lang w:val="es-ES"/>
              </w:rPr>
              <w:t>ecomendaciones se ajust</w:t>
            </w:r>
            <w:r w:rsidR="00B20F1E">
              <w:rPr>
                <w:rFonts w:eastAsia="Calibri"/>
                <w:lang w:val="es-ES"/>
              </w:rPr>
              <w:t>e</w:t>
            </w:r>
            <w:r w:rsidR="00B20F1E" w:rsidRPr="000D2717">
              <w:rPr>
                <w:rFonts w:eastAsia="Calibri"/>
                <w:lang w:val="es-ES"/>
              </w:rPr>
              <w:t xml:space="preserve"> a nuestros intereses</w:t>
            </w:r>
            <w:r w:rsidR="00B20F1E" w:rsidRPr="000D2717">
              <w:rPr>
                <w:rFonts w:eastAsia="Calibri"/>
                <w:i/>
                <w:lang w:val="es-ES"/>
              </w:rPr>
              <w:t xml:space="preserve">. </w:t>
            </w:r>
          </w:p>
          <w:p w14:paraId="6F2F2B11" w14:textId="15B83B8C" w:rsidR="00B20F1E" w:rsidRPr="000D2717" w:rsidRDefault="00446316" w:rsidP="00446316">
            <w:pPr>
              <w:pStyle w:val="Tabletext"/>
              <w:ind w:left="284" w:hanging="284"/>
              <w:rPr>
                <w:rFonts w:eastAsia="Calibri"/>
                <w:lang w:val="es-ES"/>
              </w:rPr>
            </w:pPr>
            <w:r>
              <w:rPr>
                <w:rFonts w:eastAsia="Calibri"/>
                <w:lang w:val="es-ES"/>
              </w:rPr>
              <w:t>3</w:t>
            </w:r>
            <w:r>
              <w:rPr>
                <w:rFonts w:eastAsia="Calibri"/>
                <w:lang w:val="es-ES"/>
              </w:rPr>
              <w:tab/>
            </w:r>
            <w:r w:rsidR="00B20F1E" w:rsidRPr="00446316">
              <w:rPr>
                <w:rFonts w:eastAsia="Calibri"/>
                <w:b/>
                <w:bCs/>
                <w:lang w:val="es-ES"/>
              </w:rPr>
              <w:t>Examinen</w:t>
            </w:r>
            <w:r w:rsidR="00B20F1E" w:rsidRPr="000D2717">
              <w:rPr>
                <w:rFonts w:eastAsia="Calibri"/>
                <w:lang w:val="es-ES"/>
              </w:rPr>
              <w:t xml:space="preserve"> </w:t>
            </w:r>
            <w:r w:rsidR="00B20F1E" w:rsidRPr="00C90CD6">
              <w:rPr>
                <w:rFonts w:eastAsia="Calibri"/>
                <w:bCs/>
                <w:lang w:val="es-ES"/>
              </w:rPr>
              <w:t>las</w:t>
            </w:r>
            <w:r w:rsidR="00B20F1E" w:rsidRPr="000D2717">
              <w:rPr>
                <w:rFonts w:eastAsia="Calibri"/>
                <w:lang w:val="es-ES"/>
              </w:rPr>
              <w:t xml:space="preserve"> Recomendaciones y Resoluciones que figuran a continuación y que pueden haber cumplido su </w:t>
            </w:r>
            <w:r w:rsidR="00B20F1E">
              <w:rPr>
                <w:rFonts w:eastAsia="Calibri"/>
                <w:lang w:val="es-ES"/>
              </w:rPr>
              <w:t>finalidad, con objeto de ser revisadas</w:t>
            </w:r>
            <w:r w:rsidR="00B20F1E" w:rsidRPr="000D2717">
              <w:rPr>
                <w:rFonts w:eastAsia="Calibri"/>
                <w:lang w:val="es-ES"/>
              </w:rPr>
              <w:t xml:space="preserve"> </w:t>
            </w:r>
            <w:r w:rsidR="00B20F1E">
              <w:rPr>
                <w:rFonts w:eastAsia="Calibri"/>
                <w:lang w:val="es-ES"/>
              </w:rPr>
              <w:t>o</w:t>
            </w:r>
            <w:r w:rsidR="00B20F1E" w:rsidRPr="000D2717">
              <w:rPr>
                <w:rFonts w:eastAsia="Calibri"/>
                <w:lang w:val="es-ES"/>
              </w:rPr>
              <w:t xml:space="preserve"> </w:t>
            </w:r>
            <w:r w:rsidR="00B20F1E">
              <w:rPr>
                <w:rFonts w:eastAsia="Calibri"/>
                <w:lang w:val="es-ES"/>
              </w:rPr>
              <w:t>suprimidas</w:t>
            </w:r>
            <w:r w:rsidR="00B20F1E" w:rsidRPr="000D2717">
              <w:rPr>
                <w:rFonts w:eastAsia="Calibri"/>
                <w:lang w:val="es-ES"/>
              </w:rPr>
              <w:t xml:space="preserve"> del Reglamento de Radiocomunicaciones.</w:t>
            </w:r>
          </w:p>
        </w:tc>
      </w:tr>
      <w:tr w:rsidR="00B20F1E" w:rsidRPr="00B707C8" w14:paraId="78D25C38" w14:textId="77777777" w:rsidTr="00DB48C6">
        <w:trPr>
          <w:jc w:val="center"/>
        </w:trPr>
        <w:tc>
          <w:tcPr>
            <w:tcW w:w="2978" w:type="dxa"/>
          </w:tcPr>
          <w:p w14:paraId="6E93C51F" w14:textId="77777777" w:rsidR="00B20F1E" w:rsidRPr="00462C9B" w:rsidRDefault="00B20F1E" w:rsidP="00446316">
            <w:pPr>
              <w:pStyle w:val="Tabletext"/>
              <w:rPr>
                <w:rFonts w:eastAsia="Calibri"/>
                <w:lang w:val="es-ES"/>
              </w:rPr>
            </w:pPr>
            <w:r w:rsidRPr="00462C9B">
              <w:rPr>
                <w:rFonts w:eastAsia="Calibri"/>
                <w:lang w:val="es-ES"/>
              </w:rPr>
              <w:t>Punto 8</w:t>
            </w:r>
          </w:p>
          <w:p w14:paraId="35FE3B43" w14:textId="57D082C8" w:rsidR="00B20F1E" w:rsidRPr="000D2717" w:rsidRDefault="00B20F1E" w:rsidP="00446316">
            <w:pPr>
              <w:pStyle w:val="Tabletext"/>
              <w:rPr>
                <w:rFonts w:eastAsia="Calibri"/>
                <w:lang w:val="es-ES"/>
              </w:rPr>
            </w:pPr>
            <w:r w:rsidRPr="00462C9B">
              <w:rPr>
                <w:rFonts w:eastAsia="Calibri"/>
                <w:color w:val="000000"/>
                <w:lang w:val="es-ES"/>
              </w:rPr>
              <w:t>Examinar las peticiones de las administraciones de suprimir</w:t>
            </w:r>
            <w:r w:rsidRPr="00940C35">
              <w:rPr>
                <w:rFonts w:eastAsia="Calibri"/>
                <w:color w:val="000000"/>
                <w:lang w:val="es-ES"/>
              </w:rPr>
              <w:t xml:space="preserve"> </w:t>
            </w:r>
            <w:r>
              <w:rPr>
                <w:rFonts w:eastAsia="Calibri"/>
                <w:color w:val="000000"/>
                <w:lang w:val="es-ES"/>
              </w:rPr>
              <w:t>los números de</w:t>
            </w:r>
            <w:r w:rsidRPr="00940C35">
              <w:rPr>
                <w:rFonts w:eastAsia="Calibri"/>
                <w:color w:val="000000"/>
                <w:lang w:val="es-ES"/>
              </w:rPr>
              <w:t xml:space="preserve"> sus países</w:t>
            </w:r>
            <w:r>
              <w:rPr>
                <w:rFonts w:eastAsia="Calibri"/>
                <w:color w:val="000000"/>
                <w:lang w:val="es-ES"/>
              </w:rPr>
              <w:t>,</w:t>
            </w:r>
            <w:r w:rsidRPr="00940C35">
              <w:rPr>
                <w:rFonts w:eastAsia="Calibri"/>
                <w:color w:val="000000"/>
                <w:lang w:val="es-ES"/>
              </w:rPr>
              <w:t xml:space="preserve"> o de que se suprima el nombre de sus países de </w:t>
            </w:r>
            <w:r>
              <w:rPr>
                <w:rFonts w:eastAsia="Calibri"/>
                <w:color w:val="000000"/>
                <w:lang w:val="es-ES"/>
              </w:rPr>
              <w:t>los números</w:t>
            </w:r>
            <w:r w:rsidRPr="00940C35">
              <w:rPr>
                <w:rFonts w:eastAsia="Calibri"/>
                <w:color w:val="000000"/>
                <w:lang w:val="es-ES"/>
              </w:rPr>
              <w:t xml:space="preserve">, cuando ya no sea necesario, </w:t>
            </w:r>
            <w:r>
              <w:rPr>
                <w:rFonts w:eastAsia="Calibri"/>
                <w:color w:val="000000"/>
                <w:lang w:val="es-ES"/>
              </w:rPr>
              <w:t>habida</w:t>
            </w:r>
            <w:r w:rsidRPr="00940C35">
              <w:rPr>
                <w:rFonts w:eastAsia="Calibri"/>
                <w:color w:val="000000"/>
                <w:lang w:val="es-ES"/>
              </w:rPr>
              <w:t xml:space="preserve"> cuenta </w:t>
            </w:r>
            <w:r>
              <w:rPr>
                <w:rFonts w:eastAsia="Calibri"/>
                <w:color w:val="000000"/>
                <w:lang w:val="es-ES"/>
              </w:rPr>
              <w:t xml:space="preserve">de </w:t>
            </w:r>
            <w:r w:rsidRPr="00940C35">
              <w:rPr>
                <w:rFonts w:eastAsia="Calibri"/>
                <w:color w:val="000000"/>
                <w:lang w:val="es-ES"/>
              </w:rPr>
              <w:t xml:space="preserve">la Resolución </w:t>
            </w:r>
            <w:r w:rsidRPr="00F3631D">
              <w:rPr>
                <w:rFonts w:eastAsia="Calibri"/>
                <w:bCs/>
                <w:color w:val="000000"/>
                <w:lang w:val="es-ES"/>
              </w:rPr>
              <w:t>26</w:t>
            </w:r>
            <w:r w:rsidRPr="00940C35">
              <w:rPr>
                <w:rFonts w:eastAsia="Calibri"/>
                <w:color w:val="000000"/>
                <w:lang w:val="es-ES"/>
              </w:rPr>
              <w:t xml:space="preserve"> (Rev.CMR</w:t>
            </w:r>
            <w:r w:rsidR="00833ED5">
              <w:rPr>
                <w:rFonts w:eastAsia="Calibri"/>
                <w:color w:val="000000"/>
                <w:lang w:val="es-ES"/>
              </w:rPr>
              <w:noBreakHyphen/>
            </w:r>
            <w:r>
              <w:rPr>
                <w:rFonts w:eastAsia="Calibri"/>
                <w:color w:val="000000"/>
                <w:lang w:val="es-ES"/>
              </w:rPr>
              <w:t>CMR19</w:t>
            </w:r>
            <w:r w:rsidRPr="00940C35">
              <w:rPr>
                <w:rFonts w:eastAsia="Calibri"/>
                <w:color w:val="000000"/>
                <w:lang w:val="es-ES"/>
              </w:rPr>
              <w:t>), y adoptar las medidas oportunas al respecto</w:t>
            </w:r>
            <w:r>
              <w:rPr>
                <w:rFonts w:eastAsia="Calibri"/>
                <w:color w:val="000000"/>
                <w:lang w:val="es-ES"/>
              </w:rPr>
              <w:t>.</w:t>
            </w:r>
          </w:p>
        </w:tc>
        <w:tc>
          <w:tcPr>
            <w:tcW w:w="6287" w:type="dxa"/>
          </w:tcPr>
          <w:p w14:paraId="75343CB3" w14:textId="77777777" w:rsidR="00B20F1E" w:rsidRPr="000D2717" w:rsidRDefault="00B20F1E" w:rsidP="00446316">
            <w:pPr>
              <w:pStyle w:val="Tabletext"/>
              <w:rPr>
                <w:rFonts w:eastAsia="Calibri"/>
                <w:u w:val="single"/>
                <w:lang w:val="es-ES"/>
              </w:rPr>
            </w:pPr>
            <w:r>
              <w:rPr>
                <w:rFonts w:eastAsia="Calibri"/>
                <w:i/>
                <w:u w:val="single"/>
                <w:lang w:val="es-ES"/>
              </w:rPr>
              <w:t>Parte 1</w:t>
            </w:r>
            <w:r w:rsidRPr="000D2717">
              <w:rPr>
                <w:rFonts w:eastAsia="Calibri"/>
                <w:i/>
                <w:u w:val="single"/>
                <w:lang w:val="es-ES"/>
              </w:rPr>
              <w:t xml:space="preserve">: </w:t>
            </w:r>
            <w:r w:rsidRPr="003E2089">
              <w:rPr>
                <w:rFonts w:eastAsia="Calibri"/>
                <w:i/>
                <w:color w:val="000000" w:themeColor="text1"/>
                <w:u w:val="single"/>
                <w:lang w:val="es-ES"/>
              </w:rPr>
              <w:t xml:space="preserve">Posición </w:t>
            </w:r>
            <w:r w:rsidRPr="000D2717">
              <w:rPr>
                <w:rFonts w:eastAsia="Calibri"/>
                <w:i/>
                <w:u w:val="single"/>
                <w:lang w:val="es-ES"/>
              </w:rPr>
              <w:t>común:</w:t>
            </w:r>
          </w:p>
          <w:p w14:paraId="7009842E" w14:textId="75362525" w:rsidR="00B20F1E" w:rsidRPr="000D2717" w:rsidRDefault="00446316" w:rsidP="00446316">
            <w:pPr>
              <w:pStyle w:val="Tabletext"/>
              <w:ind w:left="284" w:hanging="284"/>
              <w:rPr>
                <w:rFonts w:eastAsia="Calibri"/>
                <w:lang w:val="es-ES"/>
              </w:rPr>
            </w:pPr>
            <w:r>
              <w:rPr>
                <w:rFonts w:eastAsia="Calibri"/>
                <w:lang w:val="es-ES"/>
              </w:rPr>
              <w:t>1</w:t>
            </w:r>
            <w:r>
              <w:rPr>
                <w:rFonts w:eastAsia="Calibri"/>
                <w:lang w:val="es-ES"/>
              </w:rPr>
              <w:tab/>
            </w:r>
            <w:r w:rsidR="00B20F1E" w:rsidRPr="00446316">
              <w:rPr>
                <w:rFonts w:eastAsia="Calibri"/>
                <w:b/>
                <w:bCs/>
                <w:lang w:val="es-ES"/>
              </w:rPr>
              <w:t>Alentar</w:t>
            </w:r>
            <w:r w:rsidR="00B20F1E" w:rsidRPr="000D2717">
              <w:rPr>
                <w:rFonts w:eastAsia="Calibri"/>
                <w:lang w:val="es-ES"/>
              </w:rPr>
              <w:t xml:space="preserve"> </w:t>
            </w:r>
            <w:r w:rsidR="00B20F1E" w:rsidRPr="003E2089">
              <w:rPr>
                <w:rFonts w:eastAsia="Calibri"/>
                <w:bCs/>
                <w:lang w:val="es-ES"/>
              </w:rPr>
              <w:t>a</w:t>
            </w:r>
            <w:r w:rsidR="00B20F1E" w:rsidRPr="000D2717">
              <w:rPr>
                <w:rFonts w:eastAsia="Calibri"/>
                <w:lang w:val="es-ES"/>
              </w:rPr>
              <w:t xml:space="preserve"> las Administraciones a que revisen </w:t>
            </w:r>
            <w:r w:rsidR="00B20F1E">
              <w:rPr>
                <w:rFonts w:eastAsia="Calibri"/>
                <w:lang w:val="es-ES"/>
              </w:rPr>
              <w:t>los números</w:t>
            </w:r>
            <w:r w:rsidR="00B20F1E" w:rsidRPr="000D2717">
              <w:rPr>
                <w:rFonts w:eastAsia="Calibri"/>
                <w:lang w:val="es-ES"/>
              </w:rPr>
              <w:t xml:space="preserve"> y propongan la supresión </w:t>
            </w:r>
            <w:r w:rsidR="00B20F1E">
              <w:rPr>
                <w:rFonts w:eastAsia="Calibri"/>
                <w:lang w:val="es-ES"/>
              </w:rPr>
              <w:t>del nombre</w:t>
            </w:r>
            <w:r w:rsidR="00B20F1E" w:rsidRPr="000D2717">
              <w:rPr>
                <w:rFonts w:eastAsia="Calibri"/>
                <w:lang w:val="es-ES"/>
              </w:rPr>
              <w:t xml:space="preserve"> de sus países o </w:t>
            </w:r>
            <w:r w:rsidR="00B20F1E">
              <w:rPr>
                <w:rFonts w:eastAsia="Calibri"/>
                <w:lang w:val="es-ES"/>
              </w:rPr>
              <w:t>de los números</w:t>
            </w:r>
            <w:r w:rsidR="00B20F1E" w:rsidRPr="000D2717">
              <w:rPr>
                <w:rFonts w:eastAsia="Calibri"/>
                <w:lang w:val="es-ES"/>
              </w:rPr>
              <w:t xml:space="preserve"> de países si ya no son necesari</w:t>
            </w:r>
            <w:r w:rsidR="00B20F1E">
              <w:rPr>
                <w:rFonts w:eastAsia="Calibri"/>
                <w:lang w:val="es-ES"/>
              </w:rPr>
              <w:t>o</w:t>
            </w:r>
            <w:r w:rsidR="00B20F1E" w:rsidRPr="000D2717">
              <w:rPr>
                <w:rFonts w:eastAsia="Calibri"/>
                <w:lang w:val="es-ES"/>
              </w:rPr>
              <w:t xml:space="preserve">s, o la adición de su país a </w:t>
            </w:r>
            <w:r w:rsidR="00B20F1E">
              <w:rPr>
                <w:rFonts w:eastAsia="Calibri"/>
                <w:lang w:val="es-ES"/>
              </w:rPr>
              <w:t>los números</w:t>
            </w:r>
            <w:r w:rsidR="00B20F1E" w:rsidRPr="000D2717">
              <w:rPr>
                <w:rFonts w:eastAsia="Calibri"/>
                <w:lang w:val="es-ES"/>
              </w:rPr>
              <w:t xml:space="preserve"> </w:t>
            </w:r>
            <w:r w:rsidR="00B20F1E">
              <w:rPr>
                <w:rFonts w:eastAsia="Calibri"/>
                <w:lang w:val="es-ES"/>
              </w:rPr>
              <w:t>a los efectos de mayor</w:t>
            </w:r>
            <w:r w:rsidR="00B20F1E" w:rsidRPr="000D2717">
              <w:rPr>
                <w:rFonts w:eastAsia="Calibri"/>
                <w:lang w:val="es-ES"/>
              </w:rPr>
              <w:t xml:space="preserve"> armonización, de conformidad </w:t>
            </w:r>
            <w:r w:rsidR="00B20F1E" w:rsidRPr="000D2717">
              <w:rPr>
                <w:rFonts w:eastAsia="Calibri"/>
                <w:color w:val="000000"/>
                <w:lang w:val="es-ES"/>
              </w:rPr>
              <w:t xml:space="preserve">con el </w:t>
            </w:r>
            <w:r w:rsidR="00B20F1E" w:rsidRPr="003E2089">
              <w:rPr>
                <w:rFonts w:eastAsia="Calibri"/>
                <w:i/>
                <w:iCs/>
                <w:color w:val="000000"/>
                <w:lang w:val="es-ES"/>
              </w:rPr>
              <w:t>resuelve además</w:t>
            </w:r>
            <w:r w:rsidR="00B20F1E" w:rsidRPr="000D2717">
              <w:rPr>
                <w:rFonts w:eastAsia="Calibri"/>
                <w:color w:val="000000"/>
                <w:lang w:val="es-ES"/>
              </w:rPr>
              <w:t xml:space="preserve"> </w:t>
            </w:r>
            <w:r w:rsidR="00B20F1E" w:rsidRPr="003E2089">
              <w:rPr>
                <w:rFonts w:eastAsia="Calibri"/>
                <w:i/>
                <w:iCs/>
                <w:color w:val="000000"/>
                <w:lang w:val="es-ES"/>
              </w:rPr>
              <w:t>1</w:t>
            </w:r>
            <w:r w:rsidR="00B20F1E" w:rsidRPr="000D2717">
              <w:rPr>
                <w:rFonts w:eastAsia="Calibri"/>
                <w:color w:val="000000"/>
                <w:lang w:val="es-ES"/>
              </w:rPr>
              <w:t xml:space="preserve"> y el Anexo 1 de la Resolución </w:t>
            </w:r>
            <w:r w:rsidR="00B20F1E" w:rsidRPr="00833ED5">
              <w:rPr>
                <w:rFonts w:eastAsia="Calibri"/>
                <w:b/>
                <w:bCs/>
                <w:color w:val="000000"/>
                <w:lang w:val="es-ES"/>
              </w:rPr>
              <w:t>26 (Rev.CMR19)</w:t>
            </w:r>
            <w:r w:rsidR="00B20F1E" w:rsidRPr="000D2717">
              <w:rPr>
                <w:rFonts w:eastAsia="Calibri"/>
                <w:lang w:val="es-ES"/>
              </w:rPr>
              <w:t>.</w:t>
            </w:r>
          </w:p>
          <w:p w14:paraId="3820BAF1" w14:textId="2438E247" w:rsidR="00B20F1E" w:rsidRPr="000D2717" w:rsidRDefault="00446316" w:rsidP="00446316">
            <w:pPr>
              <w:pStyle w:val="Tabletext"/>
              <w:ind w:left="284" w:hanging="284"/>
              <w:rPr>
                <w:rFonts w:eastAsia="Calibri"/>
                <w:lang w:val="es-ES"/>
              </w:rPr>
            </w:pPr>
            <w:r>
              <w:rPr>
                <w:rFonts w:eastAsia="Calibri"/>
                <w:lang w:val="es-ES"/>
              </w:rPr>
              <w:t>2</w:t>
            </w:r>
            <w:r>
              <w:rPr>
                <w:rFonts w:eastAsia="Calibri"/>
                <w:lang w:val="es-ES"/>
              </w:rPr>
              <w:tab/>
            </w:r>
            <w:r w:rsidR="00B20F1E" w:rsidRPr="00833ED5">
              <w:rPr>
                <w:rFonts w:eastAsia="Calibri"/>
                <w:b/>
                <w:bCs/>
                <w:lang w:val="es-ES"/>
              </w:rPr>
              <w:t>Invitar</w:t>
            </w:r>
            <w:r w:rsidR="00B20F1E" w:rsidRPr="000D2717">
              <w:rPr>
                <w:rFonts w:eastAsia="Calibri"/>
                <w:lang w:val="es-ES"/>
              </w:rPr>
              <w:t xml:space="preserve"> </w:t>
            </w:r>
            <w:r w:rsidR="00B20F1E" w:rsidRPr="00CD2B2B">
              <w:rPr>
                <w:rFonts w:eastAsia="Calibri"/>
                <w:bCs/>
                <w:lang w:val="es-ES"/>
              </w:rPr>
              <w:t>a</w:t>
            </w:r>
            <w:r w:rsidR="00B20F1E" w:rsidRPr="000D2717">
              <w:rPr>
                <w:rFonts w:eastAsia="Calibri"/>
                <w:lang w:val="es-ES"/>
              </w:rPr>
              <w:t xml:space="preserve"> las Administraciones de </w:t>
            </w:r>
            <w:r w:rsidR="00B20F1E">
              <w:rPr>
                <w:rFonts w:eastAsia="Calibri"/>
                <w:lang w:val="es-ES"/>
              </w:rPr>
              <w:t>la UAT</w:t>
            </w:r>
            <w:r w:rsidR="00B20F1E" w:rsidRPr="000D2717">
              <w:rPr>
                <w:rFonts w:eastAsia="Calibri"/>
                <w:lang w:val="es-ES"/>
              </w:rPr>
              <w:t xml:space="preserve"> a revisar el </w:t>
            </w:r>
            <w:r w:rsidR="00B20F1E" w:rsidRPr="00833ED5">
              <w:rPr>
                <w:rFonts w:eastAsia="Calibri"/>
                <w:b/>
                <w:bCs/>
                <w:lang w:val="es-ES"/>
              </w:rPr>
              <w:t>Anexo B</w:t>
            </w:r>
            <w:r w:rsidR="00B20F1E" w:rsidRPr="000D2717">
              <w:rPr>
                <w:rFonts w:eastAsia="Calibri"/>
                <w:lang w:val="es-ES"/>
              </w:rPr>
              <w:t xml:space="preserve"> del Plan de atribución del espectro </w:t>
            </w:r>
            <w:r w:rsidR="00B20F1E">
              <w:rPr>
                <w:rFonts w:eastAsia="Calibri"/>
                <w:lang w:val="es-ES"/>
              </w:rPr>
              <w:t>en África</w:t>
            </w:r>
            <w:r w:rsidR="00B20F1E" w:rsidRPr="000D2717">
              <w:rPr>
                <w:rFonts w:eastAsia="Calibri"/>
                <w:lang w:val="es-ES"/>
              </w:rPr>
              <w:t xml:space="preserve"> (</w:t>
            </w:r>
            <w:proofErr w:type="spellStart"/>
            <w:r w:rsidR="00B20F1E" w:rsidRPr="00833ED5">
              <w:rPr>
                <w:rFonts w:eastAsia="Calibri"/>
                <w:b/>
                <w:bCs/>
                <w:lang w:val="es-ES"/>
              </w:rPr>
              <w:t>AfriSAP</w:t>
            </w:r>
            <w:proofErr w:type="spellEnd"/>
            <w:r w:rsidR="00B20F1E" w:rsidRPr="000D2717">
              <w:rPr>
                <w:rFonts w:eastAsia="Calibri"/>
                <w:lang w:val="es-ES"/>
              </w:rPr>
              <w:t xml:space="preserve">) en el que se indican </w:t>
            </w:r>
            <w:r w:rsidR="00B20F1E">
              <w:rPr>
                <w:rFonts w:eastAsia="Calibri"/>
                <w:lang w:val="es-ES"/>
              </w:rPr>
              <w:t>los números</w:t>
            </w:r>
            <w:r w:rsidR="00B20F1E" w:rsidRPr="000D2717">
              <w:rPr>
                <w:rFonts w:eastAsia="Calibri"/>
                <w:lang w:val="es-ES"/>
              </w:rPr>
              <w:t xml:space="preserve"> del RR que contienen referencias explícitas </w:t>
            </w:r>
            <w:r w:rsidR="00B20F1E">
              <w:rPr>
                <w:rFonts w:eastAsia="Calibri"/>
                <w:lang w:val="es-ES"/>
              </w:rPr>
              <w:t>al nombre</w:t>
            </w:r>
            <w:r w:rsidR="00B20F1E" w:rsidRPr="000D2717">
              <w:rPr>
                <w:rFonts w:eastAsia="Calibri"/>
                <w:lang w:val="es-ES"/>
              </w:rPr>
              <w:t xml:space="preserve"> de países </w:t>
            </w:r>
            <w:r w:rsidR="00B20F1E">
              <w:rPr>
                <w:rFonts w:eastAsia="Calibri"/>
                <w:lang w:val="es-ES"/>
              </w:rPr>
              <w:t>de África,</w:t>
            </w:r>
            <w:r w:rsidR="00B20F1E" w:rsidRPr="000D2717">
              <w:rPr>
                <w:rFonts w:eastAsia="Calibri"/>
                <w:lang w:val="es-ES"/>
              </w:rPr>
              <w:t xml:space="preserve"> con el fin de </w:t>
            </w:r>
            <w:r w:rsidR="00B20F1E">
              <w:rPr>
                <w:rFonts w:eastAsia="Calibri"/>
                <w:lang w:val="es-ES"/>
              </w:rPr>
              <w:t>determinar</w:t>
            </w:r>
            <w:r w:rsidR="00B20F1E" w:rsidRPr="000D2717">
              <w:rPr>
                <w:rFonts w:eastAsia="Calibri"/>
                <w:lang w:val="es-ES"/>
              </w:rPr>
              <w:t xml:space="preserve"> si sigue siendo necesario incluir el nombre de su país en </w:t>
            </w:r>
            <w:r w:rsidR="00B20F1E">
              <w:rPr>
                <w:rFonts w:eastAsia="Calibri"/>
                <w:lang w:val="es-ES"/>
              </w:rPr>
              <w:t>dichos números</w:t>
            </w:r>
            <w:r w:rsidR="00B20F1E" w:rsidRPr="000D2717">
              <w:rPr>
                <w:rFonts w:eastAsia="Calibri"/>
                <w:lang w:val="es-ES"/>
              </w:rPr>
              <w:t>.</w:t>
            </w:r>
          </w:p>
          <w:p w14:paraId="5AB08E7C" w14:textId="7B82C1BF" w:rsidR="00B20F1E" w:rsidRPr="000D2717" w:rsidRDefault="00446316" w:rsidP="00446316">
            <w:pPr>
              <w:pStyle w:val="Tabletext"/>
              <w:ind w:left="284" w:hanging="284"/>
              <w:rPr>
                <w:rFonts w:eastAsia="Calibri"/>
                <w:i/>
                <w:u w:val="single"/>
                <w:lang w:val="es-ES"/>
              </w:rPr>
            </w:pPr>
            <w:r>
              <w:rPr>
                <w:rFonts w:eastAsia="Calibri"/>
                <w:lang w:val="es-ES"/>
              </w:rPr>
              <w:t>3</w:t>
            </w:r>
            <w:r>
              <w:rPr>
                <w:rFonts w:eastAsia="Calibri"/>
                <w:lang w:val="es-ES"/>
              </w:rPr>
              <w:tab/>
            </w:r>
            <w:r w:rsidR="00B20F1E" w:rsidRPr="00833ED5">
              <w:rPr>
                <w:rFonts w:eastAsia="Calibri"/>
                <w:b/>
                <w:bCs/>
                <w:lang w:val="es-ES"/>
              </w:rPr>
              <w:t>Examinar</w:t>
            </w:r>
            <w:r w:rsidR="00B20F1E" w:rsidRPr="000D2717">
              <w:rPr>
                <w:rFonts w:eastAsia="Calibri"/>
                <w:lang w:val="es-ES"/>
              </w:rPr>
              <w:t xml:space="preserve"> las propuestas</w:t>
            </w:r>
            <w:r w:rsidR="00B20F1E">
              <w:rPr>
                <w:rFonts w:eastAsia="Calibri"/>
                <w:lang w:val="es-ES"/>
              </w:rPr>
              <w:t xml:space="preserve"> y </w:t>
            </w:r>
            <w:r w:rsidR="00B20F1E" w:rsidRPr="000D2717">
              <w:rPr>
                <w:rFonts w:eastAsia="Calibri"/>
                <w:lang w:val="es-ES"/>
              </w:rPr>
              <w:t xml:space="preserve">posiciones </w:t>
            </w:r>
            <w:r w:rsidR="00B20F1E">
              <w:rPr>
                <w:rFonts w:eastAsia="Calibri"/>
                <w:lang w:val="es-ES"/>
              </w:rPr>
              <w:t>previas</w:t>
            </w:r>
            <w:r w:rsidR="00B20F1E" w:rsidRPr="000D2717">
              <w:rPr>
                <w:rFonts w:eastAsia="Calibri"/>
                <w:lang w:val="es-ES"/>
              </w:rPr>
              <w:t xml:space="preserve"> de otras administraciones o grupos regionales y tomar las medidas oportunas.</w:t>
            </w:r>
          </w:p>
          <w:p w14:paraId="42570A35" w14:textId="77777777" w:rsidR="00B20F1E" w:rsidRPr="000D2717" w:rsidRDefault="00B20F1E" w:rsidP="00446316">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202F60F5" w14:textId="77777777" w:rsidR="00B20F1E" w:rsidRPr="00446316" w:rsidRDefault="00B20F1E" w:rsidP="00446316">
            <w:pPr>
              <w:pStyle w:val="Tabletext"/>
              <w:rPr>
                <w:rFonts w:eastAsia="Calibri"/>
                <w:b/>
                <w:bCs/>
                <w:i/>
                <w:lang w:val="es-ES"/>
              </w:rPr>
            </w:pPr>
            <w:r w:rsidRPr="00446316">
              <w:rPr>
                <w:rFonts w:eastAsia="Calibri"/>
                <w:b/>
                <w:bCs/>
                <w:i/>
                <w:lang w:val="es-ES"/>
              </w:rPr>
              <w:t>Solicitar a las administraciones de la UAT que:</w:t>
            </w:r>
          </w:p>
          <w:p w14:paraId="54A75857" w14:textId="26E34B89" w:rsidR="00B20F1E" w:rsidRPr="000D2717" w:rsidRDefault="00446316" w:rsidP="00446316">
            <w:pPr>
              <w:pStyle w:val="Tabletext"/>
              <w:ind w:left="284" w:hanging="284"/>
              <w:rPr>
                <w:rFonts w:eastAsia="Calibri"/>
                <w:lang w:val="es-ES"/>
              </w:rPr>
            </w:pPr>
            <w:r>
              <w:rPr>
                <w:rFonts w:eastAsia="Calibri"/>
                <w:lang w:val="es-ES"/>
              </w:rPr>
              <w:t>4</w:t>
            </w:r>
            <w:r>
              <w:rPr>
                <w:rFonts w:eastAsia="Calibri"/>
                <w:lang w:val="es-ES"/>
              </w:rPr>
              <w:tab/>
            </w:r>
            <w:r w:rsidR="00B20F1E" w:rsidRPr="00446316">
              <w:rPr>
                <w:rFonts w:eastAsia="Calibri"/>
                <w:b/>
                <w:bCs/>
                <w:lang w:val="es-ES"/>
              </w:rPr>
              <w:t>Examinen</w:t>
            </w:r>
            <w:r w:rsidR="00B20F1E" w:rsidRPr="000D2717">
              <w:rPr>
                <w:rFonts w:eastAsia="Calibri"/>
                <w:lang w:val="es-ES"/>
              </w:rPr>
              <w:t xml:space="preserve"> </w:t>
            </w:r>
            <w:r w:rsidR="00B20F1E">
              <w:rPr>
                <w:rFonts w:eastAsia="Calibri"/>
                <w:lang w:val="es-ES"/>
              </w:rPr>
              <w:t>los números</w:t>
            </w:r>
            <w:r w:rsidR="00B20F1E" w:rsidRPr="000D2717">
              <w:rPr>
                <w:rFonts w:eastAsia="Calibri"/>
                <w:lang w:val="es-ES"/>
              </w:rPr>
              <w:t xml:space="preserve"> pertinentes </w:t>
            </w:r>
            <w:r w:rsidR="00B20F1E">
              <w:rPr>
                <w:rFonts w:eastAsia="Calibri"/>
                <w:lang w:val="es-ES"/>
              </w:rPr>
              <w:t>d</w:t>
            </w:r>
            <w:r w:rsidR="00B20F1E" w:rsidRPr="000D2717">
              <w:rPr>
                <w:rFonts w:eastAsia="Calibri"/>
                <w:lang w:val="es-ES"/>
              </w:rPr>
              <w:t>el RR con suficiente antelación e identifi</w:t>
            </w:r>
            <w:r w:rsidR="00B20F1E">
              <w:rPr>
                <w:rFonts w:eastAsia="Calibri"/>
                <w:lang w:val="es-ES"/>
              </w:rPr>
              <w:t xml:space="preserve">quen aquellos susceptibles de </w:t>
            </w:r>
            <w:r w:rsidR="00B20F1E" w:rsidRPr="000D2717">
              <w:rPr>
                <w:rFonts w:eastAsia="Calibri"/>
                <w:lang w:val="es-ES"/>
              </w:rPr>
              <w:t xml:space="preserve">requerir acciones de los Estados </w:t>
            </w:r>
            <w:r w:rsidR="00B20F1E">
              <w:rPr>
                <w:rFonts w:eastAsia="Calibri"/>
                <w:lang w:val="es-ES"/>
              </w:rPr>
              <w:t>M</w:t>
            </w:r>
            <w:r w:rsidR="00B20F1E" w:rsidRPr="000D2717">
              <w:rPr>
                <w:rFonts w:eastAsia="Calibri"/>
                <w:lang w:val="es-ES"/>
              </w:rPr>
              <w:t xml:space="preserve">iembros </w:t>
            </w:r>
            <w:r w:rsidR="00B20F1E">
              <w:rPr>
                <w:rFonts w:eastAsia="Calibri"/>
                <w:lang w:val="es-ES"/>
              </w:rPr>
              <w:t>afectados por</w:t>
            </w:r>
            <w:r w:rsidR="00B20F1E" w:rsidRPr="000D2717">
              <w:rPr>
                <w:rFonts w:eastAsia="Calibri"/>
                <w:lang w:val="es-ES"/>
              </w:rPr>
              <w:t xml:space="preserve"> este punto del orden del día. </w:t>
            </w:r>
            <w:r w:rsidR="00B20F1E">
              <w:rPr>
                <w:rFonts w:eastAsia="Calibri"/>
                <w:lang w:val="es-ES"/>
              </w:rPr>
              <w:t>Dichas</w:t>
            </w:r>
            <w:r w:rsidR="00B20F1E" w:rsidRPr="000D2717">
              <w:rPr>
                <w:rFonts w:eastAsia="Calibri"/>
                <w:lang w:val="es-ES"/>
              </w:rPr>
              <w:t xml:space="preserve"> acciones </w:t>
            </w:r>
            <w:r w:rsidR="00B20F1E">
              <w:rPr>
                <w:rFonts w:eastAsia="Calibri"/>
                <w:lang w:val="es-ES"/>
              </w:rPr>
              <w:t>pueden</w:t>
            </w:r>
            <w:r w:rsidR="00B20F1E" w:rsidRPr="000D2717">
              <w:rPr>
                <w:rFonts w:eastAsia="Calibri"/>
                <w:lang w:val="es-ES"/>
              </w:rPr>
              <w:t xml:space="preserve"> consistir en la supresión </w:t>
            </w:r>
            <w:r w:rsidR="00B20F1E">
              <w:rPr>
                <w:rFonts w:eastAsia="Calibri"/>
                <w:lang w:val="es-ES"/>
              </w:rPr>
              <w:t>d</w:t>
            </w:r>
            <w:r w:rsidR="00B20F1E" w:rsidRPr="000D2717">
              <w:rPr>
                <w:rFonts w:eastAsia="Calibri"/>
                <w:lang w:val="es-ES"/>
              </w:rPr>
              <w:t xml:space="preserve">el nombre </w:t>
            </w:r>
            <w:r w:rsidR="00B20F1E">
              <w:rPr>
                <w:rFonts w:eastAsia="Calibri"/>
                <w:lang w:val="es-ES"/>
              </w:rPr>
              <w:t>de países</w:t>
            </w:r>
            <w:r w:rsidR="00B20F1E" w:rsidRPr="000D2717">
              <w:rPr>
                <w:rFonts w:eastAsia="Calibri"/>
                <w:lang w:val="es-ES"/>
              </w:rPr>
              <w:t xml:space="preserve"> </w:t>
            </w:r>
            <w:r w:rsidR="00B20F1E">
              <w:rPr>
                <w:rFonts w:eastAsia="Calibri"/>
                <w:lang w:val="es-ES"/>
              </w:rPr>
              <w:t xml:space="preserve">de los números, o </w:t>
            </w:r>
            <w:r w:rsidR="00B20F1E">
              <w:rPr>
                <w:rFonts w:eastAsia="Calibri"/>
                <w:lang w:val="es-ES"/>
              </w:rPr>
              <w:lastRenderedPageBreak/>
              <w:t>su adición a los mismos,</w:t>
            </w:r>
            <w:r w:rsidR="00B20F1E" w:rsidRPr="000D2717">
              <w:rPr>
                <w:rFonts w:eastAsia="Calibri"/>
                <w:lang w:val="es-ES"/>
              </w:rPr>
              <w:t xml:space="preserve"> de conformidad con el </w:t>
            </w:r>
            <w:r w:rsidR="00B20F1E" w:rsidRPr="0085477F">
              <w:rPr>
                <w:rFonts w:eastAsia="Calibri"/>
                <w:i/>
                <w:iCs/>
                <w:color w:val="000000"/>
                <w:lang w:val="es-ES"/>
              </w:rPr>
              <w:t>resuelve 1</w:t>
            </w:r>
            <w:r w:rsidR="00B20F1E" w:rsidRPr="000D2717">
              <w:rPr>
                <w:rFonts w:eastAsia="Calibri"/>
                <w:color w:val="000000"/>
                <w:lang w:val="es-ES"/>
              </w:rPr>
              <w:t xml:space="preserve"> y el Anexo 1 de la Resolución </w:t>
            </w:r>
            <w:r w:rsidR="00B20F1E" w:rsidRPr="00446316">
              <w:rPr>
                <w:rFonts w:eastAsia="Calibri"/>
                <w:b/>
                <w:bCs/>
                <w:color w:val="000000"/>
                <w:lang w:val="es-ES"/>
              </w:rPr>
              <w:t>26 (Rev.CMR19)</w:t>
            </w:r>
            <w:r w:rsidR="00B20F1E" w:rsidRPr="000D2717">
              <w:rPr>
                <w:rFonts w:eastAsia="Calibri"/>
                <w:lang w:val="es-ES"/>
              </w:rPr>
              <w:t>.</w:t>
            </w:r>
          </w:p>
          <w:p w14:paraId="32F4EA6E" w14:textId="35FDF82A" w:rsidR="00B20F1E" w:rsidRPr="000D2717" w:rsidRDefault="00446316" w:rsidP="00446316">
            <w:pPr>
              <w:pStyle w:val="Tabletext"/>
              <w:ind w:left="284" w:hanging="284"/>
              <w:rPr>
                <w:rFonts w:eastAsia="Calibri"/>
                <w:i/>
                <w:color w:val="000000"/>
                <w:lang w:val="es-ES"/>
              </w:rPr>
            </w:pPr>
            <w:r>
              <w:rPr>
                <w:rFonts w:eastAsia="Calibri"/>
                <w:lang w:val="es-ES"/>
              </w:rPr>
              <w:t>5</w:t>
            </w:r>
            <w:r>
              <w:rPr>
                <w:rFonts w:eastAsia="Calibri"/>
                <w:lang w:val="es-ES"/>
              </w:rPr>
              <w:tab/>
            </w:r>
            <w:r w:rsidR="00B20F1E" w:rsidRPr="00446316">
              <w:rPr>
                <w:rFonts w:eastAsia="Calibri"/>
                <w:b/>
                <w:bCs/>
                <w:lang w:val="es-ES"/>
              </w:rPr>
              <w:t>Den</w:t>
            </w:r>
            <w:r w:rsidR="00B20F1E" w:rsidRPr="000D2717">
              <w:rPr>
                <w:rFonts w:eastAsia="Calibri"/>
                <w:lang w:val="es-ES"/>
              </w:rPr>
              <w:t xml:space="preserve"> a </w:t>
            </w:r>
            <w:r w:rsidR="00B20F1E" w:rsidRPr="00F047FB">
              <w:rPr>
                <w:rFonts w:eastAsia="Calibri"/>
                <w:lang w:val="es-ES"/>
              </w:rPr>
              <w:t>conocer</w:t>
            </w:r>
            <w:r w:rsidR="00B20F1E" w:rsidRPr="000D2717">
              <w:rPr>
                <w:rFonts w:eastAsia="Calibri"/>
                <w:lang w:val="es-ES"/>
              </w:rPr>
              <w:t xml:space="preserve">, lo antes posible, sus propuestas en virtud del punto 8 del orden del día a otras administraciones que puedan verse afectadas, con </w:t>
            </w:r>
            <w:r w:rsidR="00B20F1E">
              <w:rPr>
                <w:rFonts w:eastAsia="Calibri"/>
                <w:lang w:val="es-ES"/>
              </w:rPr>
              <w:t>miras</w:t>
            </w:r>
            <w:r w:rsidR="00B20F1E" w:rsidRPr="000D2717">
              <w:rPr>
                <w:rFonts w:eastAsia="Calibri"/>
                <w:lang w:val="es-ES"/>
              </w:rPr>
              <w:t xml:space="preserve"> a resolver posible</w:t>
            </w:r>
            <w:r w:rsidR="00B20F1E">
              <w:rPr>
                <w:rFonts w:eastAsia="Calibri"/>
                <w:lang w:val="es-ES"/>
              </w:rPr>
              <w:t>s</w:t>
            </w:r>
            <w:r w:rsidR="00B20F1E" w:rsidRPr="000D2717">
              <w:rPr>
                <w:rFonts w:eastAsia="Calibri"/>
                <w:lang w:val="es-ES"/>
              </w:rPr>
              <w:t xml:space="preserve"> dificultad</w:t>
            </w:r>
            <w:r w:rsidR="00B20F1E">
              <w:rPr>
                <w:rFonts w:eastAsia="Calibri"/>
                <w:lang w:val="es-ES"/>
              </w:rPr>
              <w:t xml:space="preserve">es al </w:t>
            </w:r>
            <w:r w:rsidR="00B20F1E" w:rsidRPr="000D2717">
              <w:rPr>
                <w:rFonts w:eastAsia="Calibri"/>
                <w:lang w:val="es-ES"/>
              </w:rPr>
              <w:t>buscar el acuerdo de otras administraciones en la CMR23.</w:t>
            </w:r>
          </w:p>
        </w:tc>
      </w:tr>
      <w:tr w:rsidR="00B20F1E" w:rsidRPr="00B707C8" w14:paraId="395A9630" w14:textId="77777777" w:rsidTr="00DB48C6">
        <w:trPr>
          <w:jc w:val="center"/>
        </w:trPr>
        <w:tc>
          <w:tcPr>
            <w:tcW w:w="2978" w:type="dxa"/>
          </w:tcPr>
          <w:p w14:paraId="3928BD84" w14:textId="77777777" w:rsidR="00B20F1E" w:rsidRPr="0085477F" w:rsidRDefault="00B20F1E" w:rsidP="00446316">
            <w:pPr>
              <w:pStyle w:val="Tabletext"/>
              <w:rPr>
                <w:rFonts w:eastAsia="Calibri"/>
                <w:lang w:val="es-ES"/>
              </w:rPr>
            </w:pPr>
            <w:r w:rsidRPr="0085477F">
              <w:rPr>
                <w:rFonts w:eastAsia="Calibri"/>
                <w:lang w:val="es-ES"/>
              </w:rPr>
              <w:lastRenderedPageBreak/>
              <w:t>Punto 9.2</w:t>
            </w:r>
          </w:p>
          <w:p w14:paraId="6AFB3D74" w14:textId="77777777" w:rsidR="00B20F1E" w:rsidRPr="0085477F" w:rsidRDefault="00B20F1E" w:rsidP="00446316">
            <w:pPr>
              <w:pStyle w:val="Tabletext"/>
              <w:rPr>
                <w:rFonts w:eastAsia="Calibri"/>
                <w:bCs/>
                <w:lang w:val="es-ES"/>
              </w:rPr>
            </w:pPr>
            <w:r w:rsidRPr="0085477F">
              <w:rPr>
                <w:rFonts w:eastAsia="Calibri"/>
                <w:bCs/>
                <w:lang w:val="es-ES"/>
              </w:rPr>
              <w:t>En relación con las dificultades o incoherencias observadas en la aplicación del Reglamento de Radiocomunicaciones</w:t>
            </w:r>
            <w:r>
              <w:rPr>
                <w:rFonts w:eastAsia="Calibri"/>
                <w:bCs/>
                <w:lang w:val="es-ES"/>
              </w:rPr>
              <w:t>.</w:t>
            </w:r>
          </w:p>
        </w:tc>
        <w:tc>
          <w:tcPr>
            <w:tcW w:w="6287" w:type="dxa"/>
          </w:tcPr>
          <w:p w14:paraId="43717670" w14:textId="77777777" w:rsidR="00B20F1E" w:rsidRPr="000D2717" w:rsidRDefault="00B20F1E" w:rsidP="00446316">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72D984B8" w14:textId="5E51827B" w:rsidR="00B20F1E" w:rsidRPr="000D2717" w:rsidRDefault="00446316" w:rsidP="00446316">
            <w:pPr>
              <w:pStyle w:val="Tabletext"/>
              <w:ind w:left="284" w:hanging="284"/>
              <w:rPr>
                <w:lang w:val="es-ES"/>
              </w:rPr>
            </w:pPr>
            <w:r>
              <w:rPr>
                <w:lang w:val="es-ES"/>
              </w:rPr>
              <w:t>1</w:t>
            </w:r>
            <w:r>
              <w:rPr>
                <w:lang w:val="es-ES"/>
              </w:rPr>
              <w:tab/>
            </w:r>
            <w:r w:rsidR="00B20F1E" w:rsidRPr="00446316">
              <w:rPr>
                <w:b/>
                <w:bCs/>
                <w:lang w:val="es-ES"/>
              </w:rPr>
              <w:t>Apoyar</w:t>
            </w:r>
            <w:r w:rsidR="00B20F1E" w:rsidRPr="000D2717">
              <w:rPr>
                <w:lang w:val="es-ES"/>
              </w:rPr>
              <w:t xml:space="preserve"> medidas para </w:t>
            </w:r>
            <w:r w:rsidR="00B20F1E">
              <w:rPr>
                <w:lang w:val="es-ES"/>
              </w:rPr>
              <w:t>suprimir</w:t>
            </w:r>
            <w:r w:rsidR="00B20F1E" w:rsidRPr="000D2717">
              <w:rPr>
                <w:lang w:val="es-ES"/>
              </w:rPr>
              <w:t xml:space="preserve"> las dificultades o incoherencias </w:t>
            </w:r>
            <w:r w:rsidR="00B20F1E">
              <w:rPr>
                <w:lang w:val="es-ES"/>
              </w:rPr>
              <w:t>observadas</w:t>
            </w:r>
            <w:r w:rsidR="00B20F1E" w:rsidRPr="000D2717">
              <w:rPr>
                <w:lang w:val="es-ES"/>
              </w:rPr>
              <w:t xml:space="preserve"> en la aplicación del Reglamento de Radiocomunicaciones.</w:t>
            </w:r>
          </w:p>
          <w:p w14:paraId="1DC5857A" w14:textId="529A46B0" w:rsidR="00B20F1E" w:rsidRPr="000D2717" w:rsidRDefault="00446316" w:rsidP="00446316">
            <w:pPr>
              <w:pStyle w:val="Tabletext"/>
              <w:ind w:left="284" w:hanging="284"/>
              <w:rPr>
                <w:lang w:val="es-ES"/>
              </w:rPr>
            </w:pPr>
            <w:r>
              <w:rPr>
                <w:lang w:val="es-ES"/>
              </w:rPr>
              <w:t>2</w:t>
            </w:r>
            <w:r>
              <w:rPr>
                <w:lang w:val="es-ES"/>
              </w:rPr>
              <w:tab/>
            </w:r>
            <w:r w:rsidR="00B20F1E" w:rsidRPr="00446316">
              <w:rPr>
                <w:b/>
                <w:bCs/>
                <w:lang w:val="es-ES"/>
              </w:rPr>
              <w:t>Apoyar</w:t>
            </w:r>
            <w:r w:rsidR="00B20F1E" w:rsidRPr="000D2717">
              <w:rPr>
                <w:lang w:val="es-ES"/>
              </w:rPr>
              <w:t xml:space="preserve"> </w:t>
            </w:r>
            <w:r w:rsidR="00B20F1E" w:rsidRPr="00BB2D8E">
              <w:rPr>
                <w:bCs/>
                <w:lang w:val="es-ES"/>
              </w:rPr>
              <w:t>que</w:t>
            </w:r>
            <w:r w:rsidR="00B20F1E" w:rsidRPr="000D2717">
              <w:rPr>
                <w:lang w:val="es-ES"/>
              </w:rPr>
              <w:t xml:space="preserve"> se </w:t>
            </w:r>
            <w:r w:rsidR="00B20F1E">
              <w:rPr>
                <w:lang w:val="es-ES"/>
              </w:rPr>
              <w:t>examine</w:t>
            </w:r>
            <w:r w:rsidR="00B20F1E" w:rsidRPr="000D2717">
              <w:rPr>
                <w:lang w:val="es-ES"/>
              </w:rPr>
              <w:t xml:space="preserve"> el periodo de validez </w:t>
            </w:r>
            <w:r w:rsidR="00B20F1E">
              <w:rPr>
                <w:lang w:val="es-ES"/>
              </w:rPr>
              <w:t>no observado</w:t>
            </w:r>
            <w:r w:rsidR="00B20F1E" w:rsidRPr="000D2717">
              <w:rPr>
                <w:lang w:val="es-ES"/>
              </w:rPr>
              <w:t xml:space="preserve"> de </w:t>
            </w:r>
            <w:r w:rsidR="00B20F1E">
              <w:rPr>
                <w:lang w:val="es-ES"/>
              </w:rPr>
              <w:t>las</w:t>
            </w:r>
            <w:r w:rsidR="00B20F1E" w:rsidRPr="000D2717">
              <w:rPr>
                <w:lang w:val="es-ES"/>
              </w:rPr>
              <w:t xml:space="preserve"> redes de satélite de </w:t>
            </w:r>
            <w:r w:rsidR="00B20F1E">
              <w:rPr>
                <w:lang w:val="es-ES"/>
              </w:rPr>
              <w:t>algunas</w:t>
            </w:r>
            <w:r w:rsidR="00B20F1E" w:rsidRPr="000D2717">
              <w:rPr>
                <w:lang w:val="es-ES"/>
              </w:rPr>
              <w:t xml:space="preserve"> administracion</w:t>
            </w:r>
            <w:r w:rsidR="00B20F1E">
              <w:rPr>
                <w:lang w:val="es-ES"/>
              </w:rPr>
              <w:t>es</w:t>
            </w:r>
            <w:r w:rsidR="00B20F1E" w:rsidRPr="000D2717">
              <w:rPr>
                <w:lang w:val="es-ES"/>
              </w:rPr>
              <w:t xml:space="preserve"> </w:t>
            </w:r>
            <w:r w:rsidR="00B20F1E">
              <w:rPr>
                <w:lang w:val="es-ES"/>
              </w:rPr>
              <w:t xml:space="preserve">afectadas </w:t>
            </w:r>
            <w:r w:rsidR="00B20F1E" w:rsidRPr="000D2717">
              <w:rPr>
                <w:lang w:val="es-ES"/>
              </w:rPr>
              <w:t xml:space="preserve">y que se incluya en sus asignaciones de frecuencias, </w:t>
            </w:r>
            <w:r w:rsidR="00B20F1E">
              <w:rPr>
                <w:lang w:val="es-ES"/>
              </w:rPr>
              <w:t>habida cuenta de la</w:t>
            </w:r>
            <w:r w:rsidR="00B20F1E" w:rsidRPr="000D2717">
              <w:rPr>
                <w:lang w:val="es-ES"/>
              </w:rPr>
              <w:t xml:space="preserve"> ambigüedad </w:t>
            </w:r>
            <w:r w:rsidR="00B20F1E">
              <w:rPr>
                <w:lang w:val="es-ES"/>
              </w:rPr>
              <w:t>que ello plantearía para</w:t>
            </w:r>
            <w:r w:rsidR="00B20F1E" w:rsidRPr="000D2717">
              <w:rPr>
                <w:lang w:val="es-ES"/>
              </w:rPr>
              <w:t xml:space="preserve"> comprender la vida operativa de los sistemas de satélite, incluidas las estaciones espaciales y </w:t>
            </w:r>
            <w:r w:rsidR="00B20F1E">
              <w:rPr>
                <w:lang w:val="es-ES"/>
              </w:rPr>
              <w:t>terrenas</w:t>
            </w:r>
            <w:r w:rsidR="00B20F1E" w:rsidRPr="000D2717">
              <w:rPr>
                <w:lang w:val="es-ES"/>
              </w:rPr>
              <w:t>, y el tipo de servicio prestado.</w:t>
            </w:r>
          </w:p>
          <w:p w14:paraId="3D9E4BE6" w14:textId="274125D1" w:rsidR="00B20F1E" w:rsidRPr="000D2717" w:rsidRDefault="00446316" w:rsidP="00446316">
            <w:pPr>
              <w:pStyle w:val="Tabletext"/>
              <w:ind w:left="284" w:hanging="284"/>
              <w:rPr>
                <w:lang w:val="es-ES"/>
              </w:rPr>
            </w:pPr>
            <w:r>
              <w:rPr>
                <w:lang w:val="es-ES"/>
              </w:rPr>
              <w:tab/>
            </w:r>
            <w:r w:rsidR="00B20F1E">
              <w:rPr>
                <w:lang w:val="es-ES"/>
              </w:rPr>
              <w:t>Con arreglo al</w:t>
            </w:r>
            <w:r w:rsidR="00B20F1E" w:rsidRPr="000D2717">
              <w:rPr>
                <w:lang w:val="es-ES"/>
              </w:rPr>
              <w:t xml:space="preserve"> número </w:t>
            </w:r>
            <w:r w:rsidR="00B20F1E" w:rsidRPr="00446316">
              <w:rPr>
                <w:b/>
                <w:bCs/>
                <w:lang w:val="es-ES"/>
              </w:rPr>
              <w:t>11.50</w:t>
            </w:r>
            <w:r w:rsidR="00B20F1E">
              <w:rPr>
                <w:lang w:val="es-ES"/>
              </w:rPr>
              <w:t xml:space="preserve"> </w:t>
            </w:r>
            <w:r w:rsidR="00B20F1E" w:rsidRPr="005C2BFD">
              <w:rPr>
                <w:bCs/>
                <w:lang w:val="es-ES"/>
              </w:rPr>
              <w:t>y</w:t>
            </w:r>
            <w:r w:rsidR="00B20F1E" w:rsidRPr="000D2717">
              <w:rPr>
                <w:lang w:val="es-ES"/>
              </w:rPr>
              <w:t xml:space="preserve"> </w:t>
            </w:r>
            <w:r w:rsidR="00B20F1E" w:rsidRPr="005C2BFD">
              <w:rPr>
                <w:bCs/>
                <w:lang w:val="es-ES"/>
              </w:rPr>
              <w:t>con</w:t>
            </w:r>
            <w:r w:rsidR="00B20F1E" w:rsidRPr="000D2717">
              <w:rPr>
                <w:lang w:val="es-ES"/>
              </w:rPr>
              <w:t xml:space="preserve"> </w:t>
            </w:r>
            <w:r w:rsidR="00B20F1E">
              <w:rPr>
                <w:lang w:val="es-ES"/>
              </w:rPr>
              <w:t>miras a</w:t>
            </w:r>
            <w:r w:rsidR="00B20F1E" w:rsidRPr="000D2717">
              <w:rPr>
                <w:lang w:val="es-ES"/>
              </w:rPr>
              <w:t xml:space="preserve"> mejorar la exactitud de los datos inscritos en el Registro, la Oficina </w:t>
            </w:r>
            <w:r w:rsidR="00B20F1E">
              <w:rPr>
                <w:lang w:val="es-ES"/>
              </w:rPr>
              <w:t>acometió</w:t>
            </w:r>
            <w:r w:rsidR="00B20F1E" w:rsidRPr="000D2717">
              <w:rPr>
                <w:lang w:val="es-ES"/>
              </w:rPr>
              <w:t xml:space="preserve"> </w:t>
            </w:r>
            <w:r w:rsidR="00B20F1E">
              <w:rPr>
                <w:lang w:val="es-ES"/>
              </w:rPr>
              <w:t>la</w:t>
            </w:r>
            <w:r w:rsidR="00B20F1E" w:rsidRPr="000D2717">
              <w:rPr>
                <w:lang w:val="es-ES"/>
              </w:rPr>
              <w:t xml:space="preserve"> revisión de las redes de satélite inscritas en el Registro, </w:t>
            </w:r>
            <w:r w:rsidR="00B20F1E">
              <w:rPr>
                <w:lang w:val="es-ES"/>
              </w:rPr>
              <w:t>y</w:t>
            </w:r>
            <w:r w:rsidR="00B20F1E" w:rsidRPr="000D2717">
              <w:rPr>
                <w:lang w:val="es-ES"/>
              </w:rPr>
              <w:t xml:space="preserve"> observó que las asignaciones de frecuencia a algunas redes de satélite </w:t>
            </w:r>
            <w:r w:rsidR="00B20F1E">
              <w:rPr>
                <w:lang w:val="es-ES"/>
              </w:rPr>
              <w:t>estaban inscritas</w:t>
            </w:r>
            <w:r w:rsidR="00B20F1E" w:rsidRPr="000D2717">
              <w:rPr>
                <w:lang w:val="es-ES"/>
              </w:rPr>
              <w:t xml:space="preserve"> en el Registro sin indicar</w:t>
            </w:r>
            <w:r w:rsidR="00B20F1E">
              <w:rPr>
                <w:lang w:val="es-ES"/>
              </w:rPr>
              <w:t>se</w:t>
            </w:r>
            <w:r w:rsidR="00B20F1E" w:rsidRPr="000D2717">
              <w:rPr>
                <w:lang w:val="es-ES"/>
              </w:rPr>
              <w:t xml:space="preserve"> ningún periodo de validez. </w:t>
            </w:r>
            <w:r w:rsidR="00B20F1E">
              <w:rPr>
                <w:lang w:val="es-ES"/>
              </w:rPr>
              <w:t>En consecuencia</w:t>
            </w:r>
            <w:r w:rsidR="00B20F1E" w:rsidRPr="000D2717">
              <w:rPr>
                <w:lang w:val="es-ES"/>
              </w:rPr>
              <w:t xml:space="preserve">, la Oficina solicitó a las Administraciones </w:t>
            </w:r>
            <w:r w:rsidR="00B20F1E">
              <w:rPr>
                <w:lang w:val="es-ES"/>
              </w:rPr>
              <w:t>afectadas</w:t>
            </w:r>
            <w:r w:rsidR="00B20F1E" w:rsidRPr="000D2717">
              <w:rPr>
                <w:lang w:val="es-ES"/>
              </w:rPr>
              <w:t xml:space="preserve"> que indicaran el periodo de validez previsto para </w:t>
            </w:r>
            <w:r w:rsidR="00B20F1E">
              <w:rPr>
                <w:lang w:val="es-ES"/>
              </w:rPr>
              <w:t>esas</w:t>
            </w:r>
            <w:r w:rsidR="00B20F1E" w:rsidRPr="000D2717">
              <w:rPr>
                <w:lang w:val="es-ES"/>
              </w:rPr>
              <w:t xml:space="preserve"> asignaciones de frecuencia.</w:t>
            </w:r>
          </w:p>
          <w:p w14:paraId="7CD28154" w14:textId="0DE1B749" w:rsidR="00B20F1E" w:rsidRPr="000D2717" w:rsidRDefault="00446316" w:rsidP="00446316">
            <w:pPr>
              <w:pStyle w:val="Tabletext"/>
              <w:ind w:left="284" w:hanging="284"/>
              <w:rPr>
                <w:lang w:val="es-ES"/>
              </w:rPr>
            </w:pPr>
            <w:r>
              <w:rPr>
                <w:lang w:val="es-ES"/>
              </w:rPr>
              <w:tab/>
            </w:r>
            <w:r w:rsidR="00B20F1E" w:rsidRPr="00EE5729">
              <w:rPr>
                <w:lang w:val="es-ES"/>
              </w:rPr>
              <w:t xml:space="preserve">Según la DURACIÓN DE LA </w:t>
            </w:r>
            <w:r w:rsidR="00B20F1E">
              <w:rPr>
                <w:lang w:val="es-ES"/>
              </w:rPr>
              <w:t>NOTIFICACIÓN</w:t>
            </w:r>
            <w:r w:rsidR="00B20F1E" w:rsidRPr="00EE5729">
              <w:rPr>
                <w:lang w:val="es-ES"/>
              </w:rPr>
              <w:t xml:space="preserve"> DE REDES DE SATÉLITES (</w:t>
            </w:r>
            <w:r w:rsidR="00B20F1E">
              <w:rPr>
                <w:lang w:val="es-ES"/>
              </w:rPr>
              <w:t xml:space="preserve">para </w:t>
            </w:r>
            <w:r w:rsidR="00B20F1E" w:rsidRPr="00EE5729">
              <w:rPr>
                <w:lang w:val="es-ES"/>
              </w:rPr>
              <w:t xml:space="preserve">bandas no planificadas), </w:t>
            </w:r>
            <w:r w:rsidR="00B20F1E">
              <w:rPr>
                <w:lang w:val="es-ES"/>
              </w:rPr>
              <w:t>cabe</w:t>
            </w:r>
            <w:r w:rsidR="00B20F1E" w:rsidRPr="00EE5729">
              <w:rPr>
                <w:lang w:val="es-ES"/>
              </w:rPr>
              <w:t xml:space="preserve"> observar que el periodo de validez </w:t>
            </w:r>
            <w:r w:rsidR="00B20F1E">
              <w:rPr>
                <w:lang w:val="es-ES"/>
              </w:rPr>
              <w:t xml:space="preserve">constituye un elemento </w:t>
            </w:r>
            <w:r w:rsidR="00B20F1E" w:rsidRPr="00EE5729">
              <w:rPr>
                <w:lang w:val="es-ES"/>
              </w:rPr>
              <w:t xml:space="preserve">esencial </w:t>
            </w:r>
            <w:r w:rsidR="00B20F1E">
              <w:rPr>
                <w:lang w:val="es-ES"/>
              </w:rPr>
              <w:t>de la vida útil</w:t>
            </w:r>
            <w:r w:rsidR="00B20F1E" w:rsidRPr="00EE5729">
              <w:rPr>
                <w:lang w:val="es-ES"/>
              </w:rPr>
              <w:t xml:space="preserve"> </w:t>
            </w:r>
            <w:r w:rsidR="00B20F1E">
              <w:rPr>
                <w:lang w:val="es-ES"/>
              </w:rPr>
              <w:t>de</w:t>
            </w:r>
            <w:r w:rsidR="00B20F1E" w:rsidRPr="00EE5729">
              <w:rPr>
                <w:lang w:val="es-ES"/>
              </w:rPr>
              <w:t xml:space="preserve"> la tramitación de notificaciones de redes de satélites.</w:t>
            </w:r>
          </w:p>
          <w:p w14:paraId="32B87E5C" w14:textId="1414B391" w:rsidR="00B20F1E" w:rsidRPr="000D2717" w:rsidRDefault="00446316" w:rsidP="00446316">
            <w:pPr>
              <w:pStyle w:val="Tabletext"/>
              <w:ind w:left="284" w:hanging="284"/>
              <w:rPr>
                <w:color w:val="000000"/>
                <w:lang w:val="es-ES"/>
              </w:rPr>
            </w:pPr>
            <w:r>
              <w:rPr>
                <w:color w:val="000000"/>
                <w:lang w:val="es-ES"/>
              </w:rPr>
              <w:tab/>
            </w:r>
            <w:r w:rsidR="00B20F1E">
              <w:rPr>
                <w:color w:val="000000"/>
                <w:lang w:val="es-ES"/>
              </w:rPr>
              <w:t>En consecuencia</w:t>
            </w:r>
            <w:r w:rsidR="00B20F1E" w:rsidRPr="000D2717">
              <w:rPr>
                <w:color w:val="000000"/>
                <w:lang w:val="es-ES"/>
              </w:rPr>
              <w:t xml:space="preserve">, es </w:t>
            </w:r>
            <w:r w:rsidR="00B20F1E">
              <w:rPr>
                <w:color w:val="000000"/>
                <w:lang w:val="es-ES"/>
              </w:rPr>
              <w:t>primordial</w:t>
            </w:r>
            <w:r w:rsidR="00B20F1E" w:rsidRPr="000D2717">
              <w:rPr>
                <w:color w:val="000000"/>
                <w:lang w:val="es-ES"/>
              </w:rPr>
              <w:t xml:space="preserve"> solicitar a la administración </w:t>
            </w:r>
            <w:r w:rsidR="00B20F1E">
              <w:rPr>
                <w:color w:val="000000"/>
                <w:lang w:val="es-ES"/>
              </w:rPr>
              <w:t>afectada</w:t>
            </w:r>
            <w:r w:rsidR="00B20F1E" w:rsidRPr="000D2717">
              <w:rPr>
                <w:color w:val="000000"/>
                <w:lang w:val="es-ES"/>
              </w:rPr>
              <w:t xml:space="preserve"> que indique el periodo de validez previsto para esas asignaciones de frecuencias.</w:t>
            </w:r>
          </w:p>
          <w:p w14:paraId="6AD45939" w14:textId="4ABD35B1" w:rsidR="00B20F1E" w:rsidRPr="000D2717" w:rsidRDefault="00446316" w:rsidP="00446316">
            <w:pPr>
              <w:pStyle w:val="Tabletext"/>
              <w:ind w:left="284" w:hanging="284"/>
              <w:rPr>
                <w:lang w:val="es-ES"/>
              </w:rPr>
            </w:pPr>
            <w:r>
              <w:rPr>
                <w:lang w:val="es-ES"/>
              </w:rPr>
              <w:t>3</w:t>
            </w:r>
            <w:r>
              <w:rPr>
                <w:lang w:val="es-ES"/>
              </w:rPr>
              <w:tab/>
            </w:r>
            <w:r w:rsidR="00B20F1E" w:rsidRPr="00446316">
              <w:rPr>
                <w:b/>
                <w:bCs/>
                <w:lang w:val="es-ES"/>
              </w:rPr>
              <w:t>Apoyar</w:t>
            </w:r>
            <w:r w:rsidR="00B20F1E" w:rsidRPr="000D2717">
              <w:rPr>
                <w:lang w:val="es-ES"/>
              </w:rPr>
              <w:t xml:space="preserve"> la supresión </w:t>
            </w:r>
            <w:r w:rsidR="00B20F1E">
              <w:rPr>
                <w:lang w:val="es-ES"/>
              </w:rPr>
              <w:t>de las redes de</w:t>
            </w:r>
            <w:r w:rsidR="00B20F1E" w:rsidRPr="000D2717">
              <w:rPr>
                <w:lang w:val="es-ES"/>
              </w:rPr>
              <w:t xml:space="preserve"> satélite restante</w:t>
            </w:r>
            <w:r w:rsidR="00B20F1E">
              <w:rPr>
                <w:lang w:val="es-ES"/>
              </w:rPr>
              <w:t>s</w:t>
            </w:r>
            <w:r w:rsidR="00B20F1E" w:rsidRPr="000D2717">
              <w:rPr>
                <w:lang w:val="es-ES"/>
              </w:rPr>
              <w:t xml:space="preserve"> </w:t>
            </w:r>
            <w:r w:rsidR="00B20F1E">
              <w:rPr>
                <w:lang w:val="es-ES"/>
              </w:rPr>
              <w:t>no afectadas por</w:t>
            </w:r>
            <w:r w:rsidR="00B20F1E" w:rsidRPr="000D2717">
              <w:rPr>
                <w:lang w:val="es-ES"/>
              </w:rPr>
              <w:t xml:space="preserve"> la modificación</w:t>
            </w:r>
            <w:r w:rsidR="00B20F1E">
              <w:rPr>
                <w:lang w:val="es-ES"/>
              </w:rPr>
              <w:t>,</w:t>
            </w:r>
            <w:r w:rsidR="00B20F1E" w:rsidRPr="000D2717">
              <w:rPr>
                <w:lang w:val="es-ES"/>
              </w:rPr>
              <w:t xml:space="preserve"> a fin de </w:t>
            </w:r>
            <w:r w:rsidR="00B20F1E">
              <w:rPr>
                <w:lang w:val="es-ES"/>
              </w:rPr>
              <w:t xml:space="preserve">evitar información errónea </w:t>
            </w:r>
            <w:r w:rsidR="00B20F1E" w:rsidRPr="000D2717">
              <w:rPr>
                <w:lang w:val="es-ES"/>
              </w:rPr>
              <w:t xml:space="preserve">al </w:t>
            </w:r>
            <w:r w:rsidR="00B20F1E">
              <w:rPr>
                <w:lang w:val="es-ES"/>
              </w:rPr>
              <w:t>adoptar</w:t>
            </w:r>
            <w:r w:rsidR="00B20F1E" w:rsidRPr="000D2717">
              <w:rPr>
                <w:lang w:val="es-ES"/>
              </w:rPr>
              <w:t xml:space="preserve"> </w:t>
            </w:r>
            <w:r w:rsidR="00B20F1E">
              <w:rPr>
                <w:lang w:val="es-ES"/>
              </w:rPr>
              <w:t>resoluciones</w:t>
            </w:r>
            <w:r w:rsidR="00B20F1E" w:rsidRPr="000D2717">
              <w:rPr>
                <w:lang w:val="es-ES"/>
              </w:rPr>
              <w:t xml:space="preserve"> </w:t>
            </w:r>
            <w:r w:rsidR="00B20F1E">
              <w:rPr>
                <w:lang w:val="es-ES"/>
              </w:rPr>
              <w:t xml:space="preserve">sobre </w:t>
            </w:r>
            <w:r w:rsidR="00B20F1E" w:rsidRPr="000D2717">
              <w:rPr>
                <w:lang w:val="es-ES"/>
              </w:rPr>
              <w:t xml:space="preserve">acciones </w:t>
            </w:r>
            <w:r w:rsidR="00B20F1E">
              <w:rPr>
                <w:lang w:val="es-ES"/>
              </w:rPr>
              <w:t>en curso o ulteriores,</w:t>
            </w:r>
            <w:r w:rsidR="00B20F1E" w:rsidRPr="000D2717">
              <w:rPr>
                <w:lang w:val="es-ES"/>
              </w:rPr>
              <w:t xml:space="preserve"> por ejemplo </w:t>
            </w:r>
            <w:r w:rsidR="00B20F1E">
              <w:rPr>
                <w:lang w:val="es-ES"/>
              </w:rPr>
              <w:t>el</w:t>
            </w:r>
            <w:r w:rsidR="00B20F1E" w:rsidRPr="000D2717">
              <w:rPr>
                <w:lang w:val="es-ES"/>
              </w:rPr>
              <w:t xml:space="preserve"> cálculo de análisis de interferencia.</w:t>
            </w:r>
          </w:p>
          <w:p w14:paraId="6F6FDCAF" w14:textId="644592D8" w:rsidR="00B20F1E" w:rsidRPr="000D2717" w:rsidRDefault="00446316" w:rsidP="00446316">
            <w:pPr>
              <w:pStyle w:val="Tabletext"/>
              <w:ind w:left="284" w:hanging="284"/>
              <w:rPr>
                <w:lang w:val="es-ES"/>
              </w:rPr>
            </w:pPr>
            <w:r>
              <w:rPr>
                <w:lang w:val="es-ES"/>
              </w:rPr>
              <w:tab/>
            </w:r>
            <w:r w:rsidR="00B20F1E">
              <w:rPr>
                <w:lang w:val="es-ES"/>
              </w:rPr>
              <w:t>Las</w:t>
            </w:r>
            <w:r w:rsidR="00B20F1E" w:rsidRPr="000D2717">
              <w:rPr>
                <w:lang w:val="es-ES"/>
              </w:rPr>
              <w:t xml:space="preserve"> </w:t>
            </w:r>
            <w:r w:rsidR="00B20F1E">
              <w:rPr>
                <w:lang w:val="es-ES"/>
              </w:rPr>
              <w:t>a</w:t>
            </w:r>
            <w:r w:rsidR="00B20F1E" w:rsidRPr="000D2717">
              <w:rPr>
                <w:lang w:val="es-ES"/>
              </w:rPr>
              <w:t>dministracion</w:t>
            </w:r>
            <w:r w:rsidR="00B20F1E">
              <w:rPr>
                <w:lang w:val="es-ES"/>
              </w:rPr>
              <w:t>es</w:t>
            </w:r>
            <w:r w:rsidR="00B20F1E" w:rsidRPr="000D2717">
              <w:rPr>
                <w:lang w:val="es-ES"/>
              </w:rPr>
              <w:t xml:space="preserve"> notificante</w:t>
            </w:r>
            <w:r w:rsidR="00B20F1E">
              <w:rPr>
                <w:lang w:val="es-ES"/>
              </w:rPr>
              <w:t>s</w:t>
            </w:r>
            <w:r w:rsidR="00B20F1E" w:rsidRPr="000D2717">
              <w:rPr>
                <w:lang w:val="es-ES"/>
              </w:rPr>
              <w:t xml:space="preserve"> presenta</w:t>
            </w:r>
            <w:r w:rsidR="00B20F1E">
              <w:rPr>
                <w:lang w:val="es-ES"/>
              </w:rPr>
              <w:t>n</w:t>
            </w:r>
            <w:r w:rsidR="00B20F1E" w:rsidRPr="000D2717">
              <w:rPr>
                <w:lang w:val="es-ES"/>
              </w:rPr>
              <w:t xml:space="preserve"> a la Oficina las modificaciones de las características de las asignaciones de frecuencia</w:t>
            </w:r>
            <w:r w:rsidR="00B20F1E">
              <w:rPr>
                <w:lang w:val="es-ES"/>
              </w:rPr>
              <w:t>s</w:t>
            </w:r>
            <w:r w:rsidR="00B20F1E" w:rsidRPr="000D2717">
              <w:rPr>
                <w:lang w:val="es-ES"/>
              </w:rPr>
              <w:t xml:space="preserve"> notificadas o </w:t>
            </w:r>
            <w:r w:rsidR="00B20F1E">
              <w:rPr>
                <w:lang w:val="es-ES"/>
              </w:rPr>
              <w:t>inscritas</w:t>
            </w:r>
            <w:r w:rsidR="00B20F1E" w:rsidRPr="000D2717">
              <w:rPr>
                <w:lang w:val="es-ES"/>
              </w:rPr>
              <w:t xml:space="preserve"> </w:t>
            </w:r>
            <w:r w:rsidR="00B20F1E">
              <w:rPr>
                <w:lang w:val="es-ES"/>
              </w:rPr>
              <w:t>a</w:t>
            </w:r>
            <w:r w:rsidR="00B20F1E" w:rsidRPr="000D2717">
              <w:rPr>
                <w:lang w:val="es-ES"/>
              </w:rPr>
              <w:t xml:space="preserve"> sistema</w:t>
            </w:r>
            <w:r w:rsidR="00B20F1E">
              <w:rPr>
                <w:lang w:val="es-ES"/>
              </w:rPr>
              <w:t>s</w:t>
            </w:r>
            <w:r w:rsidR="00B20F1E" w:rsidRPr="000D2717">
              <w:rPr>
                <w:lang w:val="es-ES"/>
              </w:rPr>
              <w:t xml:space="preserve"> de satélites no OSG</w:t>
            </w:r>
            <w:r w:rsidR="00B20F1E">
              <w:rPr>
                <w:lang w:val="es-ES"/>
              </w:rPr>
              <w:t>,</w:t>
            </w:r>
            <w:r w:rsidR="00B20F1E" w:rsidRPr="000D2717">
              <w:rPr>
                <w:lang w:val="es-ES"/>
              </w:rPr>
              <w:t xml:space="preserve"> con el fin de reducir el número máximo de satélites</w:t>
            </w:r>
            <w:r w:rsidR="00B20F1E">
              <w:rPr>
                <w:lang w:val="es-ES"/>
              </w:rPr>
              <w:t>; se pla</w:t>
            </w:r>
            <w:r w:rsidR="00B20F1E" w:rsidRPr="000D2717">
              <w:rPr>
                <w:lang w:val="es-ES"/>
              </w:rPr>
              <w:t xml:space="preserve">nteó la cuestión de </w:t>
            </w:r>
            <w:r w:rsidR="00B20F1E">
              <w:rPr>
                <w:lang w:val="es-ES"/>
              </w:rPr>
              <w:t>determinar si</w:t>
            </w:r>
            <w:r w:rsidR="00B20F1E" w:rsidRPr="000D2717">
              <w:rPr>
                <w:lang w:val="es-ES"/>
              </w:rPr>
              <w:t xml:space="preserve"> es necesario mantener</w:t>
            </w:r>
            <w:r w:rsidR="00B20F1E">
              <w:rPr>
                <w:lang w:val="es-ES"/>
              </w:rPr>
              <w:t>,</w:t>
            </w:r>
            <w:r w:rsidR="00B20F1E" w:rsidRPr="000D2717">
              <w:rPr>
                <w:lang w:val="es-ES"/>
              </w:rPr>
              <w:t xml:space="preserve"> </w:t>
            </w:r>
            <w:r w:rsidR="00B20F1E">
              <w:rPr>
                <w:lang w:val="es-ES"/>
              </w:rPr>
              <w:t>respecto de</w:t>
            </w:r>
            <w:r w:rsidR="00B20F1E" w:rsidRPr="000D2717">
              <w:rPr>
                <w:lang w:val="es-ES"/>
              </w:rPr>
              <w:t xml:space="preserve"> los satélites restantes</w:t>
            </w:r>
            <w:r w:rsidR="00B20F1E">
              <w:rPr>
                <w:lang w:val="es-ES"/>
              </w:rPr>
              <w:t>,</w:t>
            </w:r>
            <w:r w:rsidR="00B20F1E" w:rsidRPr="000D2717">
              <w:rPr>
                <w:lang w:val="es-ES"/>
              </w:rPr>
              <w:t xml:space="preserve"> al menos las características orbitales correspondientes </w:t>
            </w:r>
            <w:r w:rsidR="00B20F1E">
              <w:rPr>
                <w:lang w:val="es-ES"/>
              </w:rPr>
              <w:t>a los</w:t>
            </w:r>
            <w:r w:rsidR="00B20F1E" w:rsidRPr="000D2717">
              <w:rPr>
                <w:lang w:val="es-ES"/>
              </w:rPr>
              <w:t xml:space="preserve"> satélite</w:t>
            </w:r>
            <w:r w:rsidR="00B20F1E">
              <w:rPr>
                <w:lang w:val="es-ES"/>
              </w:rPr>
              <w:t>s</w:t>
            </w:r>
            <w:r w:rsidR="00B20F1E" w:rsidRPr="000D2717">
              <w:rPr>
                <w:lang w:val="es-ES"/>
              </w:rPr>
              <w:t xml:space="preserve"> </w:t>
            </w:r>
            <w:r w:rsidR="00B20F1E">
              <w:rPr>
                <w:lang w:val="es-ES"/>
              </w:rPr>
              <w:t>utilizados</w:t>
            </w:r>
            <w:r w:rsidR="00B20F1E" w:rsidRPr="000D2717">
              <w:rPr>
                <w:lang w:val="es-ES"/>
              </w:rPr>
              <w:t xml:space="preserve"> para la puesta en servicio de las asignaciones de frecuencia</w:t>
            </w:r>
            <w:r w:rsidR="00B20F1E">
              <w:rPr>
                <w:lang w:val="es-ES"/>
              </w:rPr>
              <w:t>s</w:t>
            </w:r>
            <w:r w:rsidR="00B20F1E" w:rsidRPr="000D2717">
              <w:rPr>
                <w:lang w:val="es-ES"/>
              </w:rPr>
              <w:t xml:space="preserve"> </w:t>
            </w:r>
            <w:r w:rsidR="00B20F1E">
              <w:rPr>
                <w:lang w:val="es-ES"/>
              </w:rPr>
              <w:t>al</w:t>
            </w:r>
            <w:r w:rsidR="00B20F1E" w:rsidRPr="000D2717">
              <w:rPr>
                <w:lang w:val="es-ES"/>
              </w:rPr>
              <w:t xml:space="preserve"> sistema de satélites </w:t>
            </w:r>
            <w:r w:rsidR="00B20F1E">
              <w:rPr>
                <w:lang w:val="es-ES"/>
              </w:rPr>
              <w:t xml:space="preserve">de que se trate, </w:t>
            </w:r>
            <w:r w:rsidR="00B20F1E" w:rsidRPr="000D2717">
              <w:rPr>
                <w:lang w:val="es-ES"/>
              </w:rPr>
              <w:t xml:space="preserve">o para </w:t>
            </w:r>
            <w:r w:rsidR="00B20F1E">
              <w:rPr>
                <w:lang w:val="es-ES"/>
              </w:rPr>
              <w:t>el cumplimiento</w:t>
            </w:r>
            <w:r w:rsidR="00B20F1E" w:rsidRPr="000D2717">
              <w:rPr>
                <w:lang w:val="es-ES"/>
              </w:rPr>
              <w:t xml:space="preserve"> de un hito </w:t>
            </w:r>
            <w:r w:rsidR="00B20F1E">
              <w:rPr>
                <w:lang w:val="es-ES"/>
              </w:rPr>
              <w:t>antes</w:t>
            </w:r>
            <w:r w:rsidR="00B20F1E" w:rsidRPr="000D2717">
              <w:rPr>
                <w:lang w:val="es-ES"/>
              </w:rPr>
              <w:t xml:space="preserve"> de la Resolución </w:t>
            </w:r>
            <w:r w:rsidR="00B20F1E" w:rsidRPr="00446316">
              <w:rPr>
                <w:b/>
                <w:lang w:val="es-ES"/>
              </w:rPr>
              <w:t>35 (CMR-19)</w:t>
            </w:r>
            <w:r w:rsidR="00B20F1E" w:rsidRPr="000D2717">
              <w:rPr>
                <w:lang w:val="es-ES"/>
              </w:rPr>
              <w:t>.</w:t>
            </w:r>
          </w:p>
          <w:p w14:paraId="317224E1" w14:textId="377EB404" w:rsidR="00B20F1E" w:rsidRPr="001C0E31" w:rsidRDefault="00446316" w:rsidP="00446316">
            <w:pPr>
              <w:pStyle w:val="Tabletext"/>
              <w:ind w:left="284" w:hanging="284"/>
              <w:rPr>
                <w:lang w:val="es-ES" w:eastAsia="zh-CN"/>
              </w:rPr>
            </w:pPr>
            <w:r>
              <w:rPr>
                <w:lang w:val="es-ES"/>
              </w:rPr>
              <w:t>4</w:t>
            </w:r>
            <w:r>
              <w:rPr>
                <w:lang w:val="es-ES"/>
              </w:rPr>
              <w:tab/>
            </w:r>
            <w:r w:rsidR="00B20F1E" w:rsidRPr="00446316">
              <w:rPr>
                <w:b/>
                <w:bCs/>
                <w:lang w:val="es-ES"/>
              </w:rPr>
              <w:t>Apoyar</w:t>
            </w:r>
            <w:r w:rsidR="00B20F1E" w:rsidRPr="000D2717">
              <w:rPr>
                <w:lang w:val="es-ES"/>
              </w:rPr>
              <w:t xml:space="preserve"> </w:t>
            </w:r>
            <w:r w:rsidR="00B20F1E" w:rsidRPr="000D2717">
              <w:rPr>
                <w:lang w:val="es-ES" w:eastAsia="zh-CN"/>
              </w:rPr>
              <w:t xml:space="preserve">las propuestas </w:t>
            </w:r>
            <w:r w:rsidR="00B20F1E">
              <w:rPr>
                <w:lang w:val="es-ES" w:eastAsia="zh-CN"/>
              </w:rPr>
              <w:t>formuladas</w:t>
            </w:r>
            <w:r w:rsidR="00B20F1E" w:rsidRPr="000D2717">
              <w:rPr>
                <w:lang w:val="es-ES" w:eastAsia="zh-CN"/>
              </w:rPr>
              <w:t xml:space="preserve"> a la CMR-23 por los países beneficiarios de la aplicación de la Resolución </w:t>
            </w:r>
            <w:r w:rsidR="00B20F1E" w:rsidRPr="00446316">
              <w:rPr>
                <w:b/>
                <w:lang w:val="es-ES" w:eastAsia="zh-CN"/>
              </w:rPr>
              <w:t>559 (CMR-19)</w:t>
            </w:r>
            <w:r w:rsidR="00B20F1E">
              <w:rPr>
                <w:bCs/>
                <w:lang w:val="es-ES" w:eastAsia="zh-CN"/>
              </w:rPr>
              <w:t xml:space="preserve">, </w:t>
            </w:r>
            <w:r w:rsidR="00B20F1E" w:rsidRPr="001C0E31">
              <w:rPr>
                <w:lang w:val="es-ES" w:eastAsia="zh-CN"/>
              </w:rPr>
              <w:t>en particular:</w:t>
            </w:r>
          </w:p>
          <w:p w14:paraId="02FD9698" w14:textId="20075EC2" w:rsidR="00B20F1E" w:rsidRPr="000D2717" w:rsidRDefault="00446316" w:rsidP="00446316">
            <w:pPr>
              <w:pStyle w:val="Tabletext"/>
              <w:ind w:left="567" w:hanging="567"/>
              <w:rPr>
                <w:lang w:val="es-ES" w:eastAsia="zh-CN"/>
              </w:rPr>
            </w:pPr>
            <w:r>
              <w:rPr>
                <w:lang w:val="es-ES" w:eastAsia="zh-CN"/>
              </w:rPr>
              <w:tab/>
            </w:r>
            <w:r w:rsidR="00B20F1E" w:rsidRPr="000D2717">
              <w:rPr>
                <w:lang w:val="es-ES" w:eastAsia="zh-CN"/>
              </w:rPr>
              <w:t>1</w:t>
            </w:r>
            <w:r>
              <w:rPr>
                <w:lang w:val="es-ES" w:eastAsia="zh-CN"/>
              </w:rPr>
              <w:tab/>
            </w:r>
            <w:r w:rsidR="00B20F1E" w:rsidRPr="000D2717">
              <w:rPr>
                <w:lang w:val="es-ES" w:eastAsia="zh-CN"/>
              </w:rPr>
              <w:t xml:space="preserve">Las Administraciones </w:t>
            </w:r>
            <w:r w:rsidR="00B20F1E">
              <w:rPr>
                <w:lang w:val="es-ES" w:eastAsia="zh-CN"/>
              </w:rPr>
              <w:t>notificantes</w:t>
            </w:r>
            <w:r w:rsidR="00B20F1E" w:rsidRPr="000D2717">
              <w:rPr>
                <w:lang w:val="es-ES" w:eastAsia="zh-CN"/>
              </w:rPr>
              <w:t xml:space="preserve"> prop</w:t>
            </w:r>
            <w:r w:rsidR="00B20F1E">
              <w:rPr>
                <w:lang w:val="es-ES" w:eastAsia="zh-CN"/>
              </w:rPr>
              <w:t>ondrán</w:t>
            </w:r>
            <w:r w:rsidR="00B20F1E" w:rsidRPr="000D2717">
              <w:rPr>
                <w:lang w:val="es-ES" w:eastAsia="zh-CN"/>
              </w:rPr>
              <w:t xml:space="preserve"> a la CMR-23 que </w:t>
            </w:r>
            <w:r w:rsidR="00B20F1E">
              <w:rPr>
                <w:lang w:val="es-ES" w:eastAsia="zh-CN"/>
              </w:rPr>
              <w:t>refrende</w:t>
            </w:r>
            <w:r w:rsidR="00B20F1E" w:rsidRPr="000D2717">
              <w:rPr>
                <w:lang w:val="es-ES" w:eastAsia="zh-CN"/>
              </w:rPr>
              <w:t xml:space="preserve"> todas las </w:t>
            </w:r>
            <w:r w:rsidR="00B20F1E">
              <w:rPr>
                <w:lang w:val="es-ES" w:eastAsia="zh-CN"/>
              </w:rPr>
              <w:t>propuestas</w:t>
            </w:r>
            <w:r w:rsidR="00B20F1E" w:rsidRPr="000D2717">
              <w:rPr>
                <w:lang w:val="es-ES" w:eastAsia="zh-CN"/>
              </w:rPr>
              <w:t xml:space="preserve"> formuladas por la RRB y la BR en relación con la aplicación de la Resolución </w:t>
            </w:r>
            <w:r w:rsidR="00B20F1E" w:rsidRPr="00446316">
              <w:rPr>
                <w:b/>
                <w:lang w:val="es-ES" w:eastAsia="zh-CN"/>
              </w:rPr>
              <w:t>559 (CMR-19)</w:t>
            </w:r>
            <w:r w:rsidR="00B20F1E" w:rsidRPr="000D2717">
              <w:rPr>
                <w:lang w:val="es-ES" w:eastAsia="zh-CN"/>
              </w:rPr>
              <w:t xml:space="preserve">, </w:t>
            </w:r>
            <w:r w:rsidR="00B20F1E">
              <w:rPr>
                <w:lang w:val="es-ES" w:eastAsia="zh-CN"/>
              </w:rPr>
              <w:t>en consonancia con</w:t>
            </w:r>
            <w:r w:rsidR="00B20F1E" w:rsidRPr="000D2717">
              <w:rPr>
                <w:lang w:val="es-ES" w:eastAsia="zh-CN"/>
              </w:rPr>
              <w:t xml:space="preserve"> sus informes a la </w:t>
            </w:r>
            <w:r w:rsidR="00B20F1E" w:rsidRPr="00462C9B">
              <w:rPr>
                <w:b/>
                <w:bCs/>
                <w:lang w:val="es-ES" w:eastAsia="zh-CN"/>
              </w:rPr>
              <w:t>CMR-23</w:t>
            </w:r>
            <w:r w:rsidR="00B20F1E" w:rsidRPr="000D2717">
              <w:rPr>
                <w:lang w:val="es-ES" w:eastAsia="zh-CN"/>
              </w:rPr>
              <w:t>.</w:t>
            </w:r>
          </w:p>
          <w:p w14:paraId="55870A4D" w14:textId="70738C8F" w:rsidR="00B20F1E" w:rsidRPr="000D2717" w:rsidRDefault="00446316" w:rsidP="00446316">
            <w:pPr>
              <w:pStyle w:val="Tabletext"/>
              <w:ind w:left="567" w:hanging="567"/>
              <w:rPr>
                <w:lang w:val="es-ES" w:eastAsia="zh-CN"/>
              </w:rPr>
            </w:pPr>
            <w:r>
              <w:rPr>
                <w:lang w:val="es-ES" w:eastAsia="zh-CN"/>
              </w:rPr>
              <w:tab/>
            </w:r>
            <w:r w:rsidR="00B20F1E" w:rsidRPr="000D2717">
              <w:rPr>
                <w:lang w:val="es-ES" w:eastAsia="zh-CN"/>
              </w:rPr>
              <w:t>2</w:t>
            </w:r>
            <w:r>
              <w:rPr>
                <w:lang w:val="es-ES" w:eastAsia="zh-CN"/>
              </w:rPr>
              <w:tab/>
            </w:r>
            <w:r w:rsidR="00B20F1E">
              <w:rPr>
                <w:lang w:val="es-ES" w:eastAsia="zh-CN"/>
              </w:rPr>
              <w:t>Con r</w:t>
            </w:r>
            <w:r w:rsidR="00B20F1E" w:rsidRPr="000D2717">
              <w:rPr>
                <w:lang w:val="es-ES" w:eastAsia="zh-CN"/>
              </w:rPr>
              <w:t xml:space="preserve">especto a los </w:t>
            </w:r>
            <w:r w:rsidR="00B20F1E">
              <w:rPr>
                <w:lang w:val="es-ES" w:eastAsia="zh-CN"/>
              </w:rPr>
              <w:t>demás</w:t>
            </w:r>
            <w:r w:rsidR="00B20F1E" w:rsidRPr="000D2717">
              <w:rPr>
                <w:lang w:val="es-ES" w:eastAsia="zh-CN"/>
              </w:rPr>
              <w:t xml:space="preserve"> casos de coordinación </w:t>
            </w:r>
            <w:r w:rsidR="00B20F1E">
              <w:rPr>
                <w:lang w:val="es-ES" w:eastAsia="zh-CN"/>
              </w:rPr>
              <w:t xml:space="preserve">con arreglo al </w:t>
            </w:r>
            <w:r w:rsidR="00B20F1E" w:rsidRPr="000D2717">
              <w:rPr>
                <w:lang w:val="es-ES" w:eastAsia="zh-CN"/>
              </w:rPr>
              <w:t>§</w:t>
            </w:r>
            <w:r>
              <w:rPr>
                <w:lang w:val="es-ES" w:eastAsia="zh-CN"/>
              </w:rPr>
              <w:t> </w:t>
            </w:r>
            <w:r w:rsidR="00B20F1E" w:rsidRPr="000D2717">
              <w:rPr>
                <w:lang w:val="es-ES" w:eastAsia="zh-CN"/>
              </w:rPr>
              <w:t xml:space="preserve">4.1.1 b) del Apéndice </w:t>
            </w:r>
            <w:r w:rsidR="00B20F1E" w:rsidRPr="00446316">
              <w:rPr>
                <w:b/>
                <w:lang w:val="es-ES" w:eastAsia="zh-CN"/>
              </w:rPr>
              <w:t>30</w:t>
            </w:r>
            <w:r w:rsidR="00B20F1E" w:rsidRPr="000D2717">
              <w:rPr>
                <w:lang w:val="es-ES" w:eastAsia="zh-CN"/>
              </w:rPr>
              <w:t xml:space="preserve">, las Administraciones </w:t>
            </w:r>
            <w:r w:rsidR="00B20F1E">
              <w:rPr>
                <w:lang w:val="es-ES" w:eastAsia="zh-CN"/>
              </w:rPr>
              <w:t xml:space="preserve">notificantes propondrán </w:t>
            </w:r>
            <w:r w:rsidR="00B20F1E" w:rsidRPr="000D2717">
              <w:rPr>
                <w:lang w:val="es-ES" w:eastAsia="zh-CN"/>
              </w:rPr>
              <w:t>a la CMR-23 que apruebe las siguientes medidas</w:t>
            </w:r>
            <w:r w:rsidR="00B20F1E">
              <w:rPr>
                <w:lang w:val="es-ES" w:eastAsia="zh-CN"/>
              </w:rPr>
              <w:t xml:space="preserve"> o </w:t>
            </w:r>
            <w:r w:rsidR="00B20F1E" w:rsidRPr="000D2717">
              <w:rPr>
                <w:lang w:val="es-ES" w:eastAsia="zh-CN"/>
              </w:rPr>
              <w:t>propuestas:</w:t>
            </w:r>
          </w:p>
          <w:p w14:paraId="38A317F3" w14:textId="57584F23" w:rsidR="00B20F1E" w:rsidRPr="000D2717" w:rsidRDefault="00446316" w:rsidP="00446316">
            <w:pPr>
              <w:pStyle w:val="Tabletext"/>
              <w:ind w:left="851" w:hanging="851"/>
              <w:rPr>
                <w:lang w:val="es-ES" w:eastAsia="zh-CN"/>
              </w:rPr>
            </w:pPr>
            <w:r>
              <w:rPr>
                <w:lang w:val="es-ES" w:eastAsia="zh-CN"/>
              </w:rPr>
              <w:tab/>
            </w:r>
            <w:r>
              <w:rPr>
                <w:lang w:val="es-ES" w:eastAsia="zh-CN"/>
              </w:rPr>
              <w:tab/>
            </w:r>
            <w:r w:rsidR="00B20F1E" w:rsidRPr="000D2717">
              <w:rPr>
                <w:lang w:val="es-ES" w:eastAsia="zh-CN"/>
              </w:rPr>
              <w:t>a)</w:t>
            </w:r>
            <w:r w:rsidR="00B20F1E" w:rsidRPr="000D2717">
              <w:rPr>
                <w:lang w:val="es-ES" w:eastAsia="zh-CN"/>
              </w:rPr>
              <w:tab/>
              <w:t xml:space="preserve">La Administración notificante de </w:t>
            </w:r>
            <w:r w:rsidR="00B20F1E">
              <w:rPr>
                <w:lang w:val="es-ES" w:eastAsia="zh-CN"/>
              </w:rPr>
              <w:t>utilizaciones</w:t>
            </w:r>
            <w:r w:rsidR="00B20F1E" w:rsidRPr="000D2717">
              <w:rPr>
                <w:lang w:val="es-ES" w:eastAsia="zh-CN"/>
              </w:rPr>
              <w:t xml:space="preserve"> adicional</w:t>
            </w:r>
            <w:r w:rsidR="00B20F1E">
              <w:rPr>
                <w:lang w:val="es-ES" w:eastAsia="zh-CN"/>
              </w:rPr>
              <w:t>es</w:t>
            </w:r>
            <w:r w:rsidR="00B20F1E" w:rsidRPr="000D2717">
              <w:rPr>
                <w:lang w:val="es-ES" w:eastAsia="zh-CN"/>
              </w:rPr>
              <w:t xml:space="preserve"> (asignaciones en la Lista </w:t>
            </w:r>
            <w:r w:rsidR="00B20F1E">
              <w:rPr>
                <w:lang w:val="es-ES" w:eastAsia="zh-CN"/>
              </w:rPr>
              <w:t>o</w:t>
            </w:r>
            <w:r w:rsidR="00B20F1E" w:rsidRPr="000D2717">
              <w:rPr>
                <w:lang w:val="es-ES" w:eastAsia="zh-CN"/>
              </w:rPr>
              <w:t xml:space="preserve"> redes pendientes </w:t>
            </w:r>
            <w:r w:rsidR="00B20F1E">
              <w:rPr>
                <w:lang w:val="es-ES" w:eastAsia="zh-CN"/>
              </w:rPr>
              <w:t>en relación con el</w:t>
            </w:r>
            <w:r w:rsidR="00B20F1E" w:rsidRPr="000D2717">
              <w:rPr>
                <w:lang w:val="es-ES" w:eastAsia="zh-CN"/>
              </w:rPr>
              <w:t xml:space="preserve"> Artículo </w:t>
            </w:r>
            <w:r w:rsidR="00B20F1E" w:rsidRPr="00446316">
              <w:rPr>
                <w:b/>
                <w:bCs/>
                <w:lang w:val="es-ES" w:eastAsia="zh-CN"/>
              </w:rPr>
              <w:t>4</w:t>
            </w:r>
            <w:r w:rsidR="00B20F1E" w:rsidRPr="000D2717">
              <w:rPr>
                <w:lang w:val="es-ES" w:eastAsia="zh-CN"/>
              </w:rPr>
              <w:t xml:space="preserve">) </w:t>
            </w:r>
            <w:r w:rsidR="00B20F1E">
              <w:rPr>
                <w:lang w:val="es-ES" w:eastAsia="zh-CN"/>
              </w:rPr>
              <w:t xml:space="preserve">aceptará la </w:t>
            </w:r>
            <w:r w:rsidR="00B20F1E" w:rsidRPr="000D2717">
              <w:rPr>
                <w:lang w:val="es-ES" w:eastAsia="zh-CN"/>
              </w:rPr>
              <w:t xml:space="preserve">posible interferencia producida a sus puntos de prueba situados dentro del contorno de ganancia de antena de </w:t>
            </w:r>
            <w:r w:rsidRPr="00446316">
              <w:rPr>
                <w:lang w:val="es-ES" w:eastAsia="zh-CN"/>
              </w:rPr>
              <w:t>–</w:t>
            </w:r>
            <w:r w:rsidR="00B20F1E" w:rsidRPr="000D2717">
              <w:rPr>
                <w:lang w:val="es-ES" w:eastAsia="zh-CN"/>
              </w:rPr>
              <w:t xml:space="preserve">3 dB </w:t>
            </w:r>
            <w:r w:rsidR="00B20F1E">
              <w:rPr>
                <w:lang w:val="es-ES" w:eastAsia="zh-CN"/>
              </w:rPr>
              <w:t>en relación con</w:t>
            </w:r>
            <w:r w:rsidR="00B20F1E" w:rsidRPr="000D2717">
              <w:rPr>
                <w:lang w:val="es-ES" w:eastAsia="zh-CN"/>
              </w:rPr>
              <w:t xml:space="preserve"> la </w:t>
            </w:r>
            <w:r w:rsidR="00B20F1E">
              <w:rPr>
                <w:lang w:val="es-ES" w:eastAsia="zh-CN"/>
              </w:rPr>
              <w:t xml:space="preserve">notificación de que se trate en </w:t>
            </w:r>
            <w:r w:rsidR="00B20F1E">
              <w:rPr>
                <w:lang w:val="es-ES" w:eastAsia="zh-CN"/>
              </w:rPr>
              <w:lastRenderedPageBreak/>
              <w:t>el marco de la</w:t>
            </w:r>
            <w:r w:rsidR="00B20F1E" w:rsidRPr="000D2717">
              <w:rPr>
                <w:lang w:val="es-ES" w:eastAsia="zh-CN"/>
              </w:rPr>
              <w:t xml:space="preserve"> Res.</w:t>
            </w:r>
            <w:r w:rsidR="00B20F1E">
              <w:rPr>
                <w:lang w:val="es-ES" w:eastAsia="zh-CN"/>
              </w:rPr>
              <w:t xml:space="preserve"> </w:t>
            </w:r>
            <w:r w:rsidR="00B20F1E" w:rsidRPr="00446316">
              <w:rPr>
                <w:b/>
                <w:bCs/>
                <w:lang w:val="es-ES" w:eastAsia="zh-CN"/>
              </w:rPr>
              <w:t>559</w:t>
            </w:r>
            <w:r w:rsidR="00B20F1E">
              <w:rPr>
                <w:lang w:val="es-ES" w:eastAsia="zh-CN"/>
              </w:rPr>
              <w:t>,</w:t>
            </w:r>
            <w:r w:rsidR="00B20F1E" w:rsidRPr="000D2717">
              <w:rPr>
                <w:lang w:val="es-ES" w:eastAsia="zh-CN"/>
              </w:rPr>
              <w:t xml:space="preserve"> </w:t>
            </w:r>
            <w:r w:rsidR="00B20F1E">
              <w:rPr>
                <w:lang w:val="es-ES" w:eastAsia="zh-CN"/>
              </w:rPr>
              <w:t>habida cuenta de que la</w:t>
            </w:r>
            <w:r w:rsidR="00B20F1E" w:rsidRPr="000D2717">
              <w:rPr>
                <w:lang w:val="es-ES" w:eastAsia="zh-CN"/>
              </w:rPr>
              <w:t xml:space="preserve"> elipse </w:t>
            </w:r>
            <w:r w:rsidR="00B20F1E">
              <w:rPr>
                <w:lang w:val="es-ES" w:eastAsia="zh-CN"/>
              </w:rPr>
              <w:t>sea</w:t>
            </w:r>
            <w:r w:rsidR="00B20F1E" w:rsidRPr="000D2717">
              <w:rPr>
                <w:lang w:val="es-ES" w:eastAsia="zh-CN"/>
              </w:rPr>
              <w:t xml:space="preserve"> </w:t>
            </w:r>
            <w:r w:rsidR="00B20F1E">
              <w:rPr>
                <w:lang w:val="es-ES" w:eastAsia="zh-CN"/>
              </w:rPr>
              <w:t>la</w:t>
            </w:r>
            <w:r w:rsidR="00B20F1E" w:rsidRPr="000D2717">
              <w:rPr>
                <w:lang w:val="es-ES" w:eastAsia="zh-CN"/>
              </w:rPr>
              <w:t xml:space="preserve"> mínim</w:t>
            </w:r>
            <w:r w:rsidR="00B20F1E">
              <w:rPr>
                <w:lang w:val="es-ES" w:eastAsia="zh-CN"/>
              </w:rPr>
              <w:t>a</w:t>
            </w:r>
            <w:r w:rsidR="00B20F1E" w:rsidRPr="000D2717">
              <w:rPr>
                <w:lang w:val="es-ES" w:eastAsia="zh-CN"/>
              </w:rPr>
              <w:t xml:space="preserve"> validad</w:t>
            </w:r>
            <w:r w:rsidR="00B20F1E">
              <w:rPr>
                <w:lang w:val="es-ES" w:eastAsia="zh-CN"/>
              </w:rPr>
              <w:t>a</w:t>
            </w:r>
            <w:r w:rsidR="00B20F1E" w:rsidRPr="000D2717">
              <w:rPr>
                <w:lang w:val="es-ES" w:eastAsia="zh-CN"/>
              </w:rPr>
              <w:t xml:space="preserve"> por la Oficina;</w:t>
            </w:r>
          </w:p>
          <w:p w14:paraId="63DA85F0" w14:textId="7FAA09CC" w:rsidR="00B20F1E" w:rsidRPr="000D2717" w:rsidRDefault="00446316" w:rsidP="00446316">
            <w:pPr>
              <w:pStyle w:val="Tabletext"/>
              <w:ind w:left="851" w:hanging="851"/>
              <w:rPr>
                <w:lang w:val="es-ES" w:eastAsia="zh-CN"/>
              </w:rPr>
            </w:pPr>
            <w:r>
              <w:rPr>
                <w:lang w:val="es-ES" w:eastAsia="zh-CN"/>
              </w:rPr>
              <w:tab/>
            </w:r>
            <w:r>
              <w:rPr>
                <w:lang w:val="es-ES" w:eastAsia="zh-CN"/>
              </w:rPr>
              <w:tab/>
            </w:r>
            <w:r w:rsidR="00B20F1E" w:rsidRPr="000D2717">
              <w:rPr>
                <w:lang w:val="es-ES" w:eastAsia="zh-CN"/>
              </w:rPr>
              <w:t>b)</w:t>
            </w:r>
            <w:r w:rsidR="00B20F1E" w:rsidRPr="000D2717">
              <w:rPr>
                <w:lang w:val="es-ES" w:eastAsia="zh-CN"/>
              </w:rPr>
              <w:tab/>
              <w:t xml:space="preserve">La Administración notificante de </w:t>
            </w:r>
            <w:r w:rsidR="00B20F1E">
              <w:rPr>
                <w:lang w:val="es-ES" w:eastAsia="zh-CN"/>
              </w:rPr>
              <w:t>utilizaciones</w:t>
            </w:r>
            <w:r w:rsidR="00B20F1E" w:rsidRPr="000D2717">
              <w:rPr>
                <w:lang w:val="es-ES" w:eastAsia="zh-CN"/>
              </w:rPr>
              <w:t xml:space="preserve"> adicional</w:t>
            </w:r>
            <w:r w:rsidR="00B20F1E">
              <w:rPr>
                <w:lang w:val="es-ES" w:eastAsia="zh-CN"/>
              </w:rPr>
              <w:t>es</w:t>
            </w:r>
            <w:r w:rsidR="00B20F1E" w:rsidRPr="000D2717">
              <w:rPr>
                <w:lang w:val="es-ES" w:eastAsia="zh-CN"/>
              </w:rPr>
              <w:t xml:space="preserve"> (asignaciones en la Lista </w:t>
            </w:r>
            <w:r w:rsidR="00B20F1E">
              <w:rPr>
                <w:lang w:val="es-ES" w:eastAsia="zh-CN"/>
              </w:rPr>
              <w:t>o</w:t>
            </w:r>
            <w:r w:rsidR="00B20F1E" w:rsidRPr="000D2717">
              <w:rPr>
                <w:lang w:val="es-ES" w:eastAsia="zh-CN"/>
              </w:rPr>
              <w:t xml:space="preserve"> redes pendientes </w:t>
            </w:r>
            <w:r w:rsidR="00B20F1E">
              <w:rPr>
                <w:lang w:val="es-ES" w:eastAsia="zh-CN"/>
              </w:rPr>
              <w:t>en relación con el</w:t>
            </w:r>
            <w:r w:rsidR="00B20F1E" w:rsidRPr="000D2717">
              <w:rPr>
                <w:lang w:val="es-ES" w:eastAsia="zh-CN"/>
              </w:rPr>
              <w:t xml:space="preserve"> Artículo </w:t>
            </w:r>
            <w:r w:rsidR="00B20F1E" w:rsidRPr="00446316">
              <w:rPr>
                <w:b/>
                <w:bCs/>
                <w:lang w:val="es-ES" w:eastAsia="zh-CN"/>
              </w:rPr>
              <w:t>4</w:t>
            </w:r>
            <w:r w:rsidR="00B20F1E" w:rsidRPr="000D2717">
              <w:rPr>
                <w:lang w:val="es-ES" w:eastAsia="zh-CN"/>
              </w:rPr>
              <w:t xml:space="preserve">) </w:t>
            </w:r>
            <w:r w:rsidR="00B20F1E">
              <w:rPr>
                <w:lang w:val="es-ES" w:eastAsia="zh-CN"/>
              </w:rPr>
              <w:t xml:space="preserve">aceptará la </w:t>
            </w:r>
            <w:r w:rsidR="00B20F1E" w:rsidRPr="000D2717">
              <w:rPr>
                <w:lang w:val="es-ES" w:eastAsia="zh-CN"/>
              </w:rPr>
              <w:t>posible interferencia producida a sus puntos de prueba</w:t>
            </w:r>
            <w:r w:rsidR="00B20F1E">
              <w:rPr>
                <w:lang w:val="es-ES" w:eastAsia="zh-CN"/>
              </w:rPr>
              <w:t xml:space="preserve"> </w:t>
            </w:r>
            <w:r w:rsidR="00B20F1E" w:rsidRPr="000D2717">
              <w:rPr>
                <w:lang w:val="es-ES" w:eastAsia="zh-CN"/>
              </w:rPr>
              <w:t xml:space="preserve">situados más allá del contorno de ganancia de antena de </w:t>
            </w:r>
            <w:r w:rsidRPr="00446316">
              <w:rPr>
                <w:lang w:val="es-ES" w:eastAsia="zh-CN"/>
              </w:rPr>
              <w:t>–</w:t>
            </w:r>
            <w:r w:rsidR="00B20F1E" w:rsidRPr="000D2717">
              <w:rPr>
                <w:lang w:val="es-ES" w:eastAsia="zh-CN"/>
              </w:rPr>
              <w:t xml:space="preserve">20 dB </w:t>
            </w:r>
            <w:r w:rsidR="00B20F1E">
              <w:rPr>
                <w:lang w:val="es-ES" w:eastAsia="zh-CN"/>
              </w:rPr>
              <w:t>en relación con</w:t>
            </w:r>
            <w:r w:rsidR="00B20F1E" w:rsidRPr="000D2717">
              <w:rPr>
                <w:lang w:val="es-ES" w:eastAsia="zh-CN"/>
              </w:rPr>
              <w:t xml:space="preserve"> la </w:t>
            </w:r>
            <w:r w:rsidR="00B20F1E">
              <w:rPr>
                <w:lang w:val="es-ES" w:eastAsia="zh-CN"/>
              </w:rPr>
              <w:t>notificación de que se trate en el marco de la</w:t>
            </w:r>
            <w:r w:rsidR="00B20F1E" w:rsidRPr="000D2717">
              <w:rPr>
                <w:lang w:val="es-ES" w:eastAsia="zh-CN"/>
              </w:rPr>
              <w:t xml:space="preserve"> Res.</w:t>
            </w:r>
            <w:r w:rsidR="00B20F1E">
              <w:rPr>
                <w:lang w:val="es-ES" w:eastAsia="zh-CN"/>
              </w:rPr>
              <w:t xml:space="preserve"> </w:t>
            </w:r>
            <w:r w:rsidR="00B20F1E" w:rsidRPr="000D2717">
              <w:rPr>
                <w:lang w:val="es-ES" w:eastAsia="zh-CN"/>
              </w:rPr>
              <w:t>559;</w:t>
            </w:r>
          </w:p>
          <w:p w14:paraId="51513F06" w14:textId="4E38B6DC" w:rsidR="00B20F1E" w:rsidRPr="000D2717" w:rsidRDefault="00446316" w:rsidP="00446316">
            <w:pPr>
              <w:pStyle w:val="Tabletext"/>
              <w:ind w:left="851" w:hanging="851"/>
              <w:rPr>
                <w:lang w:val="es-ES" w:eastAsia="zh-CN"/>
              </w:rPr>
            </w:pPr>
            <w:r>
              <w:rPr>
                <w:lang w:val="es-ES" w:eastAsia="zh-CN"/>
              </w:rPr>
              <w:tab/>
            </w:r>
            <w:r>
              <w:rPr>
                <w:lang w:val="es-ES" w:eastAsia="zh-CN"/>
              </w:rPr>
              <w:tab/>
            </w:r>
            <w:r w:rsidR="00B20F1E" w:rsidRPr="000D2717">
              <w:rPr>
                <w:lang w:val="es-ES" w:eastAsia="zh-CN"/>
              </w:rPr>
              <w:t>c)</w:t>
            </w:r>
            <w:r w:rsidR="00B20F1E" w:rsidRPr="000D2717">
              <w:rPr>
                <w:lang w:val="es-ES" w:eastAsia="zh-CN"/>
              </w:rPr>
              <w:tab/>
              <w:t>Si el margen de protección equivalente (</w:t>
            </w:r>
            <w:r w:rsidR="00B20F1E">
              <w:rPr>
                <w:lang w:val="es-ES" w:eastAsia="zh-CN"/>
              </w:rPr>
              <w:t>MPE</w:t>
            </w:r>
            <w:r w:rsidR="00B20F1E" w:rsidRPr="000D2717">
              <w:rPr>
                <w:lang w:val="es-ES" w:eastAsia="zh-CN"/>
              </w:rPr>
              <w:t xml:space="preserve">) de un punto de prueba de una red de </w:t>
            </w:r>
            <w:r w:rsidR="00B20F1E">
              <w:rPr>
                <w:lang w:val="es-ES" w:eastAsia="zh-CN"/>
              </w:rPr>
              <w:t>utilización</w:t>
            </w:r>
            <w:r w:rsidR="00B20F1E" w:rsidRPr="000D2717">
              <w:rPr>
                <w:lang w:val="es-ES" w:eastAsia="zh-CN"/>
              </w:rPr>
              <w:t xml:space="preserve"> adicional es inferior a </w:t>
            </w:r>
            <w:r w:rsidR="00833ED5" w:rsidRPr="00833ED5">
              <w:rPr>
                <w:lang w:val="es-ES" w:eastAsia="zh-CN"/>
              </w:rPr>
              <w:t>–</w:t>
            </w:r>
            <w:r w:rsidR="00B20F1E" w:rsidRPr="000D2717">
              <w:rPr>
                <w:lang w:val="es-ES" w:eastAsia="zh-CN"/>
              </w:rPr>
              <w:t xml:space="preserve">10 dB en el momento </w:t>
            </w:r>
            <w:r w:rsidR="00B20F1E">
              <w:rPr>
                <w:lang w:val="es-ES" w:eastAsia="zh-CN"/>
              </w:rPr>
              <w:t>en que</w:t>
            </w:r>
            <w:r w:rsidR="00B20F1E" w:rsidRPr="000D2717">
              <w:rPr>
                <w:lang w:val="es-ES" w:eastAsia="zh-CN"/>
              </w:rPr>
              <w:t xml:space="preserve"> la Oficina </w:t>
            </w:r>
            <w:r w:rsidR="00B20F1E">
              <w:rPr>
                <w:lang w:val="es-ES" w:eastAsia="zh-CN"/>
              </w:rPr>
              <w:t>examine</w:t>
            </w:r>
            <w:r w:rsidR="00B20F1E" w:rsidRPr="000D2717">
              <w:rPr>
                <w:lang w:val="es-ES" w:eastAsia="zh-CN"/>
              </w:rPr>
              <w:t xml:space="preserve"> la Parte A de las </w:t>
            </w:r>
            <w:r w:rsidR="00B20F1E">
              <w:rPr>
                <w:lang w:val="es-ES" w:eastAsia="zh-CN"/>
              </w:rPr>
              <w:t>notificaciones en el marco de la</w:t>
            </w:r>
            <w:r w:rsidR="00B20F1E" w:rsidRPr="000D2717">
              <w:rPr>
                <w:lang w:val="es-ES" w:eastAsia="zh-CN"/>
              </w:rPr>
              <w:t xml:space="preserve"> Res.</w:t>
            </w:r>
            <w:r w:rsidR="00B20F1E" w:rsidRPr="00446316">
              <w:rPr>
                <w:b/>
                <w:bCs/>
                <w:lang w:val="es-ES" w:eastAsia="zh-CN"/>
              </w:rPr>
              <w:t>559</w:t>
            </w:r>
            <w:r w:rsidR="00B20F1E" w:rsidRPr="000D2717">
              <w:rPr>
                <w:lang w:val="es-ES" w:eastAsia="zh-CN"/>
              </w:rPr>
              <w:t xml:space="preserve">, la Oficina no deberá tener en cuenta dicho punto de prueba al examinar la conclusión </w:t>
            </w:r>
            <w:r w:rsidR="00B20F1E">
              <w:rPr>
                <w:lang w:val="es-ES" w:eastAsia="zh-CN"/>
              </w:rPr>
              <w:t xml:space="preserve">relativa a </w:t>
            </w:r>
            <w:r w:rsidR="00B20F1E" w:rsidRPr="000D2717">
              <w:rPr>
                <w:lang w:val="es-ES" w:eastAsia="zh-CN"/>
              </w:rPr>
              <w:t xml:space="preserve">la </w:t>
            </w:r>
            <w:r w:rsidR="00B20F1E">
              <w:rPr>
                <w:lang w:val="es-ES" w:eastAsia="zh-CN"/>
              </w:rPr>
              <w:t>notificación de que se trate en el marco de la</w:t>
            </w:r>
            <w:r w:rsidR="00B20F1E" w:rsidRPr="000D2717">
              <w:rPr>
                <w:lang w:val="es-ES" w:eastAsia="zh-CN"/>
              </w:rPr>
              <w:t xml:space="preserve"> Res.</w:t>
            </w:r>
            <w:r>
              <w:rPr>
                <w:lang w:val="es-ES" w:eastAsia="zh-CN"/>
              </w:rPr>
              <w:t> </w:t>
            </w:r>
            <w:r w:rsidR="00B20F1E" w:rsidRPr="00446316">
              <w:rPr>
                <w:b/>
                <w:bCs/>
                <w:lang w:val="es-ES" w:eastAsia="zh-CN"/>
              </w:rPr>
              <w:t>559</w:t>
            </w:r>
            <w:r w:rsidR="00B20F1E" w:rsidRPr="000D2717">
              <w:rPr>
                <w:lang w:val="es-ES" w:eastAsia="zh-CN"/>
              </w:rPr>
              <w:t>;</w:t>
            </w:r>
          </w:p>
          <w:p w14:paraId="34EBA62B" w14:textId="1163A990" w:rsidR="00B20F1E" w:rsidRPr="000D2717" w:rsidRDefault="00446316" w:rsidP="00446316">
            <w:pPr>
              <w:pStyle w:val="Tabletext"/>
              <w:ind w:left="851" w:hanging="851"/>
              <w:rPr>
                <w:lang w:val="es-ES" w:eastAsia="zh-CN"/>
              </w:rPr>
            </w:pPr>
            <w:r>
              <w:rPr>
                <w:lang w:val="es-ES" w:eastAsia="zh-CN"/>
              </w:rPr>
              <w:tab/>
            </w:r>
            <w:r>
              <w:rPr>
                <w:lang w:val="es-ES" w:eastAsia="zh-CN"/>
              </w:rPr>
              <w:tab/>
            </w:r>
            <w:r w:rsidR="00B20F1E" w:rsidRPr="000D2717">
              <w:rPr>
                <w:lang w:val="es-ES" w:eastAsia="zh-CN"/>
              </w:rPr>
              <w:t>d)</w:t>
            </w:r>
            <w:r w:rsidR="00B20F1E" w:rsidRPr="000D2717">
              <w:rPr>
                <w:lang w:val="es-ES" w:eastAsia="zh-CN"/>
              </w:rPr>
              <w:tab/>
              <w:t>Se considera</w:t>
            </w:r>
            <w:r w:rsidR="00B20F1E">
              <w:rPr>
                <w:lang w:val="es-ES" w:eastAsia="zh-CN"/>
              </w:rPr>
              <w:t>rá</w:t>
            </w:r>
            <w:r w:rsidR="00B20F1E" w:rsidRPr="000D2717">
              <w:rPr>
                <w:lang w:val="es-ES" w:eastAsia="zh-CN"/>
              </w:rPr>
              <w:t xml:space="preserve"> que una coordinación se ha </w:t>
            </w:r>
            <w:r w:rsidR="00B20F1E">
              <w:rPr>
                <w:lang w:val="es-ES" w:eastAsia="zh-CN"/>
              </w:rPr>
              <w:t>llevado a cabo satisfactoriamente</w:t>
            </w:r>
            <w:r w:rsidR="00B20F1E" w:rsidRPr="000D2717">
              <w:rPr>
                <w:lang w:val="es-ES" w:eastAsia="zh-CN"/>
              </w:rPr>
              <w:t xml:space="preserve"> si la separación orbital nominal entre </w:t>
            </w:r>
            <w:r w:rsidR="00B20F1E">
              <w:rPr>
                <w:lang w:val="es-ES" w:eastAsia="zh-CN"/>
              </w:rPr>
              <w:t xml:space="preserve">la relativa a </w:t>
            </w:r>
            <w:r w:rsidR="00B20F1E" w:rsidRPr="000D2717">
              <w:rPr>
                <w:lang w:val="es-ES" w:eastAsia="zh-CN"/>
              </w:rPr>
              <w:t xml:space="preserve">una </w:t>
            </w:r>
            <w:r w:rsidR="00B20F1E">
              <w:rPr>
                <w:lang w:val="es-ES" w:eastAsia="zh-CN"/>
              </w:rPr>
              <w:t>notificación en el marco de la</w:t>
            </w:r>
            <w:r w:rsidR="00B20F1E" w:rsidRPr="000D2717">
              <w:rPr>
                <w:lang w:val="es-ES" w:eastAsia="zh-CN"/>
              </w:rPr>
              <w:t xml:space="preserve"> Res.</w:t>
            </w:r>
            <w:r>
              <w:rPr>
                <w:lang w:val="es-ES" w:eastAsia="zh-CN"/>
              </w:rPr>
              <w:t xml:space="preserve"> </w:t>
            </w:r>
            <w:r w:rsidR="00B20F1E" w:rsidRPr="00446316">
              <w:rPr>
                <w:b/>
                <w:bCs/>
                <w:lang w:val="es-ES" w:eastAsia="zh-CN"/>
              </w:rPr>
              <w:t>559</w:t>
            </w:r>
            <w:r w:rsidR="00B20F1E" w:rsidRPr="000D2717">
              <w:rPr>
                <w:lang w:val="es-ES" w:eastAsia="zh-CN"/>
              </w:rPr>
              <w:t xml:space="preserve"> y </w:t>
            </w:r>
            <w:r w:rsidR="00B20F1E">
              <w:rPr>
                <w:lang w:val="es-ES" w:eastAsia="zh-CN"/>
              </w:rPr>
              <w:t xml:space="preserve">la relativa a </w:t>
            </w:r>
            <w:r w:rsidR="00B20F1E" w:rsidRPr="000D2717">
              <w:rPr>
                <w:lang w:val="es-ES" w:eastAsia="zh-CN"/>
              </w:rPr>
              <w:t xml:space="preserve">una red de </w:t>
            </w:r>
            <w:r w:rsidR="00B20F1E">
              <w:rPr>
                <w:lang w:val="es-ES" w:eastAsia="zh-CN"/>
              </w:rPr>
              <w:t>utilización</w:t>
            </w:r>
            <w:r w:rsidR="00B20F1E" w:rsidRPr="000D2717">
              <w:rPr>
                <w:lang w:val="es-ES" w:eastAsia="zh-CN"/>
              </w:rPr>
              <w:t xml:space="preserve"> adicional es igual o superior a</w:t>
            </w:r>
            <w:r w:rsidR="00833ED5">
              <w:rPr>
                <w:lang w:val="es-ES" w:eastAsia="zh-CN"/>
              </w:rPr>
              <w:t> </w:t>
            </w:r>
            <w:r w:rsidR="00B20F1E" w:rsidRPr="000D2717">
              <w:rPr>
                <w:lang w:val="es-ES" w:eastAsia="zh-CN"/>
              </w:rPr>
              <w:t>6</w:t>
            </w:r>
            <w:r w:rsidR="00833ED5">
              <w:rPr>
                <w:lang w:val="es-ES" w:eastAsia="zh-CN"/>
              </w:rPr>
              <w:t> </w:t>
            </w:r>
            <w:r w:rsidR="00B20F1E" w:rsidRPr="000D2717">
              <w:rPr>
                <w:lang w:val="es-ES" w:eastAsia="zh-CN"/>
              </w:rPr>
              <w:t>grados.</w:t>
            </w:r>
          </w:p>
          <w:p w14:paraId="4F52830E" w14:textId="61E533C2" w:rsidR="00B20F1E" w:rsidRPr="000D2717" w:rsidRDefault="00446316" w:rsidP="008153B4">
            <w:pPr>
              <w:pStyle w:val="Tabletext"/>
              <w:ind w:left="567" w:hanging="567"/>
              <w:rPr>
                <w:lang w:val="es-ES" w:eastAsia="zh-CN"/>
              </w:rPr>
            </w:pPr>
            <w:r>
              <w:rPr>
                <w:lang w:val="es-ES" w:eastAsia="zh-CN"/>
              </w:rPr>
              <w:tab/>
            </w:r>
            <w:r w:rsidR="00B20F1E">
              <w:rPr>
                <w:lang w:val="es-ES" w:eastAsia="zh-CN"/>
              </w:rPr>
              <w:t>3</w:t>
            </w:r>
            <w:r w:rsidR="008153B4">
              <w:rPr>
                <w:lang w:val="es-ES" w:eastAsia="zh-CN"/>
              </w:rPr>
              <w:tab/>
            </w:r>
            <w:r w:rsidR="00B20F1E">
              <w:rPr>
                <w:lang w:val="es-ES" w:eastAsia="zh-CN"/>
              </w:rPr>
              <w:t>Con r</w:t>
            </w:r>
            <w:r w:rsidR="00B20F1E" w:rsidRPr="000D2717">
              <w:rPr>
                <w:lang w:val="es-ES" w:eastAsia="zh-CN"/>
              </w:rPr>
              <w:t xml:space="preserve">especto a los </w:t>
            </w:r>
            <w:r w:rsidR="00B20F1E">
              <w:rPr>
                <w:lang w:val="es-ES" w:eastAsia="zh-CN"/>
              </w:rPr>
              <w:t>demás</w:t>
            </w:r>
            <w:r w:rsidR="00B20F1E" w:rsidRPr="000D2717">
              <w:rPr>
                <w:lang w:val="es-ES" w:eastAsia="zh-CN"/>
              </w:rPr>
              <w:t xml:space="preserve"> casos de coordinación </w:t>
            </w:r>
            <w:r w:rsidR="00B20F1E">
              <w:rPr>
                <w:lang w:val="es-ES" w:eastAsia="zh-CN"/>
              </w:rPr>
              <w:t xml:space="preserve">con arreglo al </w:t>
            </w:r>
            <w:r w:rsidR="00B20F1E" w:rsidRPr="000D2717">
              <w:rPr>
                <w:lang w:val="es-ES" w:eastAsia="zh-CN"/>
              </w:rPr>
              <w:t>§</w:t>
            </w:r>
            <w:r w:rsidR="00833ED5">
              <w:rPr>
                <w:lang w:val="es-ES" w:eastAsia="zh-CN"/>
              </w:rPr>
              <w:t> </w:t>
            </w:r>
            <w:r w:rsidR="00B20F1E" w:rsidRPr="000D2717">
              <w:rPr>
                <w:lang w:val="es-ES" w:eastAsia="zh-CN"/>
              </w:rPr>
              <w:t xml:space="preserve">4.1.1 </w:t>
            </w:r>
            <w:r w:rsidR="00B20F1E">
              <w:rPr>
                <w:lang w:val="es-ES" w:eastAsia="zh-CN"/>
              </w:rPr>
              <w:t>e</w:t>
            </w:r>
            <w:r w:rsidR="00B20F1E" w:rsidRPr="000D2717">
              <w:rPr>
                <w:lang w:val="es-ES" w:eastAsia="zh-CN"/>
              </w:rPr>
              <w:t xml:space="preserve">) del Apéndice </w:t>
            </w:r>
            <w:r w:rsidR="00B20F1E" w:rsidRPr="008153B4">
              <w:rPr>
                <w:b/>
                <w:lang w:val="es-ES" w:eastAsia="zh-CN"/>
              </w:rPr>
              <w:t>30</w:t>
            </w:r>
            <w:r w:rsidR="00B20F1E" w:rsidRPr="000D2717">
              <w:rPr>
                <w:lang w:val="es-ES" w:eastAsia="zh-CN"/>
              </w:rPr>
              <w:t xml:space="preserve">, las Administraciones </w:t>
            </w:r>
            <w:r w:rsidR="00B20F1E">
              <w:rPr>
                <w:lang w:val="es-ES" w:eastAsia="zh-CN"/>
              </w:rPr>
              <w:t xml:space="preserve">notificantes propondrán </w:t>
            </w:r>
            <w:r w:rsidR="00B20F1E" w:rsidRPr="000D2717">
              <w:rPr>
                <w:lang w:val="es-ES" w:eastAsia="zh-CN"/>
              </w:rPr>
              <w:t>a la CMR-23 que apruebe las siguientes medidas</w:t>
            </w:r>
            <w:r w:rsidR="00B20F1E">
              <w:rPr>
                <w:lang w:val="es-ES" w:eastAsia="zh-CN"/>
              </w:rPr>
              <w:t xml:space="preserve"> o </w:t>
            </w:r>
            <w:r w:rsidR="00B20F1E" w:rsidRPr="000D2717">
              <w:rPr>
                <w:lang w:val="es-ES" w:eastAsia="zh-CN"/>
              </w:rPr>
              <w:t>propuestas:</w:t>
            </w:r>
          </w:p>
          <w:p w14:paraId="2B7A9C36" w14:textId="41EB7AD8" w:rsidR="00B20F1E" w:rsidRPr="000D2717" w:rsidRDefault="008153B4" w:rsidP="008153B4">
            <w:pPr>
              <w:pStyle w:val="Tabletext"/>
              <w:ind w:left="851" w:hanging="851"/>
              <w:rPr>
                <w:lang w:val="es-ES" w:eastAsia="zh-CN"/>
              </w:rPr>
            </w:pPr>
            <w:r>
              <w:rPr>
                <w:lang w:val="es-ES" w:eastAsia="zh-CN"/>
              </w:rPr>
              <w:tab/>
            </w:r>
            <w:r>
              <w:rPr>
                <w:lang w:val="es-ES" w:eastAsia="zh-CN"/>
              </w:rPr>
              <w:tab/>
            </w:r>
            <w:r w:rsidR="00B20F1E" w:rsidRPr="000D2717">
              <w:rPr>
                <w:lang w:val="es-ES" w:eastAsia="zh-CN"/>
              </w:rPr>
              <w:t>a)</w:t>
            </w:r>
            <w:r w:rsidR="00B20F1E" w:rsidRPr="000D2717">
              <w:rPr>
                <w:lang w:val="es-ES" w:eastAsia="zh-CN"/>
              </w:rPr>
              <w:tab/>
              <w:t>Se considera</w:t>
            </w:r>
            <w:r w:rsidR="00B20F1E">
              <w:rPr>
                <w:lang w:val="es-ES" w:eastAsia="zh-CN"/>
              </w:rPr>
              <w:t>rá</w:t>
            </w:r>
            <w:r w:rsidR="00B20F1E" w:rsidRPr="000D2717">
              <w:rPr>
                <w:lang w:val="es-ES" w:eastAsia="zh-CN"/>
              </w:rPr>
              <w:t xml:space="preserve"> que una coordinación se ha </w:t>
            </w:r>
            <w:r w:rsidR="00B20F1E">
              <w:rPr>
                <w:lang w:val="es-ES" w:eastAsia="zh-CN"/>
              </w:rPr>
              <w:t>llevado a cabo satisfactoriamente</w:t>
            </w:r>
            <w:r w:rsidR="00B20F1E" w:rsidRPr="000D2717">
              <w:rPr>
                <w:lang w:val="es-ES" w:eastAsia="zh-CN"/>
              </w:rPr>
              <w:t xml:space="preserve"> si la separación orbital nominal entre </w:t>
            </w:r>
            <w:r w:rsidR="00B20F1E">
              <w:rPr>
                <w:lang w:val="es-ES" w:eastAsia="zh-CN"/>
              </w:rPr>
              <w:t xml:space="preserve">la relativa a </w:t>
            </w:r>
            <w:r w:rsidR="00B20F1E" w:rsidRPr="000D2717">
              <w:rPr>
                <w:lang w:val="es-ES" w:eastAsia="zh-CN"/>
              </w:rPr>
              <w:t xml:space="preserve">una </w:t>
            </w:r>
            <w:r w:rsidR="00B20F1E">
              <w:rPr>
                <w:lang w:val="es-ES" w:eastAsia="zh-CN"/>
              </w:rPr>
              <w:t>notificación en el marco de la</w:t>
            </w:r>
            <w:r w:rsidR="00B20F1E" w:rsidRPr="000D2717">
              <w:rPr>
                <w:lang w:val="es-ES" w:eastAsia="zh-CN"/>
              </w:rPr>
              <w:t xml:space="preserve"> Res.</w:t>
            </w:r>
            <w:r>
              <w:rPr>
                <w:lang w:val="es-ES" w:eastAsia="zh-CN"/>
              </w:rPr>
              <w:t xml:space="preserve"> </w:t>
            </w:r>
            <w:r w:rsidR="00B20F1E" w:rsidRPr="008153B4">
              <w:rPr>
                <w:b/>
                <w:bCs/>
                <w:lang w:val="es-ES" w:eastAsia="zh-CN"/>
              </w:rPr>
              <w:t>559</w:t>
            </w:r>
            <w:r w:rsidR="00B20F1E" w:rsidRPr="000D2717">
              <w:rPr>
                <w:lang w:val="es-ES" w:eastAsia="zh-CN"/>
              </w:rPr>
              <w:t xml:space="preserve"> y </w:t>
            </w:r>
            <w:r w:rsidR="00B20F1E">
              <w:rPr>
                <w:lang w:val="es-ES" w:eastAsia="zh-CN"/>
              </w:rPr>
              <w:t xml:space="preserve">la relativa a </w:t>
            </w:r>
            <w:r w:rsidR="00B20F1E" w:rsidRPr="000D2717">
              <w:rPr>
                <w:lang w:val="es-ES" w:eastAsia="zh-CN"/>
              </w:rPr>
              <w:t xml:space="preserve">una red de </w:t>
            </w:r>
            <w:r w:rsidR="00B20F1E">
              <w:rPr>
                <w:lang w:val="es-ES" w:eastAsia="zh-CN"/>
              </w:rPr>
              <w:t>satélites no planificada</w:t>
            </w:r>
            <w:r w:rsidR="00B20F1E" w:rsidRPr="000D2717">
              <w:rPr>
                <w:lang w:val="es-ES" w:eastAsia="zh-CN"/>
              </w:rPr>
              <w:t xml:space="preserve"> es igual o superior </w:t>
            </w:r>
            <w:r w:rsidR="00B20F1E" w:rsidRPr="008153B4">
              <w:t>a</w:t>
            </w:r>
            <w:r>
              <w:t> </w:t>
            </w:r>
            <w:r w:rsidR="00B20F1E" w:rsidRPr="008153B4">
              <w:t>6</w:t>
            </w:r>
            <w:r w:rsidR="00B20F1E" w:rsidRPr="000D2717">
              <w:rPr>
                <w:lang w:val="es-ES" w:eastAsia="zh-CN"/>
              </w:rPr>
              <w:t xml:space="preserve"> grados;</w:t>
            </w:r>
          </w:p>
          <w:p w14:paraId="19C77B37" w14:textId="29CD04BF" w:rsidR="00B20F1E" w:rsidRPr="000D2717" w:rsidRDefault="008153B4" w:rsidP="008153B4">
            <w:pPr>
              <w:pStyle w:val="Tabletext"/>
              <w:ind w:left="851" w:hanging="851"/>
              <w:rPr>
                <w:lang w:val="es-ES" w:eastAsia="zh-CN"/>
              </w:rPr>
            </w:pPr>
            <w:r>
              <w:rPr>
                <w:lang w:val="es-ES" w:eastAsia="zh-CN"/>
              </w:rPr>
              <w:tab/>
            </w:r>
            <w:r>
              <w:rPr>
                <w:lang w:val="es-ES" w:eastAsia="zh-CN"/>
              </w:rPr>
              <w:tab/>
            </w:r>
            <w:r w:rsidR="00B20F1E" w:rsidRPr="000D2717">
              <w:rPr>
                <w:lang w:val="es-ES" w:eastAsia="zh-CN"/>
              </w:rPr>
              <w:t>b)</w:t>
            </w:r>
            <w:r>
              <w:rPr>
                <w:lang w:val="es-ES" w:eastAsia="zh-CN"/>
              </w:rPr>
              <w:tab/>
            </w:r>
            <w:r w:rsidR="00B20F1E" w:rsidRPr="000D2717">
              <w:rPr>
                <w:lang w:val="es-ES" w:eastAsia="zh-CN"/>
              </w:rPr>
              <w:t xml:space="preserve">La zona de servicio de una red de satélites no planificada que </w:t>
            </w:r>
            <w:r w:rsidR="00B20F1E">
              <w:rPr>
                <w:lang w:val="es-ES" w:eastAsia="zh-CN"/>
              </w:rPr>
              <w:t>ha de tenerse en cuenta</w:t>
            </w:r>
            <w:r w:rsidR="00B20F1E" w:rsidRPr="000D2717">
              <w:rPr>
                <w:lang w:val="es-ES" w:eastAsia="zh-CN"/>
              </w:rPr>
              <w:t xml:space="preserve"> deberá estar en tierra y situada dentro del contorno de ganancia de antena de </w:t>
            </w:r>
            <w:r w:rsidRPr="008153B4">
              <w:rPr>
                <w:lang w:val="es-ES" w:eastAsia="zh-CN"/>
              </w:rPr>
              <w:t>–</w:t>
            </w:r>
            <w:r w:rsidR="00B20F1E" w:rsidRPr="000D2717">
              <w:rPr>
                <w:lang w:val="es-ES" w:eastAsia="zh-CN"/>
              </w:rPr>
              <w:t xml:space="preserve">3 dB de dicha red de satélites no planificada, en lugar de la zona de servicio </w:t>
            </w:r>
            <w:r w:rsidR="00B20F1E">
              <w:rPr>
                <w:lang w:val="es-ES" w:eastAsia="zh-CN"/>
              </w:rPr>
              <w:t>notificada</w:t>
            </w:r>
            <w:r w:rsidR="00B20F1E" w:rsidRPr="000D2717">
              <w:rPr>
                <w:lang w:val="es-ES" w:eastAsia="zh-CN"/>
              </w:rPr>
              <w:t xml:space="preserve">, que puede incluir la zona con un contorno de ganancia de antena relativa muy baja. Cabe señalar que la red de satélites no planificada sólo protege </w:t>
            </w:r>
            <w:r w:rsidR="00B20F1E">
              <w:rPr>
                <w:lang w:val="es-ES" w:eastAsia="zh-CN"/>
              </w:rPr>
              <w:t>las notificaciones en el marco de la</w:t>
            </w:r>
            <w:r w:rsidR="00B20F1E" w:rsidRPr="000D2717">
              <w:rPr>
                <w:lang w:val="es-ES" w:eastAsia="zh-CN"/>
              </w:rPr>
              <w:t xml:space="preserve"> Res.</w:t>
            </w:r>
            <w:r>
              <w:rPr>
                <w:lang w:val="es-ES" w:eastAsia="zh-CN"/>
              </w:rPr>
              <w:t xml:space="preserve"> </w:t>
            </w:r>
            <w:r w:rsidR="00B20F1E" w:rsidRPr="008153B4">
              <w:rPr>
                <w:b/>
                <w:bCs/>
                <w:lang w:val="es-ES" w:eastAsia="zh-CN"/>
              </w:rPr>
              <w:t>559</w:t>
            </w:r>
            <w:r w:rsidR="00B20F1E" w:rsidRPr="000D2717">
              <w:rPr>
                <w:lang w:val="es-ES" w:eastAsia="zh-CN"/>
              </w:rPr>
              <w:t xml:space="preserve"> en una zona de servicio en tierra situada dentro de su contorno de ganancia de antena de </w:t>
            </w:r>
            <w:r w:rsidRPr="008153B4">
              <w:rPr>
                <w:lang w:val="es-ES" w:eastAsia="zh-CN"/>
              </w:rPr>
              <w:t>–</w:t>
            </w:r>
            <w:r w:rsidR="00B20F1E" w:rsidRPr="000D2717">
              <w:rPr>
                <w:lang w:val="es-ES" w:eastAsia="zh-CN"/>
              </w:rPr>
              <w:t>3 dB;</w:t>
            </w:r>
          </w:p>
          <w:p w14:paraId="14CEBE48" w14:textId="52EC3C9D" w:rsidR="00B20F1E" w:rsidRPr="000D2717" w:rsidRDefault="008153B4" w:rsidP="008153B4">
            <w:pPr>
              <w:pStyle w:val="Tabletext"/>
              <w:ind w:left="851" w:hanging="851"/>
              <w:rPr>
                <w:lang w:val="es-ES" w:eastAsia="zh-CN"/>
              </w:rPr>
            </w:pPr>
            <w:r>
              <w:rPr>
                <w:lang w:val="es-ES" w:eastAsia="zh-CN"/>
              </w:rPr>
              <w:tab/>
            </w:r>
            <w:r>
              <w:rPr>
                <w:lang w:val="es-ES" w:eastAsia="zh-CN"/>
              </w:rPr>
              <w:tab/>
            </w:r>
            <w:r w:rsidR="00B20F1E" w:rsidRPr="000D2717">
              <w:rPr>
                <w:lang w:val="es-ES" w:eastAsia="zh-CN"/>
              </w:rPr>
              <w:t>c)</w:t>
            </w:r>
            <w:r w:rsidR="00B20F1E" w:rsidRPr="000D2717">
              <w:rPr>
                <w:lang w:val="es-ES" w:eastAsia="zh-CN"/>
              </w:rPr>
              <w:tab/>
              <w:t xml:space="preserve">Si una Administración acuerda no proteger </w:t>
            </w:r>
            <w:r w:rsidR="00B20F1E">
              <w:rPr>
                <w:lang w:val="es-ES" w:eastAsia="zh-CN"/>
              </w:rPr>
              <w:t>una</w:t>
            </w:r>
            <w:r w:rsidR="00B20F1E" w:rsidRPr="000D2717">
              <w:rPr>
                <w:lang w:val="es-ES" w:eastAsia="zh-CN"/>
              </w:rPr>
              <w:t xml:space="preserve"> zona situada </w:t>
            </w:r>
            <w:r w:rsidR="00B20F1E">
              <w:rPr>
                <w:lang w:val="es-ES" w:eastAsia="zh-CN"/>
              </w:rPr>
              <w:t>en</w:t>
            </w:r>
            <w:r w:rsidR="00B20F1E" w:rsidRPr="000D2717">
              <w:rPr>
                <w:lang w:val="es-ES" w:eastAsia="zh-CN"/>
              </w:rPr>
              <w:t xml:space="preserve"> su territorio nacional, en la que se rebasa el límite de </w:t>
            </w:r>
            <w:proofErr w:type="spellStart"/>
            <w:r w:rsidR="00B20F1E" w:rsidRPr="000D2717">
              <w:rPr>
                <w:lang w:val="es-ES" w:eastAsia="zh-CN"/>
              </w:rPr>
              <w:t>dfp</w:t>
            </w:r>
            <w:proofErr w:type="spellEnd"/>
            <w:r w:rsidR="00B20F1E" w:rsidRPr="000D2717">
              <w:rPr>
                <w:lang w:val="es-ES" w:eastAsia="zh-CN"/>
              </w:rPr>
              <w:t xml:space="preserve"> (</w:t>
            </w:r>
            <w:r w:rsidR="00B20F1E">
              <w:rPr>
                <w:lang w:val="es-ES" w:eastAsia="zh-CN"/>
              </w:rPr>
              <w:t>d</w:t>
            </w:r>
            <w:r w:rsidR="00B20F1E" w:rsidRPr="00CE01DF">
              <w:rPr>
                <w:lang w:val="es-ES" w:eastAsia="zh-CN"/>
              </w:rPr>
              <w:t>ensidad de flujo de potencia</w:t>
            </w:r>
            <w:r w:rsidR="00B20F1E" w:rsidRPr="000D2717">
              <w:rPr>
                <w:lang w:val="es-ES" w:eastAsia="zh-CN"/>
              </w:rPr>
              <w:t xml:space="preserve">), la Oficina </w:t>
            </w:r>
            <w:r w:rsidR="00B20F1E">
              <w:rPr>
                <w:lang w:val="es-ES" w:eastAsia="zh-CN"/>
              </w:rPr>
              <w:t xml:space="preserve">no tendrá en cuenta </w:t>
            </w:r>
            <w:r w:rsidR="00B20F1E" w:rsidRPr="000D2717">
              <w:rPr>
                <w:lang w:val="es-ES" w:eastAsia="zh-CN"/>
              </w:rPr>
              <w:t>esa parte de la zona de servicio al examinar los</w:t>
            </w:r>
            <w:r w:rsidR="00B20F1E">
              <w:rPr>
                <w:lang w:val="es-ES" w:eastAsia="zh-CN"/>
              </w:rPr>
              <w:t xml:space="preserve"> demás</w:t>
            </w:r>
            <w:r w:rsidR="00B20F1E" w:rsidRPr="000D2717">
              <w:rPr>
                <w:lang w:val="es-ES" w:eastAsia="zh-CN"/>
              </w:rPr>
              <w:t xml:space="preserve"> requisitos de coordinación </w:t>
            </w:r>
            <w:r w:rsidR="00B20F1E">
              <w:rPr>
                <w:lang w:val="es-ES" w:eastAsia="zh-CN"/>
              </w:rPr>
              <w:t>relativos a</w:t>
            </w:r>
            <w:r w:rsidR="00B20F1E" w:rsidRPr="000D2717">
              <w:rPr>
                <w:lang w:val="es-ES" w:eastAsia="zh-CN"/>
              </w:rPr>
              <w:t xml:space="preserve"> una </w:t>
            </w:r>
            <w:r w:rsidR="00B20F1E">
              <w:rPr>
                <w:lang w:val="es-ES" w:eastAsia="zh-CN"/>
              </w:rPr>
              <w:t>notificación en el marco de la</w:t>
            </w:r>
            <w:r w:rsidR="00833ED5">
              <w:rPr>
                <w:lang w:val="es-ES" w:eastAsia="zh-CN"/>
              </w:rPr>
              <w:t> </w:t>
            </w:r>
            <w:r w:rsidR="00B20F1E" w:rsidRPr="000D2717">
              <w:rPr>
                <w:lang w:val="es-ES" w:eastAsia="zh-CN"/>
              </w:rPr>
              <w:t>Res.</w:t>
            </w:r>
            <w:r>
              <w:rPr>
                <w:lang w:val="es-ES" w:eastAsia="zh-CN"/>
              </w:rPr>
              <w:t xml:space="preserve"> </w:t>
            </w:r>
            <w:r w:rsidR="00B20F1E" w:rsidRPr="008153B4">
              <w:rPr>
                <w:b/>
                <w:bCs/>
                <w:lang w:val="es-ES" w:eastAsia="zh-CN"/>
              </w:rPr>
              <w:t>559</w:t>
            </w:r>
            <w:r w:rsidR="00B20F1E" w:rsidRPr="000D2717">
              <w:rPr>
                <w:lang w:val="es-ES" w:eastAsia="zh-CN"/>
              </w:rPr>
              <w:t>;</w:t>
            </w:r>
          </w:p>
          <w:p w14:paraId="5A6686B4" w14:textId="798F2DD2" w:rsidR="00B20F1E" w:rsidRPr="000D2717" w:rsidRDefault="008153B4" w:rsidP="008153B4">
            <w:pPr>
              <w:pStyle w:val="Tabletext"/>
              <w:ind w:left="851" w:hanging="851"/>
              <w:rPr>
                <w:lang w:val="es-ES" w:eastAsia="zh-CN"/>
              </w:rPr>
            </w:pPr>
            <w:r>
              <w:rPr>
                <w:lang w:val="es-ES" w:eastAsia="zh-CN"/>
              </w:rPr>
              <w:tab/>
            </w:r>
            <w:r>
              <w:rPr>
                <w:lang w:val="es-ES" w:eastAsia="zh-CN"/>
              </w:rPr>
              <w:tab/>
            </w:r>
            <w:r w:rsidR="00B20F1E" w:rsidRPr="000D2717">
              <w:rPr>
                <w:lang w:val="es-ES" w:eastAsia="zh-CN"/>
              </w:rPr>
              <w:t>d)</w:t>
            </w:r>
            <w:r w:rsidR="00B20F1E" w:rsidRPr="000D2717">
              <w:rPr>
                <w:lang w:val="es-ES" w:eastAsia="zh-CN"/>
              </w:rPr>
              <w:tab/>
            </w:r>
            <w:r w:rsidR="00B20F1E">
              <w:rPr>
                <w:lang w:val="es-ES" w:eastAsia="zh-CN"/>
              </w:rPr>
              <w:t>La</w:t>
            </w:r>
            <w:r w:rsidR="00B20F1E" w:rsidRPr="000D2717">
              <w:rPr>
                <w:lang w:val="es-ES" w:eastAsia="zh-CN"/>
              </w:rPr>
              <w:t xml:space="preserve"> Administración notificante de una red de satélite no planificada </w:t>
            </w:r>
            <w:r w:rsidR="00B20F1E">
              <w:rPr>
                <w:lang w:val="es-ES" w:eastAsia="zh-CN"/>
              </w:rPr>
              <w:t>aceptará</w:t>
            </w:r>
            <w:r w:rsidR="00B20F1E" w:rsidRPr="000D2717">
              <w:rPr>
                <w:lang w:val="es-ES" w:eastAsia="zh-CN"/>
              </w:rPr>
              <w:t xml:space="preserve"> la posible interferencia producida en su zona de servicio situada más allá del contorno de ganancia de antena de </w:t>
            </w:r>
            <w:r w:rsidRPr="008153B4">
              <w:rPr>
                <w:lang w:val="es-ES" w:eastAsia="zh-CN"/>
              </w:rPr>
              <w:t>–</w:t>
            </w:r>
            <w:r w:rsidR="00B20F1E" w:rsidRPr="000D2717">
              <w:rPr>
                <w:lang w:val="es-ES" w:eastAsia="zh-CN"/>
              </w:rPr>
              <w:t>20 dB</w:t>
            </w:r>
            <w:r w:rsidR="00B20F1E">
              <w:rPr>
                <w:lang w:val="es-ES" w:eastAsia="zh-CN"/>
              </w:rPr>
              <w:t>,</w:t>
            </w:r>
            <w:r w:rsidR="00B20F1E" w:rsidRPr="000D2717">
              <w:rPr>
                <w:lang w:val="es-ES" w:eastAsia="zh-CN"/>
              </w:rPr>
              <w:t xml:space="preserve"> </w:t>
            </w:r>
            <w:r w:rsidR="00B20F1E">
              <w:rPr>
                <w:lang w:val="es-ES" w:eastAsia="zh-CN"/>
              </w:rPr>
              <w:t>en relación con la notificación de que se trate en el marco de la</w:t>
            </w:r>
            <w:r w:rsidR="00B20F1E" w:rsidRPr="000D2717">
              <w:rPr>
                <w:lang w:val="es-ES" w:eastAsia="zh-CN"/>
              </w:rPr>
              <w:t xml:space="preserve"> Res.</w:t>
            </w:r>
            <w:r>
              <w:rPr>
                <w:lang w:val="es-ES" w:eastAsia="zh-CN"/>
              </w:rPr>
              <w:t xml:space="preserve"> </w:t>
            </w:r>
            <w:r w:rsidR="00B20F1E" w:rsidRPr="008153B4">
              <w:rPr>
                <w:b/>
                <w:bCs/>
                <w:lang w:val="es-ES" w:eastAsia="zh-CN"/>
              </w:rPr>
              <w:t>559</w:t>
            </w:r>
            <w:r w:rsidR="00B20F1E" w:rsidRPr="000D2717">
              <w:rPr>
                <w:lang w:val="es-ES" w:eastAsia="zh-CN"/>
              </w:rPr>
              <w:t>.</w:t>
            </w:r>
          </w:p>
          <w:p w14:paraId="2A4A8A39" w14:textId="128DEDA9" w:rsidR="00B20F1E" w:rsidRPr="000D2717" w:rsidRDefault="008153B4" w:rsidP="008153B4">
            <w:pPr>
              <w:pStyle w:val="Tabletext"/>
              <w:ind w:left="567" w:hanging="567"/>
              <w:rPr>
                <w:lang w:val="es-ES" w:eastAsia="zh-CN"/>
              </w:rPr>
            </w:pPr>
            <w:r>
              <w:rPr>
                <w:lang w:val="es-ES" w:eastAsia="zh-CN"/>
              </w:rPr>
              <w:tab/>
            </w:r>
            <w:r w:rsidR="00B20F1E" w:rsidRPr="000D2717">
              <w:rPr>
                <w:lang w:val="es-ES" w:eastAsia="zh-CN"/>
              </w:rPr>
              <w:t>4</w:t>
            </w:r>
            <w:r>
              <w:rPr>
                <w:lang w:val="es-ES" w:eastAsia="zh-CN"/>
              </w:rPr>
              <w:tab/>
            </w:r>
            <w:r w:rsidR="00B20F1E" w:rsidRPr="0094529B">
              <w:rPr>
                <w:color w:val="000000" w:themeColor="text1"/>
                <w:lang w:val="es-ES" w:eastAsia="zh-CN"/>
              </w:rPr>
              <w:t xml:space="preserve">Con respecto a </w:t>
            </w:r>
            <w:r w:rsidR="00B20F1E" w:rsidRPr="000D2717">
              <w:rPr>
                <w:lang w:val="es-ES" w:eastAsia="zh-CN"/>
              </w:rPr>
              <w:t xml:space="preserve">los </w:t>
            </w:r>
            <w:r w:rsidR="00B20F1E">
              <w:rPr>
                <w:lang w:val="es-ES" w:eastAsia="zh-CN"/>
              </w:rPr>
              <w:t xml:space="preserve">demás </w:t>
            </w:r>
            <w:r w:rsidR="00B20F1E" w:rsidRPr="000D2717">
              <w:rPr>
                <w:lang w:val="es-ES" w:eastAsia="zh-CN"/>
              </w:rPr>
              <w:t xml:space="preserve">casos de coordinación restantes en virtud del § 4.1.1 b) del Apéndice </w:t>
            </w:r>
            <w:r w:rsidR="00B20F1E" w:rsidRPr="008153B4">
              <w:rPr>
                <w:b/>
                <w:lang w:val="es-ES" w:eastAsia="zh-CN"/>
              </w:rPr>
              <w:t>30A</w:t>
            </w:r>
            <w:r w:rsidR="00B20F1E" w:rsidRPr="000D2717">
              <w:rPr>
                <w:lang w:val="es-ES" w:eastAsia="zh-CN"/>
              </w:rPr>
              <w:t xml:space="preserve">, las </w:t>
            </w:r>
            <w:r w:rsidR="00B20F1E">
              <w:rPr>
                <w:lang w:val="es-ES" w:eastAsia="zh-CN"/>
              </w:rPr>
              <w:t>a</w:t>
            </w:r>
            <w:r w:rsidR="00B20F1E" w:rsidRPr="000D2717">
              <w:rPr>
                <w:lang w:val="es-ES" w:eastAsia="zh-CN"/>
              </w:rPr>
              <w:t xml:space="preserve">dministraciones </w:t>
            </w:r>
            <w:r w:rsidR="00B20F1E">
              <w:rPr>
                <w:lang w:val="es-ES" w:eastAsia="zh-CN"/>
              </w:rPr>
              <w:t>notificantes</w:t>
            </w:r>
            <w:r w:rsidR="00B20F1E" w:rsidRPr="000D2717">
              <w:rPr>
                <w:lang w:val="es-ES" w:eastAsia="zh-CN"/>
              </w:rPr>
              <w:t xml:space="preserve"> proponen a la CMR-23 que apruebe que </w:t>
            </w:r>
            <w:r w:rsidR="00B20F1E">
              <w:rPr>
                <w:lang w:val="es-ES" w:eastAsia="zh-CN"/>
              </w:rPr>
              <w:t>dichos</w:t>
            </w:r>
            <w:r w:rsidR="00B20F1E" w:rsidRPr="000D2717">
              <w:rPr>
                <w:lang w:val="es-ES" w:eastAsia="zh-CN"/>
              </w:rPr>
              <w:t xml:space="preserve"> casos de coordinación se consideren </w:t>
            </w:r>
            <w:r w:rsidR="00B20F1E">
              <w:rPr>
                <w:lang w:val="es-ES" w:eastAsia="zh-CN"/>
              </w:rPr>
              <w:t>concluido</w:t>
            </w:r>
            <w:r w:rsidR="00B20F1E" w:rsidRPr="000D2717">
              <w:rPr>
                <w:lang w:val="es-ES" w:eastAsia="zh-CN"/>
              </w:rPr>
              <w:t xml:space="preserve"> </w:t>
            </w:r>
            <w:r w:rsidR="00B20F1E">
              <w:rPr>
                <w:lang w:val="es-ES" w:eastAsia="zh-CN"/>
              </w:rPr>
              <w:t>por los siguientes motivos:</w:t>
            </w:r>
          </w:p>
          <w:p w14:paraId="08A57697" w14:textId="4E94E420" w:rsidR="00B20F1E" w:rsidRPr="000D2717" w:rsidRDefault="008153B4" w:rsidP="008153B4">
            <w:pPr>
              <w:pStyle w:val="Tabletext"/>
              <w:ind w:left="851" w:hanging="851"/>
              <w:rPr>
                <w:lang w:val="es-ES" w:eastAsia="zh-CN"/>
              </w:rPr>
            </w:pPr>
            <w:r>
              <w:rPr>
                <w:lang w:val="es-ES" w:eastAsia="zh-CN"/>
              </w:rPr>
              <w:tab/>
            </w:r>
            <w:r>
              <w:rPr>
                <w:lang w:val="es-ES" w:eastAsia="zh-CN"/>
              </w:rPr>
              <w:tab/>
            </w:r>
            <w:r w:rsidR="00B20F1E" w:rsidRPr="000D2717">
              <w:rPr>
                <w:lang w:val="es-ES" w:eastAsia="zh-CN"/>
              </w:rPr>
              <w:t>a)</w:t>
            </w:r>
            <w:r w:rsidR="00B20F1E" w:rsidRPr="000D2717">
              <w:rPr>
                <w:lang w:val="es-ES" w:eastAsia="zh-CN"/>
              </w:rPr>
              <w:tab/>
              <w:t xml:space="preserve">Las redes de satélites </w:t>
            </w:r>
            <w:r w:rsidR="00B20F1E">
              <w:rPr>
                <w:lang w:val="es-ES" w:eastAsia="zh-CN"/>
              </w:rPr>
              <w:t>que se rigen por lo dispuesto en el</w:t>
            </w:r>
            <w:r w:rsidR="00B20F1E" w:rsidRPr="000D2717">
              <w:rPr>
                <w:lang w:val="es-ES" w:eastAsia="zh-CN"/>
              </w:rPr>
              <w:t xml:space="preserve"> Artículo</w:t>
            </w:r>
            <w:r>
              <w:rPr>
                <w:lang w:val="es-ES" w:eastAsia="zh-CN"/>
              </w:rPr>
              <w:t> </w:t>
            </w:r>
            <w:r w:rsidR="00B20F1E" w:rsidRPr="008153B4">
              <w:rPr>
                <w:b/>
                <w:bCs/>
                <w:lang w:val="es-ES" w:eastAsia="zh-CN"/>
              </w:rPr>
              <w:t>4</w:t>
            </w:r>
            <w:r w:rsidR="00B20F1E" w:rsidRPr="000D2717">
              <w:rPr>
                <w:lang w:val="es-ES" w:eastAsia="zh-CN"/>
              </w:rPr>
              <w:t xml:space="preserve"> </w:t>
            </w:r>
            <w:r w:rsidR="00B20F1E">
              <w:rPr>
                <w:lang w:val="es-ES" w:eastAsia="zh-CN"/>
              </w:rPr>
              <w:t>poseen</w:t>
            </w:r>
            <w:r w:rsidR="00B20F1E" w:rsidRPr="000D2717">
              <w:rPr>
                <w:lang w:val="es-ES" w:eastAsia="zh-CN"/>
              </w:rPr>
              <w:t xml:space="preserve"> una cobertura muy amplia </w:t>
            </w:r>
            <w:r w:rsidR="00B20F1E">
              <w:rPr>
                <w:lang w:val="es-ES" w:eastAsia="zh-CN"/>
              </w:rPr>
              <w:t>y</w:t>
            </w:r>
            <w:r w:rsidR="00B20F1E" w:rsidRPr="000D2717">
              <w:rPr>
                <w:lang w:val="es-ES" w:eastAsia="zh-CN"/>
              </w:rPr>
              <w:t xml:space="preserve"> </w:t>
            </w:r>
            <w:r w:rsidR="00B20F1E">
              <w:rPr>
                <w:lang w:val="es-ES" w:eastAsia="zh-CN"/>
              </w:rPr>
              <w:t xml:space="preserve">gran </w:t>
            </w:r>
            <w:r w:rsidR="00B20F1E" w:rsidRPr="000D2717">
              <w:rPr>
                <w:lang w:val="es-ES" w:eastAsia="zh-CN"/>
              </w:rPr>
              <w:t xml:space="preserve">sensibilidad de recepción en el territorio nacional de la Administración </w:t>
            </w:r>
            <w:r w:rsidR="00B20F1E">
              <w:rPr>
                <w:lang w:val="es-ES" w:eastAsia="zh-CN"/>
              </w:rPr>
              <w:t xml:space="preserve">de que se trate en el marco de la </w:t>
            </w:r>
            <w:r w:rsidR="00B20F1E" w:rsidRPr="000D2717">
              <w:rPr>
                <w:lang w:val="es-ES" w:eastAsia="zh-CN"/>
              </w:rPr>
              <w:t>Res.</w:t>
            </w:r>
            <w:r>
              <w:rPr>
                <w:lang w:val="es-ES" w:eastAsia="zh-CN"/>
              </w:rPr>
              <w:t xml:space="preserve"> </w:t>
            </w:r>
            <w:r w:rsidR="00B20F1E" w:rsidRPr="008153B4">
              <w:rPr>
                <w:b/>
                <w:bCs/>
                <w:lang w:val="es-ES" w:eastAsia="zh-CN"/>
              </w:rPr>
              <w:t>559</w:t>
            </w:r>
            <w:r w:rsidR="00B20F1E" w:rsidRPr="000D2717">
              <w:rPr>
                <w:lang w:val="es-ES" w:eastAsia="zh-CN"/>
              </w:rPr>
              <w:t>;</w:t>
            </w:r>
          </w:p>
          <w:p w14:paraId="4EC33614" w14:textId="5EA7634E" w:rsidR="00B20F1E" w:rsidRPr="000D2717" w:rsidRDefault="008153B4" w:rsidP="008153B4">
            <w:pPr>
              <w:pStyle w:val="Tabletext"/>
              <w:ind w:left="851" w:hanging="851"/>
              <w:rPr>
                <w:lang w:val="es-ES" w:eastAsia="zh-CN"/>
              </w:rPr>
            </w:pPr>
            <w:r>
              <w:rPr>
                <w:lang w:val="es-ES" w:eastAsia="zh-CN"/>
              </w:rPr>
              <w:lastRenderedPageBreak/>
              <w:tab/>
            </w:r>
            <w:r>
              <w:rPr>
                <w:lang w:val="es-ES" w:eastAsia="zh-CN"/>
              </w:rPr>
              <w:tab/>
            </w:r>
            <w:r w:rsidR="00B20F1E" w:rsidRPr="000D2717">
              <w:rPr>
                <w:lang w:val="es-ES" w:eastAsia="zh-CN"/>
              </w:rPr>
              <w:t>b)</w:t>
            </w:r>
            <w:r w:rsidR="00B20F1E" w:rsidRPr="000D2717">
              <w:rPr>
                <w:lang w:val="es-ES" w:eastAsia="zh-CN"/>
              </w:rPr>
              <w:tab/>
              <w:t xml:space="preserve">Las zonas de cobertura de </w:t>
            </w:r>
            <w:r w:rsidR="00B20F1E">
              <w:rPr>
                <w:lang w:val="es-ES" w:eastAsia="zh-CN"/>
              </w:rPr>
              <w:t xml:space="preserve">esas </w:t>
            </w:r>
            <w:r w:rsidR="00B20F1E" w:rsidRPr="000D2717">
              <w:rPr>
                <w:lang w:val="es-ES" w:eastAsia="zh-CN"/>
              </w:rPr>
              <w:t xml:space="preserve">redes de satélites </w:t>
            </w:r>
            <w:r w:rsidR="00B20F1E">
              <w:rPr>
                <w:lang w:val="es-ES" w:eastAsia="zh-CN"/>
              </w:rPr>
              <w:t>que se rigen por lo dispuesto en el</w:t>
            </w:r>
            <w:r w:rsidR="00B20F1E" w:rsidRPr="000D2717">
              <w:rPr>
                <w:lang w:val="es-ES" w:eastAsia="zh-CN"/>
              </w:rPr>
              <w:t xml:space="preserve"> Artículo </w:t>
            </w:r>
            <w:r w:rsidR="00B20F1E" w:rsidRPr="008153B4">
              <w:rPr>
                <w:b/>
                <w:bCs/>
                <w:lang w:val="es-ES" w:eastAsia="zh-CN"/>
              </w:rPr>
              <w:t>4</w:t>
            </w:r>
            <w:r w:rsidR="00B20F1E" w:rsidRPr="000D2717">
              <w:rPr>
                <w:lang w:val="es-ES" w:eastAsia="zh-CN"/>
              </w:rPr>
              <w:t xml:space="preserve"> se extienden mucho más allá del territorio nacional de las Administraciones notificantes, </w:t>
            </w:r>
            <w:r w:rsidR="00B20F1E">
              <w:rPr>
                <w:lang w:val="es-ES" w:eastAsia="zh-CN"/>
              </w:rPr>
              <w:t>al tiempo</w:t>
            </w:r>
            <w:r w:rsidR="00B20F1E" w:rsidRPr="000D2717">
              <w:rPr>
                <w:lang w:val="es-ES" w:eastAsia="zh-CN"/>
              </w:rPr>
              <w:t xml:space="preserve"> que las estaciones terrenas de enlace</w:t>
            </w:r>
            <w:r w:rsidR="00B20F1E">
              <w:rPr>
                <w:lang w:val="es-ES" w:eastAsia="zh-CN"/>
              </w:rPr>
              <w:t>s</w:t>
            </w:r>
            <w:r w:rsidR="00B20F1E" w:rsidRPr="000D2717">
              <w:rPr>
                <w:lang w:val="es-ES" w:eastAsia="zh-CN"/>
              </w:rPr>
              <w:t xml:space="preserve"> de </w:t>
            </w:r>
            <w:r w:rsidR="00B20F1E">
              <w:rPr>
                <w:lang w:val="es-ES" w:eastAsia="zh-CN"/>
              </w:rPr>
              <w:t>conexión</w:t>
            </w:r>
            <w:r w:rsidR="00B20F1E" w:rsidRPr="000D2717">
              <w:rPr>
                <w:lang w:val="es-ES" w:eastAsia="zh-CN"/>
              </w:rPr>
              <w:t xml:space="preserve"> </w:t>
            </w:r>
            <w:r w:rsidR="00B20F1E">
              <w:rPr>
                <w:lang w:val="es-ES" w:eastAsia="zh-CN"/>
              </w:rPr>
              <w:t>relativas a la notificación de que se trate en el marco de</w:t>
            </w:r>
            <w:r w:rsidR="00B20F1E" w:rsidRPr="000D2717">
              <w:rPr>
                <w:lang w:val="es-ES" w:eastAsia="zh-CN"/>
              </w:rPr>
              <w:t xml:space="preserve"> la Res.</w:t>
            </w:r>
            <w:r>
              <w:rPr>
                <w:lang w:val="es-ES" w:eastAsia="zh-CN"/>
              </w:rPr>
              <w:t> </w:t>
            </w:r>
            <w:r w:rsidR="00B20F1E" w:rsidRPr="008153B4">
              <w:rPr>
                <w:b/>
                <w:bCs/>
                <w:lang w:val="es-ES" w:eastAsia="zh-CN"/>
              </w:rPr>
              <w:t>559</w:t>
            </w:r>
            <w:r w:rsidR="00B20F1E" w:rsidRPr="000D2717">
              <w:rPr>
                <w:lang w:val="es-ES" w:eastAsia="zh-CN"/>
              </w:rPr>
              <w:t xml:space="preserve"> </w:t>
            </w:r>
            <w:r w:rsidR="00B20F1E">
              <w:rPr>
                <w:lang w:val="es-ES" w:eastAsia="zh-CN"/>
              </w:rPr>
              <w:t>únicamente se encuentran</w:t>
            </w:r>
            <w:r w:rsidR="00B20F1E" w:rsidRPr="000D2717">
              <w:rPr>
                <w:lang w:val="es-ES" w:eastAsia="zh-CN"/>
              </w:rPr>
              <w:t xml:space="preserve"> </w:t>
            </w:r>
            <w:r w:rsidR="00B20F1E">
              <w:rPr>
                <w:lang w:val="es-ES" w:eastAsia="zh-CN"/>
              </w:rPr>
              <w:t>en el</w:t>
            </w:r>
            <w:r w:rsidR="00B20F1E" w:rsidRPr="000D2717">
              <w:rPr>
                <w:lang w:val="es-ES" w:eastAsia="zh-CN"/>
              </w:rPr>
              <w:t xml:space="preserve"> territorio nacional</w:t>
            </w:r>
            <w:r w:rsidR="00B20F1E">
              <w:rPr>
                <w:lang w:val="es-ES" w:eastAsia="zh-CN"/>
              </w:rPr>
              <w:t>; en este caso, la cobertura</w:t>
            </w:r>
            <w:r w:rsidR="00B20F1E" w:rsidRPr="000D2717">
              <w:rPr>
                <w:lang w:val="es-ES" w:eastAsia="zh-CN"/>
              </w:rPr>
              <w:t xml:space="preserve"> no puede reducirse;</w:t>
            </w:r>
          </w:p>
          <w:p w14:paraId="31FE7216" w14:textId="5E24FD2B" w:rsidR="00B20F1E" w:rsidRPr="000D2717" w:rsidRDefault="008153B4" w:rsidP="008153B4">
            <w:pPr>
              <w:pStyle w:val="Tabletext"/>
              <w:ind w:left="851" w:hanging="851"/>
              <w:rPr>
                <w:lang w:val="es-ES" w:eastAsia="zh-CN"/>
              </w:rPr>
            </w:pPr>
            <w:r>
              <w:rPr>
                <w:lang w:val="es-ES" w:eastAsia="zh-CN"/>
              </w:rPr>
              <w:tab/>
            </w:r>
            <w:r>
              <w:rPr>
                <w:lang w:val="es-ES" w:eastAsia="zh-CN"/>
              </w:rPr>
              <w:tab/>
            </w:r>
            <w:r w:rsidR="00B20F1E" w:rsidRPr="000D2717">
              <w:rPr>
                <w:lang w:val="es-ES" w:eastAsia="zh-CN"/>
              </w:rPr>
              <w:t>c)</w:t>
            </w:r>
            <w:r w:rsidR="00B20F1E" w:rsidRPr="000D2717">
              <w:rPr>
                <w:lang w:val="es-ES" w:eastAsia="zh-CN"/>
              </w:rPr>
              <w:tab/>
            </w:r>
            <w:r w:rsidR="00B20F1E">
              <w:rPr>
                <w:lang w:val="es-ES" w:eastAsia="zh-CN"/>
              </w:rPr>
              <w:t>Lo dispuesto en el</w:t>
            </w:r>
            <w:r w:rsidR="00B20F1E" w:rsidRPr="000D2717">
              <w:rPr>
                <w:lang w:val="es-ES" w:eastAsia="zh-CN"/>
              </w:rPr>
              <w:t xml:space="preserve"> objetivo de la Resolución </w:t>
            </w:r>
            <w:r w:rsidR="00B20F1E" w:rsidRPr="008153B4">
              <w:rPr>
                <w:b/>
                <w:lang w:val="es-ES" w:eastAsia="zh-CN"/>
              </w:rPr>
              <w:t>2 (Rev.CMR-03)</w:t>
            </w:r>
            <w:r w:rsidR="00B20F1E" w:rsidRPr="000D2717">
              <w:rPr>
                <w:bCs/>
                <w:lang w:val="es-ES" w:eastAsia="zh-CN"/>
              </w:rPr>
              <w:t xml:space="preserve"> </w:t>
            </w:r>
            <w:r w:rsidR="00B20F1E" w:rsidRPr="000D2717">
              <w:rPr>
                <w:lang w:val="es-ES" w:eastAsia="zh-CN"/>
              </w:rPr>
              <w:t xml:space="preserve">y </w:t>
            </w:r>
            <w:r w:rsidR="00B20F1E">
              <w:rPr>
                <w:lang w:val="es-ES" w:eastAsia="zh-CN"/>
              </w:rPr>
              <w:t>d</w:t>
            </w:r>
            <w:r w:rsidR="00B20F1E" w:rsidRPr="000D2717">
              <w:rPr>
                <w:lang w:val="es-ES" w:eastAsia="zh-CN"/>
              </w:rPr>
              <w:t>el Tema F del punto 7 del orden del día de la CMR-23.</w:t>
            </w:r>
          </w:p>
          <w:p w14:paraId="096B8126" w14:textId="6321A78C" w:rsidR="00B20F1E" w:rsidRPr="000D2717" w:rsidRDefault="008153B4" w:rsidP="008153B4">
            <w:pPr>
              <w:pStyle w:val="Tabletext"/>
              <w:ind w:left="567" w:hanging="567"/>
              <w:rPr>
                <w:lang w:val="es-ES" w:eastAsia="zh-CN"/>
              </w:rPr>
            </w:pPr>
            <w:r>
              <w:rPr>
                <w:lang w:val="es-ES" w:eastAsia="zh-CN"/>
              </w:rPr>
              <w:tab/>
            </w:r>
            <w:r w:rsidR="00B20F1E" w:rsidRPr="000D2717">
              <w:rPr>
                <w:lang w:val="es-ES" w:eastAsia="zh-CN"/>
              </w:rPr>
              <w:t>5</w:t>
            </w:r>
            <w:r>
              <w:rPr>
                <w:lang w:val="es-ES" w:eastAsia="zh-CN"/>
              </w:rPr>
              <w:tab/>
            </w:r>
            <w:r w:rsidR="00B20F1E">
              <w:rPr>
                <w:lang w:val="es-ES" w:eastAsia="zh-CN"/>
              </w:rPr>
              <w:t>Con respecto</w:t>
            </w:r>
            <w:r w:rsidR="00B20F1E" w:rsidRPr="000D2717">
              <w:rPr>
                <w:lang w:val="es-ES" w:eastAsia="zh-CN"/>
              </w:rPr>
              <w:t xml:space="preserve"> a los </w:t>
            </w:r>
            <w:r w:rsidR="00B20F1E">
              <w:rPr>
                <w:lang w:val="es-ES" w:eastAsia="zh-CN"/>
              </w:rPr>
              <w:t>demás</w:t>
            </w:r>
            <w:r w:rsidR="00B20F1E" w:rsidRPr="000D2717">
              <w:rPr>
                <w:lang w:val="es-ES" w:eastAsia="zh-CN"/>
              </w:rPr>
              <w:t xml:space="preserve"> casos de coordinación </w:t>
            </w:r>
            <w:r w:rsidR="00B20F1E">
              <w:rPr>
                <w:lang w:val="es-ES" w:eastAsia="zh-CN"/>
              </w:rPr>
              <w:t>en virtud del</w:t>
            </w:r>
            <w:r w:rsidR="00B20F1E" w:rsidRPr="000D2717">
              <w:rPr>
                <w:lang w:val="es-ES" w:eastAsia="zh-CN"/>
              </w:rPr>
              <w:t xml:space="preserve"> §</w:t>
            </w:r>
            <w:r>
              <w:rPr>
                <w:lang w:val="es-ES" w:eastAsia="zh-CN"/>
              </w:rPr>
              <w:t> </w:t>
            </w:r>
            <w:r w:rsidR="00B20F1E" w:rsidRPr="000D2717">
              <w:rPr>
                <w:lang w:val="es-ES" w:eastAsia="zh-CN"/>
              </w:rPr>
              <w:t xml:space="preserve">4.1.1 a) de los Apéndices </w:t>
            </w:r>
            <w:r w:rsidR="00B20F1E" w:rsidRPr="008153B4">
              <w:rPr>
                <w:b/>
                <w:lang w:val="es-ES" w:eastAsia="zh-CN"/>
              </w:rPr>
              <w:t>30</w:t>
            </w:r>
            <w:r w:rsidR="00B20F1E" w:rsidRPr="000D2717">
              <w:rPr>
                <w:bCs/>
                <w:lang w:val="es-ES" w:eastAsia="zh-CN"/>
              </w:rPr>
              <w:t xml:space="preserve"> </w:t>
            </w:r>
            <w:r w:rsidR="00B20F1E" w:rsidRPr="000D2717">
              <w:rPr>
                <w:lang w:val="es-ES" w:eastAsia="zh-CN"/>
              </w:rPr>
              <w:t xml:space="preserve">y </w:t>
            </w:r>
            <w:r w:rsidR="00B20F1E" w:rsidRPr="008153B4">
              <w:rPr>
                <w:b/>
                <w:lang w:val="es-ES" w:eastAsia="zh-CN"/>
              </w:rPr>
              <w:t>30A</w:t>
            </w:r>
            <w:r w:rsidR="00B20F1E" w:rsidRPr="000D2717">
              <w:rPr>
                <w:lang w:val="es-ES" w:eastAsia="zh-CN"/>
              </w:rPr>
              <w:t xml:space="preserve">, las Administraciones </w:t>
            </w:r>
            <w:r w:rsidR="00B20F1E">
              <w:rPr>
                <w:lang w:val="es-ES" w:eastAsia="zh-CN"/>
              </w:rPr>
              <w:t>notificantes</w:t>
            </w:r>
            <w:r w:rsidR="00B20F1E" w:rsidRPr="000D2717">
              <w:rPr>
                <w:lang w:val="es-ES" w:eastAsia="zh-CN"/>
              </w:rPr>
              <w:t xml:space="preserve"> proponen a la CMR-23 que apruebe las siguientes medidas</w:t>
            </w:r>
            <w:r w:rsidR="00B20F1E">
              <w:rPr>
                <w:lang w:val="es-ES" w:eastAsia="zh-CN"/>
              </w:rPr>
              <w:t xml:space="preserve"> o </w:t>
            </w:r>
            <w:r w:rsidR="00B20F1E" w:rsidRPr="000D2717">
              <w:rPr>
                <w:lang w:val="es-ES" w:eastAsia="zh-CN"/>
              </w:rPr>
              <w:t>propuestas:</w:t>
            </w:r>
          </w:p>
          <w:p w14:paraId="7C464965" w14:textId="616CEDFF" w:rsidR="00B20F1E" w:rsidRPr="000D2717" w:rsidRDefault="008153B4" w:rsidP="008153B4">
            <w:pPr>
              <w:pStyle w:val="Tabletext"/>
              <w:ind w:left="851" w:hanging="851"/>
              <w:rPr>
                <w:lang w:val="es-ES" w:eastAsia="zh-CN"/>
              </w:rPr>
            </w:pPr>
            <w:r>
              <w:rPr>
                <w:lang w:val="es-ES" w:eastAsia="zh-CN"/>
              </w:rPr>
              <w:tab/>
            </w:r>
            <w:r>
              <w:rPr>
                <w:lang w:val="es-ES" w:eastAsia="zh-CN"/>
              </w:rPr>
              <w:tab/>
            </w:r>
            <w:r w:rsidR="00B20F1E" w:rsidRPr="000D2717">
              <w:rPr>
                <w:lang w:val="es-ES" w:eastAsia="zh-CN"/>
              </w:rPr>
              <w:t>a)</w:t>
            </w:r>
            <w:r w:rsidR="00B20F1E" w:rsidRPr="000D2717">
              <w:rPr>
                <w:lang w:val="es-ES" w:eastAsia="zh-CN"/>
              </w:rPr>
              <w:tab/>
            </w:r>
            <w:r w:rsidR="00B20F1E">
              <w:rPr>
                <w:lang w:val="es-ES" w:eastAsia="zh-CN"/>
              </w:rPr>
              <w:t>En el caso de</w:t>
            </w:r>
            <w:r w:rsidR="00B20F1E" w:rsidRPr="000D2717">
              <w:rPr>
                <w:lang w:val="es-ES" w:eastAsia="zh-CN"/>
              </w:rPr>
              <w:t xml:space="preserve"> </w:t>
            </w:r>
            <w:r w:rsidR="00B20F1E">
              <w:rPr>
                <w:lang w:val="es-ES" w:eastAsia="zh-CN"/>
              </w:rPr>
              <w:t xml:space="preserve">asignaciones </w:t>
            </w:r>
            <w:proofErr w:type="spellStart"/>
            <w:r w:rsidR="00B20F1E">
              <w:rPr>
                <w:lang w:val="es-ES" w:eastAsia="zh-CN"/>
              </w:rPr>
              <w:t>multihaz</w:t>
            </w:r>
            <w:proofErr w:type="spellEnd"/>
            <w:r w:rsidR="00B20F1E" w:rsidRPr="000D2717">
              <w:rPr>
                <w:lang w:val="es-ES" w:eastAsia="zh-CN"/>
              </w:rPr>
              <w:t xml:space="preserve"> al Plan, si los valores de </w:t>
            </w:r>
            <w:r w:rsidR="00B20F1E" w:rsidRPr="007D7EC9">
              <w:rPr>
                <w:i/>
                <w:iCs/>
                <w:lang w:val="es-ES" w:eastAsia="zh-CN"/>
              </w:rPr>
              <w:t>C/I</w:t>
            </w:r>
            <w:r w:rsidR="00B20F1E" w:rsidRPr="000D2717">
              <w:rPr>
                <w:lang w:val="es-ES" w:eastAsia="zh-CN"/>
              </w:rPr>
              <w:t xml:space="preserve"> de </w:t>
            </w:r>
            <w:r w:rsidR="00B20F1E">
              <w:rPr>
                <w:lang w:val="es-ES" w:eastAsia="zh-CN"/>
              </w:rPr>
              <w:t>una sola fuente</w:t>
            </w:r>
            <w:r w:rsidR="00B20F1E" w:rsidRPr="000D2717">
              <w:rPr>
                <w:lang w:val="es-ES" w:eastAsia="zh-CN"/>
              </w:rPr>
              <w:t xml:space="preserve"> </w:t>
            </w:r>
            <w:r w:rsidR="00B20F1E">
              <w:rPr>
                <w:lang w:val="es-ES" w:eastAsia="zh-CN"/>
              </w:rPr>
              <w:t>para el</w:t>
            </w:r>
            <w:r w:rsidR="00B20F1E" w:rsidRPr="000D2717">
              <w:rPr>
                <w:lang w:val="es-ES" w:eastAsia="zh-CN"/>
              </w:rPr>
              <w:t xml:space="preserve"> enlace descendente </w:t>
            </w:r>
            <w:r w:rsidR="00B20F1E">
              <w:rPr>
                <w:lang w:val="es-ES" w:eastAsia="zh-CN"/>
              </w:rPr>
              <w:t>rebasan</w:t>
            </w:r>
            <w:r w:rsidR="00B20F1E" w:rsidRPr="000D2717">
              <w:rPr>
                <w:lang w:val="es-ES" w:eastAsia="zh-CN"/>
              </w:rPr>
              <w:t xml:space="preserve"> 21 dB, excepto para un punto de prueba en el que </w:t>
            </w:r>
            <w:r w:rsidR="00B20F1E">
              <w:rPr>
                <w:lang w:val="es-ES" w:eastAsia="zh-CN"/>
              </w:rPr>
              <w:t>dicho valor de</w:t>
            </w:r>
            <w:r w:rsidR="00B20F1E" w:rsidRPr="000D2717">
              <w:rPr>
                <w:lang w:val="es-ES" w:eastAsia="zh-CN"/>
              </w:rPr>
              <w:t xml:space="preserve"> </w:t>
            </w:r>
            <w:r w:rsidR="00B20F1E" w:rsidRPr="00833ED5">
              <w:rPr>
                <w:i/>
                <w:iCs/>
                <w:lang w:val="es-ES" w:eastAsia="zh-CN"/>
              </w:rPr>
              <w:t>C/I</w:t>
            </w:r>
            <w:r w:rsidR="00B20F1E" w:rsidRPr="000D2717">
              <w:rPr>
                <w:lang w:val="es-ES" w:eastAsia="zh-CN"/>
              </w:rPr>
              <w:t xml:space="preserve"> de </w:t>
            </w:r>
            <w:r w:rsidR="00B20F1E">
              <w:rPr>
                <w:lang w:val="es-ES" w:eastAsia="zh-CN"/>
              </w:rPr>
              <w:t>una sola fuente</w:t>
            </w:r>
            <w:r w:rsidR="00B20F1E" w:rsidRPr="000D2717">
              <w:rPr>
                <w:lang w:val="es-ES" w:eastAsia="zh-CN"/>
              </w:rPr>
              <w:t xml:space="preserve"> es superior a 18 dB, las </w:t>
            </w:r>
            <w:r w:rsidR="00B20F1E">
              <w:rPr>
                <w:lang w:val="es-ES" w:eastAsia="zh-CN"/>
              </w:rPr>
              <w:t>notificaciones en el marco de la</w:t>
            </w:r>
            <w:r w:rsidR="00B20F1E" w:rsidRPr="000D2717">
              <w:rPr>
                <w:lang w:val="es-ES" w:eastAsia="zh-CN"/>
              </w:rPr>
              <w:t xml:space="preserve"> Res. </w:t>
            </w:r>
            <w:r w:rsidR="00B20F1E" w:rsidRPr="008153B4">
              <w:rPr>
                <w:b/>
                <w:bCs/>
                <w:lang w:val="es-ES" w:eastAsia="zh-CN"/>
              </w:rPr>
              <w:t>559</w:t>
            </w:r>
            <w:r w:rsidR="00B20F1E" w:rsidRPr="000D2717">
              <w:rPr>
                <w:lang w:val="es-ES" w:eastAsia="zh-CN"/>
              </w:rPr>
              <w:t xml:space="preserve"> y las correspondientes asignaciones de frecuencia</w:t>
            </w:r>
            <w:r w:rsidR="00B20F1E">
              <w:rPr>
                <w:lang w:val="es-ES" w:eastAsia="zh-CN"/>
              </w:rPr>
              <w:t>s del Plan</w:t>
            </w:r>
            <w:r w:rsidR="00B20F1E" w:rsidRPr="000D2717">
              <w:rPr>
                <w:lang w:val="es-ES" w:eastAsia="zh-CN"/>
              </w:rPr>
              <w:t xml:space="preserve"> </w:t>
            </w:r>
            <w:r w:rsidR="00B20F1E">
              <w:rPr>
                <w:lang w:val="es-ES" w:eastAsia="zh-CN"/>
              </w:rPr>
              <w:t>para</w:t>
            </w:r>
            <w:r w:rsidR="00B20F1E" w:rsidRPr="000D2717">
              <w:rPr>
                <w:lang w:val="es-ES" w:eastAsia="zh-CN"/>
              </w:rPr>
              <w:t xml:space="preserve"> las Regiones 1 y 3 se consideran compatibles.</w:t>
            </w:r>
            <w:r w:rsidR="00B20F1E">
              <w:rPr>
                <w:lang w:val="es-ES" w:eastAsia="zh-CN"/>
              </w:rPr>
              <w:t xml:space="preserve"> E</w:t>
            </w:r>
            <w:r w:rsidR="00B20F1E" w:rsidRPr="002259A9">
              <w:rPr>
                <w:lang w:val="es-ES" w:eastAsia="zh-CN"/>
              </w:rPr>
              <w:t xml:space="preserve">n relación con estos casos compatibles, a fin de conservar el mismo nivel de protección de las asignaciones de frecuencias del Plan </w:t>
            </w:r>
            <w:r w:rsidR="00B20F1E">
              <w:rPr>
                <w:lang w:val="es-ES" w:eastAsia="zh-CN"/>
              </w:rPr>
              <w:t>para</w:t>
            </w:r>
            <w:r w:rsidR="00B20F1E" w:rsidRPr="002259A9">
              <w:rPr>
                <w:lang w:val="es-ES" w:eastAsia="zh-CN"/>
              </w:rPr>
              <w:t xml:space="preserve"> las Regiones 1 y 3 correspondientes a las notificaciones recibidas con arreglo al Artículo </w:t>
            </w:r>
            <w:r w:rsidR="00B20F1E" w:rsidRPr="008153B4">
              <w:rPr>
                <w:b/>
                <w:bCs/>
                <w:lang w:val="es-ES" w:eastAsia="zh-CN"/>
              </w:rPr>
              <w:t>4</w:t>
            </w:r>
            <w:r w:rsidR="00B20F1E" w:rsidRPr="002259A9">
              <w:rPr>
                <w:lang w:val="es-ES" w:eastAsia="zh-CN"/>
              </w:rPr>
              <w:t xml:space="preserve">, no deberá actualizarse la situación de referencia de esas asignaciones de frecuencias del Plan </w:t>
            </w:r>
            <w:r w:rsidR="00B20F1E">
              <w:rPr>
                <w:lang w:val="es-ES" w:eastAsia="zh-CN"/>
              </w:rPr>
              <w:t>para</w:t>
            </w:r>
            <w:r w:rsidR="00B20F1E" w:rsidRPr="002259A9">
              <w:rPr>
                <w:lang w:val="es-ES" w:eastAsia="zh-CN"/>
              </w:rPr>
              <w:t xml:space="preserve"> las Regiones 1 y 3 si las asignaciones de frecuencias </w:t>
            </w:r>
            <w:r w:rsidR="00B20F1E">
              <w:rPr>
                <w:lang w:val="es-ES" w:eastAsia="zh-CN"/>
              </w:rPr>
              <w:t>en el marco de</w:t>
            </w:r>
            <w:r w:rsidR="00B20F1E" w:rsidRPr="002259A9">
              <w:rPr>
                <w:lang w:val="es-ES" w:eastAsia="zh-CN"/>
              </w:rPr>
              <w:t xml:space="preserve"> la Resolución </w:t>
            </w:r>
            <w:r w:rsidR="00B20F1E" w:rsidRPr="00833ED5">
              <w:rPr>
                <w:b/>
                <w:bCs/>
                <w:lang w:val="es-ES" w:eastAsia="zh-CN"/>
              </w:rPr>
              <w:t>559</w:t>
            </w:r>
            <w:r w:rsidR="00B20F1E" w:rsidRPr="002259A9">
              <w:rPr>
                <w:lang w:val="es-ES" w:eastAsia="zh-CN"/>
              </w:rPr>
              <w:t xml:space="preserve"> que figuran en la Lista se incluyen en los Planes</w:t>
            </w:r>
            <w:r w:rsidR="00B20F1E" w:rsidRPr="000D2717">
              <w:rPr>
                <w:lang w:val="es-ES" w:eastAsia="zh-CN"/>
              </w:rPr>
              <w:t>.</w:t>
            </w:r>
          </w:p>
          <w:p w14:paraId="2F7AA98B" w14:textId="27D3835F" w:rsidR="00B20F1E" w:rsidRPr="000D2717" w:rsidRDefault="008902B6" w:rsidP="008902B6">
            <w:pPr>
              <w:pStyle w:val="Tabletext"/>
              <w:ind w:left="851" w:hanging="851"/>
              <w:rPr>
                <w:lang w:val="es-ES" w:eastAsia="zh-CN"/>
              </w:rPr>
            </w:pPr>
            <w:r>
              <w:rPr>
                <w:lang w:val="es-ES" w:eastAsia="zh-CN"/>
              </w:rPr>
              <w:tab/>
            </w:r>
            <w:r>
              <w:rPr>
                <w:lang w:val="es-ES" w:eastAsia="zh-CN"/>
              </w:rPr>
              <w:tab/>
            </w:r>
            <w:r w:rsidR="00B20F1E" w:rsidRPr="000D2717">
              <w:rPr>
                <w:lang w:val="es-ES" w:eastAsia="zh-CN"/>
              </w:rPr>
              <w:t>b)</w:t>
            </w:r>
            <w:r w:rsidR="00B20F1E" w:rsidRPr="000D2717">
              <w:rPr>
                <w:lang w:val="es-ES" w:eastAsia="zh-CN"/>
              </w:rPr>
              <w:tab/>
            </w:r>
            <w:r w:rsidR="00B20F1E">
              <w:rPr>
                <w:lang w:val="es-ES" w:eastAsia="zh-CN"/>
              </w:rPr>
              <w:t>En el caso de</w:t>
            </w:r>
            <w:r w:rsidR="00B20F1E" w:rsidRPr="000D2717">
              <w:rPr>
                <w:lang w:val="es-ES" w:eastAsia="zh-CN"/>
              </w:rPr>
              <w:t xml:space="preserve"> asignaciones </w:t>
            </w:r>
            <w:proofErr w:type="spellStart"/>
            <w:r w:rsidR="00B20F1E">
              <w:rPr>
                <w:lang w:val="es-ES" w:eastAsia="zh-CN"/>
              </w:rPr>
              <w:t>multihaz</w:t>
            </w:r>
            <w:proofErr w:type="spellEnd"/>
            <w:r w:rsidR="00B20F1E">
              <w:rPr>
                <w:lang w:val="es-ES" w:eastAsia="zh-CN"/>
              </w:rPr>
              <w:t xml:space="preserve"> </w:t>
            </w:r>
            <w:r w:rsidR="00B20F1E" w:rsidRPr="000D2717">
              <w:rPr>
                <w:lang w:val="es-ES" w:eastAsia="zh-CN"/>
              </w:rPr>
              <w:t xml:space="preserve">al Plan, si los valores de </w:t>
            </w:r>
            <w:r w:rsidR="00B20F1E" w:rsidRPr="00833ED5">
              <w:rPr>
                <w:i/>
                <w:iCs/>
                <w:lang w:val="es-ES" w:eastAsia="zh-CN"/>
              </w:rPr>
              <w:t>C/I</w:t>
            </w:r>
            <w:r w:rsidR="00B20F1E" w:rsidRPr="000D2717">
              <w:rPr>
                <w:lang w:val="es-ES" w:eastAsia="zh-CN"/>
              </w:rPr>
              <w:t xml:space="preserve"> de </w:t>
            </w:r>
            <w:r w:rsidR="00B20F1E">
              <w:rPr>
                <w:lang w:val="es-ES" w:eastAsia="zh-CN"/>
              </w:rPr>
              <w:t>una sola fuente</w:t>
            </w:r>
            <w:r w:rsidR="00B20F1E" w:rsidRPr="000D2717">
              <w:rPr>
                <w:lang w:val="es-ES" w:eastAsia="zh-CN"/>
              </w:rPr>
              <w:t xml:space="preserve"> del enlace de conexión </w:t>
            </w:r>
            <w:r w:rsidR="00B20F1E">
              <w:rPr>
                <w:lang w:val="es-ES" w:eastAsia="zh-CN"/>
              </w:rPr>
              <w:t>rebasan</w:t>
            </w:r>
            <w:r w:rsidR="00B20F1E" w:rsidRPr="000D2717">
              <w:rPr>
                <w:lang w:val="es-ES" w:eastAsia="zh-CN"/>
              </w:rPr>
              <w:t xml:space="preserve"> 27 dB, las </w:t>
            </w:r>
            <w:r w:rsidR="00B20F1E">
              <w:rPr>
                <w:lang w:val="es-ES" w:eastAsia="zh-CN"/>
              </w:rPr>
              <w:t>notificaciones en el marco de</w:t>
            </w:r>
            <w:r w:rsidR="00B20F1E" w:rsidRPr="000D2717">
              <w:rPr>
                <w:lang w:val="es-ES" w:eastAsia="zh-CN"/>
              </w:rPr>
              <w:t xml:space="preserve"> la Res.</w:t>
            </w:r>
            <w:r w:rsidR="00833ED5">
              <w:rPr>
                <w:lang w:val="es-ES" w:eastAsia="zh-CN"/>
              </w:rPr>
              <w:t> </w:t>
            </w:r>
            <w:r w:rsidR="00B20F1E" w:rsidRPr="000D2717">
              <w:rPr>
                <w:lang w:val="es-ES" w:eastAsia="zh-CN"/>
              </w:rPr>
              <w:t>559 y las correspondientes asignaciones de frecuencia</w:t>
            </w:r>
            <w:r w:rsidR="00B20F1E">
              <w:rPr>
                <w:lang w:val="es-ES" w:eastAsia="zh-CN"/>
              </w:rPr>
              <w:t>s</w:t>
            </w:r>
            <w:r w:rsidR="00B20F1E" w:rsidRPr="000D2717">
              <w:rPr>
                <w:lang w:val="es-ES" w:eastAsia="zh-CN"/>
              </w:rPr>
              <w:t xml:space="preserve"> al Plan </w:t>
            </w:r>
            <w:r w:rsidR="00B20F1E">
              <w:rPr>
                <w:lang w:val="es-ES" w:eastAsia="zh-CN"/>
              </w:rPr>
              <w:t>para</w:t>
            </w:r>
            <w:r w:rsidR="00B20F1E" w:rsidRPr="000D2717">
              <w:rPr>
                <w:lang w:val="es-ES" w:eastAsia="zh-CN"/>
              </w:rPr>
              <w:t xml:space="preserve"> las Regiones 1 y 3 se consideran compatibles. </w:t>
            </w:r>
            <w:r w:rsidR="00B20F1E">
              <w:rPr>
                <w:lang w:val="es-ES" w:eastAsia="zh-CN"/>
              </w:rPr>
              <w:t>E</w:t>
            </w:r>
            <w:r w:rsidR="00B20F1E" w:rsidRPr="002259A9">
              <w:rPr>
                <w:lang w:val="es-ES" w:eastAsia="zh-CN"/>
              </w:rPr>
              <w:t xml:space="preserve">n relación con estos casos compatibles, a fin de conservar el mismo nivel de protección de las asignaciones de frecuencias del Plan </w:t>
            </w:r>
            <w:r w:rsidR="00B20F1E">
              <w:rPr>
                <w:lang w:val="es-ES" w:eastAsia="zh-CN"/>
              </w:rPr>
              <w:t>para</w:t>
            </w:r>
            <w:r w:rsidR="00B20F1E" w:rsidRPr="002259A9">
              <w:rPr>
                <w:lang w:val="es-ES" w:eastAsia="zh-CN"/>
              </w:rPr>
              <w:t xml:space="preserve"> las Regiones 1 y 3 correspondientes a las notificaciones recibidas con arreglo al Artículo </w:t>
            </w:r>
            <w:r w:rsidR="00B20F1E" w:rsidRPr="008902B6">
              <w:rPr>
                <w:b/>
                <w:bCs/>
                <w:lang w:val="es-ES" w:eastAsia="zh-CN"/>
              </w:rPr>
              <w:t>4</w:t>
            </w:r>
            <w:r w:rsidR="00B20F1E" w:rsidRPr="002259A9">
              <w:rPr>
                <w:lang w:val="es-ES" w:eastAsia="zh-CN"/>
              </w:rPr>
              <w:t xml:space="preserve">, no deberá actualizarse la situación de referencia de esas asignaciones de frecuencias del Plan </w:t>
            </w:r>
            <w:r w:rsidR="00B20F1E">
              <w:rPr>
                <w:lang w:val="es-ES" w:eastAsia="zh-CN"/>
              </w:rPr>
              <w:t>para</w:t>
            </w:r>
            <w:r w:rsidR="00B20F1E" w:rsidRPr="002259A9">
              <w:rPr>
                <w:lang w:val="es-ES" w:eastAsia="zh-CN"/>
              </w:rPr>
              <w:t xml:space="preserve"> las Regiones 1 y 3 si las asignaciones de frecuencias </w:t>
            </w:r>
            <w:r w:rsidR="00B20F1E">
              <w:rPr>
                <w:lang w:val="es-ES" w:eastAsia="zh-CN"/>
              </w:rPr>
              <w:t>en el marco de</w:t>
            </w:r>
            <w:r w:rsidR="00B20F1E" w:rsidRPr="002259A9">
              <w:rPr>
                <w:lang w:val="es-ES" w:eastAsia="zh-CN"/>
              </w:rPr>
              <w:t xml:space="preserve"> la Resolución</w:t>
            </w:r>
            <w:r>
              <w:rPr>
                <w:lang w:val="es-ES" w:eastAsia="zh-CN"/>
              </w:rPr>
              <w:t> </w:t>
            </w:r>
            <w:r w:rsidR="00B20F1E" w:rsidRPr="008902B6">
              <w:rPr>
                <w:b/>
                <w:bCs/>
                <w:lang w:val="es-ES" w:eastAsia="zh-CN"/>
              </w:rPr>
              <w:t>559</w:t>
            </w:r>
            <w:r w:rsidR="00B20F1E" w:rsidRPr="002259A9">
              <w:rPr>
                <w:lang w:val="es-ES" w:eastAsia="zh-CN"/>
              </w:rPr>
              <w:t xml:space="preserve"> que figuran en la Lista se incluyen en los Planes</w:t>
            </w:r>
            <w:r w:rsidR="00B20F1E" w:rsidRPr="000D2717">
              <w:rPr>
                <w:lang w:val="es-ES" w:eastAsia="zh-CN"/>
              </w:rPr>
              <w:t>.</w:t>
            </w:r>
          </w:p>
          <w:p w14:paraId="0FC70B19" w14:textId="5D9499B6" w:rsidR="00B20F1E" w:rsidRPr="000D2717" w:rsidRDefault="008902B6" w:rsidP="00446316">
            <w:pPr>
              <w:pStyle w:val="Tabletext"/>
              <w:rPr>
                <w:lang w:val="es-ES" w:eastAsia="zh-CN"/>
              </w:rPr>
            </w:pPr>
            <w:r>
              <w:rPr>
                <w:lang w:val="es-ES" w:eastAsia="zh-CN"/>
              </w:rPr>
              <w:tab/>
            </w:r>
            <w:r w:rsidR="00B20F1E" w:rsidRPr="000D2717">
              <w:rPr>
                <w:lang w:val="es-ES" w:eastAsia="zh-CN"/>
              </w:rPr>
              <w:t>6</w:t>
            </w:r>
            <w:r>
              <w:rPr>
                <w:lang w:val="es-ES" w:eastAsia="zh-CN"/>
              </w:rPr>
              <w:tab/>
            </w:r>
            <w:r w:rsidR="00B20F1E" w:rsidRPr="000D2717">
              <w:rPr>
                <w:lang w:val="es-ES" w:eastAsia="zh-CN"/>
              </w:rPr>
              <w:t xml:space="preserve">La </w:t>
            </w:r>
            <w:r w:rsidR="00B20F1E">
              <w:rPr>
                <w:lang w:val="es-ES" w:eastAsia="zh-CN"/>
              </w:rPr>
              <w:t xml:space="preserve">Oficina </w:t>
            </w:r>
            <w:r w:rsidR="00B20F1E" w:rsidRPr="000D2717">
              <w:rPr>
                <w:lang w:val="es-ES" w:eastAsia="zh-CN"/>
              </w:rPr>
              <w:t>deberá:</w:t>
            </w:r>
          </w:p>
          <w:p w14:paraId="62016A23" w14:textId="0619501D" w:rsidR="00B20F1E" w:rsidRPr="000D2717" w:rsidRDefault="008902B6" w:rsidP="008902B6">
            <w:pPr>
              <w:pStyle w:val="Tabletext"/>
              <w:ind w:left="851" w:hanging="851"/>
              <w:rPr>
                <w:lang w:val="es-ES" w:eastAsia="zh-CN"/>
              </w:rPr>
            </w:pPr>
            <w:r>
              <w:rPr>
                <w:lang w:val="es-ES" w:eastAsia="zh-CN"/>
              </w:rPr>
              <w:tab/>
            </w:r>
            <w:r>
              <w:rPr>
                <w:lang w:val="es-ES" w:eastAsia="zh-CN"/>
              </w:rPr>
              <w:tab/>
            </w:r>
            <w:r w:rsidR="00B20F1E" w:rsidRPr="000D2717">
              <w:rPr>
                <w:lang w:val="es-ES" w:eastAsia="zh-CN"/>
              </w:rPr>
              <w:t>a)</w:t>
            </w:r>
            <w:r w:rsidR="00B20F1E" w:rsidRPr="000D2717">
              <w:rPr>
                <w:lang w:val="es-ES" w:eastAsia="zh-CN"/>
              </w:rPr>
              <w:tab/>
            </w:r>
            <w:r w:rsidR="00B20F1E">
              <w:rPr>
                <w:lang w:val="es-ES" w:eastAsia="zh-CN"/>
              </w:rPr>
              <w:t>examinar</w:t>
            </w:r>
            <w:r w:rsidR="00B20F1E" w:rsidRPr="000D2717">
              <w:rPr>
                <w:lang w:val="es-ES" w:eastAsia="zh-CN"/>
              </w:rPr>
              <w:t xml:space="preserve"> la situación de </w:t>
            </w:r>
            <w:r w:rsidR="00B20F1E">
              <w:rPr>
                <w:lang w:val="es-ES" w:eastAsia="zh-CN"/>
              </w:rPr>
              <w:t>los demás c</w:t>
            </w:r>
            <w:r w:rsidR="00B20F1E" w:rsidRPr="000D2717">
              <w:rPr>
                <w:lang w:val="es-ES" w:eastAsia="zh-CN"/>
              </w:rPr>
              <w:t xml:space="preserve">asos de coordinación </w:t>
            </w:r>
            <w:r w:rsidR="00B20F1E">
              <w:rPr>
                <w:lang w:val="es-ES" w:eastAsia="zh-CN"/>
              </w:rPr>
              <w:t>sobre la base de</w:t>
            </w:r>
            <w:r w:rsidR="00B20F1E" w:rsidRPr="000D2717">
              <w:rPr>
                <w:lang w:val="es-ES" w:eastAsia="zh-CN"/>
              </w:rPr>
              <w:t xml:space="preserve"> todas las propuestas</w:t>
            </w:r>
            <w:r w:rsidR="00B20F1E">
              <w:rPr>
                <w:lang w:val="es-ES" w:eastAsia="zh-CN"/>
              </w:rPr>
              <w:t xml:space="preserve"> anteriormente</w:t>
            </w:r>
            <w:r w:rsidR="00B20F1E" w:rsidRPr="000D2717">
              <w:rPr>
                <w:lang w:val="es-ES" w:eastAsia="zh-CN"/>
              </w:rPr>
              <w:t xml:space="preserve"> mencionadas, incluidas las de la RRB y la BR. A este respecto, </w:t>
            </w:r>
            <w:r w:rsidR="00B20F1E">
              <w:rPr>
                <w:lang w:val="es-ES" w:eastAsia="zh-CN"/>
              </w:rPr>
              <w:t>para los demás</w:t>
            </w:r>
            <w:r w:rsidR="00B20F1E" w:rsidRPr="000D2717">
              <w:rPr>
                <w:lang w:val="es-ES" w:eastAsia="zh-CN"/>
              </w:rPr>
              <w:t xml:space="preserve"> casos de coordinación con arreglo al § 4.1.1 b) del Apéndice </w:t>
            </w:r>
            <w:r w:rsidR="00B20F1E" w:rsidRPr="008902B6">
              <w:rPr>
                <w:b/>
                <w:lang w:val="es-ES" w:eastAsia="zh-CN"/>
              </w:rPr>
              <w:t>30</w:t>
            </w:r>
            <w:r w:rsidR="00B20F1E" w:rsidRPr="000D2717">
              <w:rPr>
                <w:lang w:val="es-ES" w:eastAsia="zh-CN"/>
              </w:rPr>
              <w:t xml:space="preserve">, si tras tener en cuenta todas las propuestas mencionadas sólo queda un punto de prueba </w:t>
            </w:r>
            <w:r w:rsidR="00B20F1E">
              <w:rPr>
                <w:lang w:val="es-ES" w:eastAsia="zh-CN"/>
              </w:rPr>
              <w:t>posiblemente</w:t>
            </w:r>
            <w:r w:rsidR="00B20F1E" w:rsidRPr="000D2717">
              <w:rPr>
                <w:lang w:val="es-ES" w:eastAsia="zh-CN"/>
              </w:rPr>
              <w:t xml:space="preserve"> afectado, se considerará que la coordinación </w:t>
            </w:r>
            <w:r w:rsidR="00B20F1E">
              <w:rPr>
                <w:lang w:val="es-ES" w:eastAsia="zh-CN"/>
              </w:rPr>
              <w:t xml:space="preserve">se </w:t>
            </w:r>
            <w:r w:rsidR="00B20F1E" w:rsidRPr="000D2717">
              <w:rPr>
                <w:lang w:val="es-ES" w:eastAsia="zh-CN"/>
              </w:rPr>
              <w:t xml:space="preserve">ha </w:t>
            </w:r>
            <w:r w:rsidR="00B20F1E">
              <w:rPr>
                <w:lang w:val="es-ES" w:eastAsia="zh-CN"/>
              </w:rPr>
              <w:t>llevado a cabo</w:t>
            </w:r>
            <w:r w:rsidR="00B20F1E" w:rsidRPr="000D2717">
              <w:rPr>
                <w:lang w:val="es-ES" w:eastAsia="zh-CN"/>
              </w:rPr>
              <w:t>;</w:t>
            </w:r>
          </w:p>
          <w:p w14:paraId="6B51B96C" w14:textId="359C8749" w:rsidR="00B20F1E" w:rsidRPr="000D2717" w:rsidRDefault="008902B6" w:rsidP="008902B6">
            <w:pPr>
              <w:pStyle w:val="Tabletext"/>
              <w:ind w:left="851" w:hanging="851"/>
              <w:rPr>
                <w:lang w:val="es-ES" w:eastAsia="zh-CN"/>
              </w:rPr>
            </w:pPr>
            <w:r>
              <w:rPr>
                <w:lang w:val="es-ES" w:eastAsia="zh-CN"/>
              </w:rPr>
              <w:tab/>
            </w:r>
            <w:r>
              <w:rPr>
                <w:lang w:val="es-ES" w:eastAsia="zh-CN"/>
              </w:rPr>
              <w:tab/>
            </w:r>
            <w:r w:rsidR="00B20F1E" w:rsidRPr="000D2717">
              <w:rPr>
                <w:lang w:val="es-ES" w:eastAsia="zh-CN"/>
              </w:rPr>
              <w:t>b)</w:t>
            </w:r>
            <w:r>
              <w:rPr>
                <w:lang w:val="es-ES" w:eastAsia="zh-CN"/>
              </w:rPr>
              <w:tab/>
            </w:r>
            <w:r w:rsidR="00B20F1E" w:rsidRPr="000D2717">
              <w:rPr>
                <w:lang w:val="es-ES" w:eastAsia="zh-CN"/>
              </w:rPr>
              <w:t xml:space="preserve">aplicar todas las medidas </w:t>
            </w:r>
            <w:r w:rsidR="00B20F1E">
              <w:rPr>
                <w:lang w:val="es-ES" w:eastAsia="zh-CN"/>
              </w:rPr>
              <w:t>respaldas</w:t>
            </w:r>
            <w:r w:rsidR="00B20F1E" w:rsidRPr="000D2717">
              <w:rPr>
                <w:lang w:val="es-ES" w:eastAsia="zh-CN"/>
              </w:rPr>
              <w:t xml:space="preserve"> </w:t>
            </w:r>
            <w:r w:rsidR="00B20F1E">
              <w:rPr>
                <w:lang w:val="es-ES" w:eastAsia="zh-CN"/>
              </w:rPr>
              <w:t>en</w:t>
            </w:r>
            <w:r w:rsidR="00B20F1E" w:rsidRPr="000D2717">
              <w:rPr>
                <w:lang w:val="es-ES" w:eastAsia="zh-CN"/>
              </w:rPr>
              <w:t xml:space="preserve"> la CMR-23 a las </w:t>
            </w:r>
            <w:r w:rsidR="00B20F1E">
              <w:rPr>
                <w:lang w:val="es-ES" w:eastAsia="zh-CN"/>
              </w:rPr>
              <w:t>notificaciones en el marco</w:t>
            </w:r>
            <w:r w:rsidR="00B20F1E" w:rsidRPr="000D2717">
              <w:rPr>
                <w:lang w:val="es-ES" w:eastAsia="zh-CN"/>
              </w:rPr>
              <w:t xml:space="preserve"> de la Res.</w:t>
            </w:r>
            <w:r>
              <w:rPr>
                <w:lang w:val="es-ES" w:eastAsia="zh-CN"/>
              </w:rPr>
              <w:t xml:space="preserve"> </w:t>
            </w:r>
            <w:r w:rsidR="00B20F1E" w:rsidRPr="008902B6">
              <w:rPr>
                <w:b/>
                <w:bCs/>
                <w:lang w:val="es-ES" w:eastAsia="zh-CN"/>
              </w:rPr>
              <w:t>559</w:t>
            </w:r>
            <w:r w:rsidR="00B20F1E" w:rsidRPr="000D2717">
              <w:rPr>
                <w:lang w:val="es-ES" w:eastAsia="zh-CN"/>
              </w:rPr>
              <w:t xml:space="preserve"> de las Administraciones de AFG, GNE, MLT y SEY y a futuras </w:t>
            </w:r>
            <w:r w:rsidR="00B20F1E">
              <w:rPr>
                <w:lang w:val="es-ES" w:eastAsia="zh-CN"/>
              </w:rPr>
              <w:t>solicitudes con arreglo al</w:t>
            </w:r>
            <w:r w:rsidR="00B20F1E" w:rsidRPr="000D2717">
              <w:rPr>
                <w:lang w:val="es-ES" w:eastAsia="zh-CN"/>
              </w:rPr>
              <w:t xml:space="preserve"> § 4.1.26 o </w:t>
            </w:r>
            <w:r w:rsidR="00B20F1E">
              <w:rPr>
                <w:lang w:val="es-ES" w:eastAsia="zh-CN"/>
              </w:rPr>
              <w:t xml:space="preserve">al </w:t>
            </w:r>
            <w:r w:rsidR="00B20F1E" w:rsidRPr="000D2717">
              <w:rPr>
                <w:lang w:val="es-ES" w:eastAsia="zh-CN"/>
              </w:rPr>
              <w:t>§ 4.1.27 del Artículo</w:t>
            </w:r>
            <w:r w:rsidR="00B20F1E" w:rsidRPr="00833ED5">
              <w:rPr>
                <w:lang w:val="es-ES" w:eastAsia="zh-CN"/>
              </w:rPr>
              <w:t xml:space="preserve"> 4</w:t>
            </w:r>
            <w:r w:rsidR="00B20F1E" w:rsidRPr="000D2717">
              <w:rPr>
                <w:lang w:val="es-ES" w:eastAsia="zh-CN"/>
              </w:rPr>
              <w:t xml:space="preserve"> de los Apéndices </w:t>
            </w:r>
            <w:r w:rsidR="00B20F1E" w:rsidRPr="008902B6">
              <w:rPr>
                <w:b/>
                <w:lang w:val="es-ES" w:eastAsia="zh-CN"/>
              </w:rPr>
              <w:t>30</w:t>
            </w:r>
            <w:r w:rsidR="00B20F1E" w:rsidRPr="000D2717">
              <w:rPr>
                <w:bCs/>
                <w:lang w:val="es-ES" w:eastAsia="zh-CN"/>
              </w:rPr>
              <w:t xml:space="preserve"> </w:t>
            </w:r>
            <w:r w:rsidR="00B20F1E" w:rsidRPr="000D2717">
              <w:rPr>
                <w:lang w:val="es-ES" w:eastAsia="zh-CN"/>
              </w:rPr>
              <w:t xml:space="preserve">y </w:t>
            </w:r>
            <w:r w:rsidR="00B20F1E" w:rsidRPr="008902B6">
              <w:rPr>
                <w:b/>
                <w:lang w:val="es-ES" w:eastAsia="zh-CN"/>
              </w:rPr>
              <w:t>30A</w:t>
            </w:r>
            <w:r w:rsidR="00B20F1E" w:rsidRPr="000D2717">
              <w:rPr>
                <w:lang w:val="es-ES" w:eastAsia="zh-CN"/>
              </w:rPr>
              <w:t xml:space="preserve">, </w:t>
            </w:r>
            <w:r w:rsidR="00B20F1E">
              <w:rPr>
                <w:lang w:val="es-ES" w:eastAsia="zh-CN"/>
              </w:rPr>
              <w:t>de carácter análogo a la</w:t>
            </w:r>
            <w:r w:rsidR="00B20F1E" w:rsidRPr="000D2717">
              <w:rPr>
                <w:lang w:val="es-ES" w:eastAsia="zh-CN"/>
              </w:rPr>
              <w:t xml:space="preserve"> Resolución </w:t>
            </w:r>
            <w:r w:rsidR="00B20F1E" w:rsidRPr="008902B6">
              <w:rPr>
                <w:b/>
                <w:lang w:val="es-ES" w:eastAsia="zh-CN"/>
              </w:rPr>
              <w:t>559 (CMR-19)</w:t>
            </w:r>
            <w:r w:rsidR="00B20F1E" w:rsidRPr="000D2717">
              <w:rPr>
                <w:lang w:val="es-ES" w:eastAsia="zh-CN"/>
              </w:rPr>
              <w:t>.</w:t>
            </w:r>
          </w:p>
          <w:p w14:paraId="394355FA" w14:textId="77777777" w:rsidR="00B20F1E" w:rsidRPr="000D2717" w:rsidRDefault="00B20F1E" w:rsidP="00446316">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67462778" w14:textId="77777777" w:rsidR="00B20F1E" w:rsidRPr="008902B6" w:rsidRDefault="00B20F1E" w:rsidP="00446316">
            <w:pPr>
              <w:pStyle w:val="Tabletext"/>
              <w:rPr>
                <w:rFonts w:eastAsia="Calibri"/>
                <w:b/>
                <w:bCs/>
                <w:i/>
                <w:iCs/>
                <w:lang w:val="es-ES"/>
              </w:rPr>
            </w:pPr>
            <w:r w:rsidRPr="008902B6">
              <w:rPr>
                <w:rFonts w:eastAsia="Calibri"/>
                <w:b/>
                <w:bCs/>
                <w:i/>
                <w:iCs/>
                <w:lang w:val="es-ES"/>
              </w:rPr>
              <w:t>Solicitar a las administraciones de la UAT que:</w:t>
            </w:r>
          </w:p>
          <w:p w14:paraId="096503A9" w14:textId="7863AD59" w:rsidR="00B20F1E" w:rsidRPr="000D2717" w:rsidRDefault="008902B6" w:rsidP="008902B6">
            <w:pPr>
              <w:pStyle w:val="Tabletext"/>
              <w:ind w:left="284" w:hanging="284"/>
              <w:rPr>
                <w:rFonts w:eastAsia="Calibri"/>
                <w:lang w:val="es-ES"/>
              </w:rPr>
            </w:pPr>
            <w:r>
              <w:rPr>
                <w:rFonts w:eastAsia="Calibri"/>
                <w:bCs/>
                <w:lang w:val="es-ES"/>
              </w:rPr>
              <w:t>1</w:t>
            </w:r>
            <w:r>
              <w:rPr>
                <w:rFonts w:eastAsia="Calibri"/>
                <w:bCs/>
                <w:lang w:val="es-ES"/>
              </w:rPr>
              <w:tab/>
            </w:r>
            <w:r w:rsidR="00B20F1E" w:rsidRPr="008902B6">
              <w:rPr>
                <w:rFonts w:eastAsia="Calibri"/>
                <w:b/>
                <w:lang w:val="es-ES"/>
              </w:rPr>
              <w:t>Tomen nota</w:t>
            </w:r>
            <w:r w:rsidR="00B20F1E">
              <w:rPr>
                <w:rFonts w:eastAsia="Calibri"/>
                <w:lang w:val="es-ES"/>
              </w:rPr>
              <w:t xml:space="preserve"> de que el</w:t>
            </w:r>
            <w:r w:rsidR="00B20F1E" w:rsidRPr="000D2717">
              <w:rPr>
                <w:rFonts w:eastAsia="Calibri"/>
                <w:lang w:val="es-ES"/>
              </w:rPr>
              <w:t xml:space="preserve"> Director de la Oficina de Radiocomunicaciones </w:t>
            </w:r>
            <w:r w:rsidR="00B20F1E">
              <w:rPr>
                <w:rFonts w:eastAsia="Calibri"/>
                <w:lang w:val="es-ES"/>
              </w:rPr>
              <w:t>elaborará</w:t>
            </w:r>
            <w:r w:rsidR="00B20F1E" w:rsidRPr="000D2717">
              <w:rPr>
                <w:rFonts w:eastAsia="Calibri"/>
                <w:lang w:val="es-ES"/>
              </w:rPr>
              <w:t xml:space="preserve"> un informe que se publicará </w:t>
            </w:r>
            <w:r w:rsidR="00B20F1E">
              <w:rPr>
                <w:rFonts w:eastAsia="Calibri"/>
                <w:lang w:val="es-ES"/>
              </w:rPr>
              <w:t>varios</w:t>
            </w:r>
            <w:r w:rsidR="00B20F1E" w:rsidRPr="000D2717">
              <w:rPr>
                <w:rFonts w:eastAsia="Calibri"/>
                <w:lang w:val="es-ES"/>
              </w:rPr>
              <w:t xml:space="preserve"> meses antes de la</w:t>
            </w:r>
            <w:r>
              <w:rPr>
                <w:rFonts w:eastAsia="Calibri"/>
                <w:lang w:val="es-ES"/>
              </w:rPr>
              <w:t> </w:t>
            </w:r>
            <w:r w:rsidR="00B20F1E" w:rsidRPr="000D2717">
              <w:rPr>
                <w:rFonts w:eastAsia="Calibri"/>
                <w:lang w:val="es-ES"/>
              </w:rPr>
              <w:t>CMR</w:t>
            </w:r>
            <w:r>
              <w:rPr>
                <w:rFonts w:eastAsia="Calibri"/>
                <w:lang w:val="es-ES"/>
              </w:rPr>
              <w:noBreakHyphen/>
            </w:r>
            <w:r w:rsidR="00B20F1E" w:rsidRPr="000D2717">
              <w:rPr>
                <w:rFonts w:eastAsia="Calibri"/>
                <w:lang w:val="es-ES"/>
              </w:rPr>
              <w:t>23.</w:t>
            </w:r>
          </w:p>
          <w:p w14:paraId="034A0E70" w14:textId="339438B7" w:rsidR="00B20F1E" w:rsidRPr="000D2717" w:rsidRDefault="008902B6" w:rsidP="008902B6">
            <w:pPr>
              <w:pStyle w:val="Tabletext"/>
              <w:ind w:left="284" w:hanging="284"/>
              <w:rPr>
                <w:rFonts w:eastAsia="Calibri"/>
                <w:lang w:val="es-ES"/>
              </w:rPr>
            </w:pPr>
            <w:r>
              <w:rPr>
                <w:rFonts w:eastAsia="Calibri"/>
                <w:lang w:val="es-ES"/>
              </w:rPr>
              <w:lastRenderedPageBreak/>
              <w:t>2</w:t>
            </w:r>
            <w:r>
              <w:rPr>
                <w:rFonts w:eastAsia="Calibri"/>
                <w:lang w:val="es-ES"/>
              </w:rPr>
              <w:tab/>
            </w:r>
            <w:r w:rsidR="00B20F1E" w:rsidRPr="008902B6">
              <w:rPr>
                <w:rFonts w:eastAsia="Calibri"/>
                <w:b/>
                <w:bCs/>
                <w:lang w:val="es-ES"/>
              </w:rPr>
              <w:t>Estudien</w:t>
            </w:r>
            <w:r w:rsidR="00B20F1E" w:rsidRPr="000D2717">
              <w:rPr>
                <w:rFonts w:eastAsia="Calibri"/>
                <w:lang w:val="es-ES"/>
              </w:rPr>
              <w:t xml:space="preserve"> y </w:t>
            </w:r>
            <w:r w:rsidR="00B20F1E">
              <w:rPr>
                <w:rFonts w:eastAsia="Calibri"/>
                <w:lang w:val="es-ES"/>
              </w:rPr>
              <w:t>examinen</w:t>
            </w:r>
            <w:r w:rsidR="00B20F1E" w:rsidRPr="000D2717">
              <w:rPr>
                <w:rFonts w:eastAsia="Calibri"/>
                <w:lang w:val="es-ES"/>
              </w:rPr>
              <w:t xml:space="preserve"> el informe del Director de la Oficina de Radiocomunicaciones una vez </w:t>
            </w:r>
            <w:r w:rsidR="00B20F1E">
              <w:rPr>
                <w:rFonts w:eastAsia="Calibri"/>
                <w:lang w:val="es-ES"/>
              </w:rPr>
              <w:t xml:space="preserve">que se haya </w:t>
            </w:r>
            <w:r w:rsidR="00B20F1E" w:rsidRPr="000D2717">
              <w:rPr>
                <w:rFonts w:eastAsia="Calibri"/>
                <w:lang w:val="es-ES"/>
              </w:rPr>
              <w:t>publicado y prepar</w:t>
            </w:r>
            <w:r w:rsidR="00B20F1E">
              <w:rPr>
                <w:rFonts w:eastAsia="Calibri"/>
                <w:lang w:val="es-ES"/>
              </w:rPr>
              <w:t>en</w:t>
            </w:r>
            <w:r w:rsidR="00B20F1E" w:rsidRPr="000D2717">
              <w:rPr>
                <w:rFonts w:eastAsia="Calibri"/>
                <w:lang w:val="es-ES"/>
              </w:rPr>
              <w:t xml:space="preserve"> </w:t>
            </w:r>
            <w:r w:rsidR="00B20F1E">
              <w:rPr>
                <w:rFonts w:eastAsia="Calibri"/>
                <w:lang w:val="es-ES"/>
              </w:rPr>
              <w:t>una</w:t>
            </w:r>
            <w:r w:rsidR="00B20F1E" w:rsidRPr="000D2717">
              <w:rPr>
                <w:rFonts w:eastAsia="Calibri"/>
                <w:lang w:val="es-ES"/>
              </w:rPr>
              <w:t xml:space="preserve"> Propuesta Común Africana (</w:t>
            </w:r>
            <w:r w:rsidR="00B20F1E">
              <w:rPr>
                <w:rFonts w:eastAsia="Calibri"/>
                <w:lang w:val="es-ES"/>
              </w:rPr>
              <w:t>AFCP</w:t>
            </w:r>
            <w:r w:rsidR="00B20F1E" w:rsidRPr="000D2717">
              <w:rPr>
                <w:rFonts w:eastAsia="Calibri"/>
                <w:lang w:val="es-ES"/>
              </w:rPr>
              <w:t>).</w:t>
            </w:r>
          </w:p>
          <w:p w14:paraId="4B18A053" w14:textId="243BCAFA" w:rsidR="00B20F1E" w:rsidRPr="000D2717" w:rsidRDefault="008902B6" w:rsidP="008902B6">
            <w:pPr>
              <w:pStyle w:val="Tabletext"/>
              <w:ind w:left="284" w:hanging="284"/>
              <w:rPr>
                <w:rFonts w:eastAsia="Calibri"/>
                <w:lang w:val="es-ES"/>
              </w:rPr>
            </w:pPr>
            <w:r>
              <w:rPr>
                <w:rFonts w:eastAsia="Calibri"/>
                <w:lang w:val="es-ES"/>
              </w:rPr>
              <w:t>3</w:t>
            </w:r>
            <w:r>
              <w:rPr>
                <w:rFonts w:eastAsia="Calibri"/>
                <w:lang w:val="es-ES"/>
              </w:rPr>
              <w:tab/>
            </w:r>
            <w:r w:rsidR="00B20F1E" w:rsidRPr="008902B6">
              <w:rPr>
                <w:rFonts w:eastAsia="Calibri"/>
                <w:b/>
                <w:bCs/>
                <w:lang w:val="es-ES"/>
              </w:rPr>
              <w:t>Destinen</w:t>
            </w:r>
            <w:r w:rsidR="00B20F1E" w:rsidRPr="000D2717">
              <w:rPr>
                <w:rFonts w:eastAsia="Calibri"/>
                <w:lang w:val="es-ES"/>
              </w:rPr>
              <w:t xml:space="preserve"> recursos específicos </w:t>
            </w:r>
            <w:r w:rsidR="00B20F1E">
              <w:rPr>
                <w:rFonts w:eastAsia="Calibri"/>
                <w:lang w:val="es-ES"/>
              </w:rPr>
              <w:t>para</w:t>
            </w:r>
            <w:r w:rsidR="00B20F1E" w:rsidRPr="000D2717">
              <w:rPr>
                <w:rFonts w:eastAsia="Calibri"/>
                <w:lang w:val="es-ES"/>
              </w:rPr>
              <w:t xml:space="preserve"> </w:t>
            </w:r>
            <w:r w:rsidR="00B20F1E">
              <w:rPr>
                <w:rFonts w:eastAsia="Calibri"/>
                <w:lang w:val="es-ES"/>
              </w:rPr>
              <w:t>seguir pormenorizadamente la evolución de</w:t>
            </w:r>
            <w:r w:rsidR="00B20F1E" w:rsidRPr="000D2717">
              <w:rPr>
                <w:rFonts w:eastAsia="Calibri"/>
                <w:lang w:val="es-ES"/>
              </w:rPr>
              <w:t xml:space="preserve"> este punto del orden del día durante la CMR</w:t>
            </w:r>
            <w:r w:rsidR="00B20F1E">
              <w:rPr>
                <w:rFonts w:eastAsia="Calibri"/>
                <w:lang w:val="es-ES"/>
              </w:rPr>
              <w:t>-</w:t>
            </w:r>
            <w:r w:rsidR="00B20F1E" w:rsidRPr="000D2717">
              <w:rPr>
                <w:rFonts w:eastAsia="Calibri"/>
                <w:lang w:val="es-ES"/>
              </w:rPr>
              <w:t>23.</w:t>
            </w:r>
          </w:p>
          <w:p w14:paraId="0ACB6E7E" w14:textId="3E55D21D" w:rsidR="00B20F1E" w:rsidRPr="000D2717" w:rsidRDefault="008902B6" w:rsidP="008902B6">
            <w:pPr>
              <w:pStyle w:val="Tabletext"/>
              <w:ind w:left="284" w:hanging="284"/>
              <w:rPr>
                <w:rFonts w:eastAsia="Calibri"/>
                <w:lang w:val="es-ES"/>
              </w:rPr>
            </w:pPr>
            <w:r>
              <w:rPr>
                <w:rFonts w:eastAsia="Calibri"/>
                <w:lang w:val="es-ES"/>
              </w:rPr>
              <w:t>4</w:t>
            </w:r>
            <w:r>
              <w:rPr>
                <w:rFonts w:eastAsia="Calibri"/>
                <w:lang w:val="es-ES"/>
              </w:rPr>
              <w:tab/>
            </w:r>
            <w:r w:rsidR="00B20F1E" w:rsidRPr="008902B6">
              <w:rPr>
                <w:rFonts w:eastAsia="Calibri"/>
                <w:b/>
                <w:bCs/>
                <w:lang w:val="es-ES"/>
              </w:rPr>
              <w:t>Participen activamente</w:t>
            </w:r>
            <w:r w:rsidR="00B20F1E" w:rsidRPr="000D2717">
              <w:rPr>
                <w:rFonts w:eastAsia="Calibri"/>
                <w:lang w:val="es-ES"/>
              </w:rPr>
              <w:t xml:space="preserve"> en una reunión en línea que </w:t>
            </w:r>
            <w:r w:rsidR="00B20F1E">
              <w:rPr>
                <w:rFonts w:eastAsia="Calibri"/>
                <w:lang w:val="es-ES"/>
              </w:rPr>
              <w:t>prevé organizar</w:t>
            </w:r>
            <w:r w:rsidR="00B20F1E" w:rsidRPr="000D2717">
              <w:rPr>
                <w:rFonts w:eastAsia="Calibri"/>
                <w:lang w:val="es-ES"/>
              </w:rPr>
              <w:t xml:space="preserve"> la secretaría de la UAT </w:t>
            </w:r>
            <w:r w:rsidR="00B20F1E">
              <w:rPr>
                <w:rFonts w:eastAsia="Calibri"/>
                <w:lang w:val="es-ES"/>
              </w:rPr>
              <w:t>para</w:t>
            </w:r>
            <w:r w:rsidR="00B20F1E" w:rsidRPr="000D2717">
              <w:rPr>
                <w:rFonts w:eastAsia="Calibri"/>
                <w:lang w:val="es-ES"/>
              </w:rPr>
              <w:t xml:space="preserve"> examinar el informe de</w:t>
            </w:r>
            <w:r w:rsidR="00B20F1E">
              <w:rPr>
                <w:rFonts w:eastAsia="Calibri"/>
                <w:lang w:val="es-ES"/>
              </w:rPr>
              <w:t xml:space="preserve">l Director de </w:t>
            </w:r>
            <w:r w:rsidR="00B20F1E" w:rsidRPr="000D2717">
              <w:rPr>
                <w:rFonts w:eastAsia="Calibri"/>
                <w:lang w:val="es-ES"/>
              </w:rPr>
              <w:t>la Oficina de Radiocomunicaciones y preparar una Propuesta Común Africana sobre este punto del orden del día.</w:t>
            </w:r>
          </w:p>
        </w:tc>
      </w:tr>
      <w:tr w:rsidR="00B20F1E" w:rsidRPr="00B707C8" w14:paraId="120B3AFA" w14:textId="77777777" w:rsidTr="00DB48C6">
        <w:trPr>
          <w:jc w:val="center"/>
        </w:trPr>
        <w:tc>
          <w:tcPr>
            <w:tcW w:w="2978" w:type="dxa"/>
          </w:tcPr>
          <w:p w14:paraId="6340950A" w14:textId="77777777" w:rsidR="00B20F1E" w:rsidRPr="00462C9B" w:rsidRDefault="00B20F1E" w:rsidP="008902B6">
            <w:pPr>
              <w:pStyle w:val="Tabletext"/>
              <w:rPr>
                <w:rFonts w:eastAsia="Calibri"/>
                <w:lang w:val="es-ES"/>
              </w:rPr>
            </w:pPr>
            <w:r w:rsidRPr="00462C9B">
              <w:rPr>
                <w:rFonts w:eastAsia="Calibri"/>
                <w:lang w:val="es-ES"/>
              </w:rPr>
              <w:lastRenderedPageBreak/>
              <w:t>Punto 9.3</w:t>
            </w:r>
          </w:p>
          <w:p w14:paraId="3FA28629" w14:textId="7692531F" w:rsidR="00B20F1E" w:rsidRPr="00462C9B" w:rsidRDefault="00833ED5" w:rsidP="008902B6">
            <w:pPr>
              <w:pStyle w:val="Tabletext"/>
              <w:rPr>
                <w:rFonts w:eastAsia="Calibri"/>
                <w:color w:val="000000"/>
                <w:lang w:val="es-ES"/>
              </w:rPr>
            </w:pPr>
            <w:r w:rsidRPr="00462C9B">
              <w:rPr>
                <w:rFonts w:eastAsia="Calibri"/>
                <w:color w:val="000000"/>
                <w:lang w:val="es-ES"/>
              </w:rPr>
              <w:t>«</w:t>
            </w:r>
            <w:r w:rsidR="00B20F1E" w:rsidRPr="00462C9B">
              <w:rPr>
                <w:rFonts w:eastAsia="Calibri"/>
                <w:color w:val="000000"/>
                <w:lang w:val="es-ES"/>
              </w:rPr>
              <w:t>Medidas de respuesta a raíz de la Resolución 80 (</w:t>
            </w:r>
            <w:r w:rsidR="007D7EC9">
              <w:rPr>
                <w:rFonts w:eastAsia="Calibri"/>
                <w:color w:val="000000"/>
                <w:lang w:val="es-ES"/>
              </w:rPr>
              <w:t>Rev.</w:t>
            </w:r>
            <w:r w:rsidR="00B20F1E" w:rsidRPr="00462C9B">
              <w:rPr>
                <w:rFonts w:eastAsia="Calibri"/>
                <w:color w:val="000000"/>
                <w:lang w:val="es-ES"/>
              </w:rPr>
              <w:t>CMR-07)</w:t>
            </w:r>
            <w:r w:rsidRPr="00462C9B">
              <w:rPr>
                <w:rFonts w:eastAsia="Calibri"/>
                <w:color w:val="000000"/>
                <w:lang w:val="es-ES"/>
              </w:rPr>
              <w:t>»</w:t>
            </w:r>
            <w:r w:rsidR="00B20F1E" w:rsidRPr="00462C9B">
              <w:rPr>
                <w:rFonts w:eastAsia="Calibri"/>
                <w:color w:val="000000"/>
                <w:lang w:val="es-ES"/>
              </w:rPr>
              <w:t xml:space="preserve">. </w:t>
            </w:r>
          </w:p>
          <w:p w14:paraId="5901B174" w14:textId="77777777" w:rsidR="00B20F1E" w:rsidRPr="00462C9B" w:rsidRDefault="00B20F1E" w:rsidP="008902B6">
            <w:pPr>
              <w:pStyle w:val="Tabletext"/>
              <w:rPr>
                <w:rFonts w:eastAsia="Calibri"/>
                <w:lang w:val="es-ES"/>
              </w:rPr>
            </w:pPr>
            <w:r w:rsidRPr="00462C9B">
              <w:rPr>
                <w:rFonts w:eastAsia="Calibri"/>
                <w:color w:val="000000"/>
                <w:lang w:val="es-ES"/>
              </w:rPr>
              <w:t>Diligencia debida en la aplicación de los principios recogidos en la Constitución.</w:t>
            </w:r>
          </w:p>
        </w:tc>
        <w:tc>
          <w:tcPr>
            <w:tcW w:w="6287" w:type="dxa"/>
          </w:tcPr>
          <w:p w14:paraId="310191D3" w14:textId="77777777" w:rsidR="00B20F1E" w:rsidRPr="00462C9B" w:rsidRDefault="00B20F1E" w:rsidP="008902B6">
            <w:pPr>
              <w:pStyle w:val="Tabletext"/>
              <w:rPr>
                <w:rFonts w:eastAsia="Calibri"/>
                <w:i/>
                <w:u w:val="single"/>
                <w:lang w:val="es-ES"/>
              </w:rPr>
            </w:pPr>
            <w:r w:rsidRPr="00462C9B">
              <w:rPr>
                <w:rFonts w:eastAsia="Calibri"/>
                <w:i/>
                <w:u w:val="single"/>
                <w:lang w:val="es-ES"/>
              </w:rPr>
              <w:t>Parte 1: Posición común:</w:t>
            </w:r>
          </w:p>
          <w:p w14:paraId="24440799" w14:textId="5BCC2D70" w:rsidR="00B20F1E" w:rsidRPr="00462C9B" w:rsidRDefault="008902B6" w:rsidP="008902B6">
            <w:pPr>
              <w:pStyle w:val="Tabletext"/>
              <w:ind w:left="284" w:hanging="284"/>
              <w:rPr>
                <w:rFonts w:eastAsia="Calibri"/>
                <w:lang w:val="es-ES"/>
              </w:rPr>
            </w:pPr>
            <w:r w:rsidRPr="00462C9B">
              <w:rPr>
                <w:rFonts w:eastAsia="Calibri"/>
                <w:lang w:val="es-ES"/>
              </w:rPr>
              <w:t>1</w:t>
            </w:r>
            <w:r w:rsidRPr="00462C9B">
              <w:rPr>
                <w:rFonts w:eastAsia="Calibri"/>
                <w:lang w:val="es-ES"/>
              </w:rPr>
              <w:tab/>
            </w:r>
            <w:r w:rsidR="00B20F1E" w:rsidRPr="00462C9B">
              <w:rPr>
                <w:rFonts w:eastAsia="Calibri"/>
                <w:b/>
                <w:bCs/>
                <w:lang w:val="es-ES"/>
              </w:rPr>
              <w:t>Apoyar firmemente</w:t>
            </w:r>
            <w:r w:rsidR="00B20F1E" w:rsidRPr="00462C9B">
              <w:rPr>
                <w:rFonts w:eastAsia="Calibri"/>
                <w:lang w:val="es-ES"/>
              </w:rPr>
              <w:t>, por principio, la plena aplicación de la Resolución</w:t>
            </w:r>
            <w:r w:rsidRPr="00462C9B">
              <w:rPr>
                <w:rFonts w:eastAsia="Calibri"/>
                <w:lang w:val="es-ES"/>
              </w:rPr>
              <w:t> </w:t>
            </w:r>
            <w:r w:rsidR="00B20F1E" w:rsidRPr="00462C9B">
              <w:rPr>
                <w:rFonts w:eastAsia="Calibri"/>
                <w:b/>
                <w:bCs/>
                <w:lang w:val="es-ES"/>
              </w:rPr>
              <w:t>80 (Rev.CMR-07)</w:t>
            </w:r>
            <w:r w:rsidR="00B20F1E" w:rsidRPr="00462C9B">
              <w:rPr>
                <w:rFonts w:eastAsia="Calibri"/>
                <w:lang w:val="es-ES"/>
              </w:rPr>
              <w:t xml:space="preserve"> como mecanismo principal para fomentar la equidad y el cumplimiento de los principios consagrados en la Constitución de la UIT.</w:t>
            </w:r>
          </w:p>
          <w:p w14:paraId="60E4380B" w14:textId="2D62390E" w:rsidR="00B20F1E" w:rsidRPr="00462C9B" w:rsidRDefault="008902B6" w:rsidP="008902B6">
            <w:pPr>
              <w:pStyle w:val="Tabletext"/>
              <w:ind w:left="284" w:hanging="284"/>
              <w:rPr>
                <w:rFonts w:eastAsia="Calibri"/>
                <w:lang w:val="es-ES"/>
              </w:rPr>
            </w:pPr>
            <w:r w:rsidRPr="00462C9B">
              <w:rPr>
                <w:rFonts w:eastAsia="Calibri"/>
                <w:bCs/>
                <w:lang w:val="es-ES"/>
              </w:rPr>
              <w:t>2</w:t>
            </w:r>
            <w:r w:rsidRPr="00462C9B">
              <w:rPr>
                <w:rFonts w:eastAsia="Calibri"/>
                <w:bCs/>
                <w:lang w:val="es-ES"/>
              </w:rPr>
              <w:tab/>
            </w:r>
            <w:r w:rsidR="00B20F1E" w:rsidRPr="00462C9B">
              <w:rPr>
                <w:rFonts w:eastAsia="Calibri"/>
                <w:bCs/>
                <w:lang w:val="es-ES"/>
              </w:rPr>
              <w:t>Tomar nota</w:t>
            </w:r>
            <w:r w:rsidR="00B20F1E" w:rsidRPr="00462C9B">
              <w:rPr>
                <w:rFonts w:eastAsia="Calibri"/>
                <w:lang w:val="es-ES"/>
              </w:rPr>
              <w:t xml:space="preserve"> del informe de la Junta del Reglamento de Radiocomunicaciones a la CMR-23 sobre la Resolución </w:t>
            </w:r>
            <w:r w:rsidR="00B20F1E" w:rsidRPr="00462C9B">
              <w:rPr>
                <w:rFonts w:eastAsia="Calibri"/>
                <w:b/>
                <w:bCs/>
                <w:lang w:val="es-ES"/>
              </w:rPr>
              <w:t>80 (Rev.CMR</w:t>
            </w:r>
            <w:r w:rsidRPr="00462C9B">
              <w:rPr>
                <w:rFonts w:eastAsia="Calibri"/>
                <w:b/>
                <w:bCs/>
                <w:lang w:val="es-ES"/>
              </w:rPr>
              <w:noBreakHyphen/>
            </w:r>
            <w:r w:rsidR="00B20F1E" w:rsidRPr="00462C9B">
              <w:rPr>
                <w:rFonts w:eastAsia="Calibri"/>
                <w:b/>
                <w:bCs/>
                <w:lang w:val="es-ES"/>
              </w:rPr>
              <w:t>07)</w:t>
            </w:r>
            <w:r w:rsidR="00B20F1E" w:rsidRPr="00462C9B">
              <w:rPr>
                <w:rFonts w:eastAsia="Calibri"/>
                <w:lang w:val="es-ES"/>
              </w:rPr>
              <w:t xml:space="preserve"> en relación con la reunión celebrada del 26 de junio al 4 de julio de 2023. En dicho informe, la Junta examina con cierto detalle la aplicación de la Resolución </w:t>
            </w:r>
            <w:r w:rsidR="00B20F1E" w:rsidRPr="00462C9B">
              <w:rPr>
                <w:rFonts w:eastAsia="Calibri"/>
                <w:b/>
                <w:bCs/>
                <w:lang w:val="es-ES"/>
              </w:rPr>
              <w:t>559 (CMR-19)</w:t>
            </w:r>
            <w:r w:rsidR="00B20F1E" w:rsidRPr="00462C9B">
              <w:rPr>
                <w:rFonts w:eastAsia="Calibri"/>
                <w:lang w:val="es-ES"/>
              </w:rPr>
              <w:t>, las dificultades para resolver determinadas situaciones de interferencia perjudicial, las dificultades de coordinación de las redes de satélites y la tramitación de las solicitudes de prórroga de los plazos reglamentarios para la puesta en servicio de asignaciones de frecuencias, o la reanudación del mismo.</w:t>
            </w:r>
          </w:p>
          <w:p w14:paraId="2E46F86E" w14:textId="63399A11" w:rsidR="00B20F1E" w:rsidRPr="00462C9B" w:rsidRDefault="008902B6" w:rsidP="008902B6">
            <w:pPr>
              <w:pStyle w:val="Tabletext"/>
              <w:ind w:left="284" w:hanging="284"/>
              <w:rPr>
                <w:rFonts w:eastAsia="Calibri"/>
                <w:lang w:val="es-ES"/>
              </w:rPr>
            </w:pPr>
            <w:r w:rsidRPr="00462C9B">
              <w:rPr>
                <w:rFonts w:eastAsia="Calibri"/>
                <w:lang w:val="es-ES"/>
              </w:rPr>
              <w:t>3</w:t>
            </w:r>
            <w:r w:rsidRPr="00462C9B">
              <w:rPr>
                <w:rFonts w:eastAsia="Calibri"/>
                <w:lang w:val="es-ES"/>
              </w:rPr>
              <w:tab/>
            </w:r>
            <w:r w:rsidR="00B20F1E" w:rsidRPr="00462C9B">
              <w:rPr>
                <w:rFonts w:eastAsia="Calibri"/>
                <w:b/>
                <w:bCs/>
                <w:lang w:val="es-ES"/>
              </w:rPr>
              <w:t>Presentar</w:t>
            </w:r>
            <w:r w:rsidR="00B20F1E" w:rsidRPr="00462C9B">
              <w:rPr>
                <w:rFonts w:eastAsia="Calibri"/>
                <w:lang w:val="es-ES"/>
              </w:rPr>
              <w:t xml:space="preserve"> una solicitud a la UIT para que la CMR-23 considere la inclusión de una asignación de frecuencias a la red de satélites TANSAT1 en los Apéndices </w:t>
            </w:r>
            <w:r w:rsidR="00B20F1E" w:rsidRPr="00462C9B">
              <w:rPr>
                <w:rFonts w:eastAsia="Calibri"/>
                <w:b/>
                <w:bCs/>
                <w:lang w:val="es-ES"/>
              </w:rPr>
              <w:t>30</w:t>
            </w:r>
            <w:r w:rsidR="00B20F1E" w:rsidRPr="00462C9B">
              <w:rPr>
                <w:rFonts w:eastAsia="Calibri"/>
                <w:lang w:val="es-ES"/>
              </w:rPr>
              <w:t xml:space="preserve"> y </w:t>
            </w:r>
            <w:r w:rsidR="00B20F1E" w:rsidRPr="00462C9B">
              <w:rPr>
                <w:rFonts w:eastAsia="Calibri"/>
                <w:b/>
                <w:bCs/>
                <w:lang w:val="es-ES"/>
              </w:rPr>
              <w:t>30A</w:t>
            </w:r>
            <w:r w:rsidR="00B20F1E" w:rsidRPr="00462C9B">
              <w:rPr>
                <w:rFonts w:eastAsia="Calibri"/>
                <w:lang w:val="es-ES"/>
              </w:rPr>
              <w:t xml:space="preserve"> de los Planes de las Regiones 1 y 3 para la aplicación de la Resolución </w:t>
            </w:r>
            <w:r w:rsidR="00B20F1E" w:rsidRPr="00462C9B">
              <w:rPr>
                <w:rFonts w:eastAsia="Calibri"/>
                <w:b/>
                <w:bCs/>
                <w:lang w:val="es-ES"/>
              </w:rPr>
              <w:t>559</w:t>
            </w:r>
            <w:r w:rsidR="00B20F1E" w:rsidRPr="00462C9B">
              <w:rPr>
                <w:rFonts w:eastAsia="Calibri"/>
                <w:lang w:val="es-ES"/>
              </w:rPr>
              <w:t xml:space="preserve"> de la CMR-19.</w:t>
            </w:r>
          </w:p>
          <w:p w14:paraId="73B56628" w14:textId="50573377" w:rsidR="00B20F1E" w:rsidRPr="00462C9B" w:rsidRDefault="008902B6" w:rsidP="008902B6">
            <w:pPr>
              <w:pStyle w:val="Tabletext"/>
              <w:ind w:left="284" w:hanging="284"/>
              <w:rPr>
                <w:rFonts w:eastAsia="Calibri"/>
                <w:lang w:val="es-ES"/>
              </w:rPr>
            </w:pPr>
            <w:r w:rsidRPr="00462C9B">
              <w:rPr>
                <w:rFonts w:eastAsia="Calibri"/>
                <w:lang w:val="es-ES"/>
              </w:rPr>
              <w:t>4</w:t>
            </w:r>
            <w:r w:rsidRPr="00462C9B">
              <w:rPr>
                <w:rFonts w:eastAsia="Calibri"/>
                <w:lang w:val="es-ES"/>
              </w:rPr>
              <w:tab/>
            </w:r>
            <w:r w:rsidR="00B20F1E" w:rsidRPr="00462C9B">
              <w:rPr>
                <w:rFonts w:eastAsia="Calibri"/>
                <w:b/>
                <w:bCs/>
                <w:lang w:val="es-ES"/>
              </w:rPr>
              <w:t>Tomar nota</w:t>
            </w:r>
            <w:r w:rsidR="00B20F1E" w:rsidRPr="00462C9B">
              <w:rPr>
                <w:rFonts w:eastAsia="Calibri"/>
                <w:lang w:val="es-ES"/>
              </w:rPr>
              <w:t xml:space="preserve"> del informe de la Conferencia de Plenipotenciarios de la UAT celebrada en Argelia del 25 al 26 de julio de 2022 en relación con una Propuesta Común Africana a la PP-22 de la UIT sobre la repercusión de la invocación del Artículo </w:t>
            </w:r>
            <w:r w:rsidR="00B20F1E" w:rsidRPr="00462C9B">
              <w:rPr>
                <w:rFonts w:eastAsia="Calibri"/>
                <w:b/>
                <w:bCs/>
                <w:lang w:val="es-ES"/>
              </w:rPr>
              <w:t>48</w:t>
            </w:r>
            <w:r w:rsidR="00B20F1E" w:rsidRPr="00462C9B">
              <w:rPr>
                <w:rFonts w:eastAsia="Calibri"/>
                <w:lang w:val="es-ES"/>
              </w:rPr>
              <w:t xml:space="preserve"> de la Constitución de la</w:t>
            </w:r>
            <w:r w:rsidRPr="00462C9B">
              <w:rPr>
                <w:rFonts w:eastAsia="Calibri"/>
                <w:lang w:val="es-ES"/>
              </w:rPr>
              <w:t> </w:t>
            </w:r>
            <w:r w:rsidR="00B20F1E" w:rsidRPr="00462C9B">
              <w:rPr>
                <w:rFonts w:eastAsia="Calibri"/>
                <w:lang w:val="es-ES"/>
              </w:rPr>
              <w:t>UIT.</w:t>
            </w:r>
          </w:p>
          <w:p w14:paraId="111CF057" w14:textId="7503A08A" w:rsidR="00B20F1E" w:rsidRPr="00462C9B" w:rsidRDefault="008902B6" w:rsidP="008902B6">
            <w:pPr>
              <w:pStyle w:val="Tabletext"/>
              <w:ind w:left="284" w:hanging="284"/>
              <w:rPr>
                <w:rFonts w:eastAsia="Calibri"/>
                <w:lang w:val="es-ES"/>
              </w:rPr>
            </w:pPr>
            <w:r w:rsidRPr="00462C9B">
              <w:rPr>
                <w:rFonts w:eastAsia="Calibri"/>
                <w:lang w:val="es-ES"/>
              </w:rPr>
              <w:t>5</w:t>
            </w:r>
            <w:r w:rsidRPr="00462C9B">
              <w:rPr>
                <w:rFonts w:eastAsia="Calibri"/>
                <w:lang w:val="es-ES"/>
              </w:rPr>
              <w:tab/>
            </w:r>
            <w:r w:rsidR="00B20F1E" w:rsidRPr="00462C9B">
              <w:rPr>
                <w:rFonts w:eastAsia="Calibri"/>
                <w:b/>
                <w:bCs/>
                <w:lang w:val="es-ES"/>
              </w:rPr>
              <w:t>Apoyar</w:t>
            </w:r>
            <w:r w:rsidR="00B20F1E" w:rsidRPr="00462C9B">
              <w:rPr>
                <w:rFonts w:eastAsia="Calibri"/>
                <w:lang w:val="es-ES"/>
              </w:rPr>
              <w:t xml:space="preserve"> las propuestas relativas a la Resolución </w:t>
            </w:r>
            <w:r w:rsidR="00B20F1E" w:rsidRPr="00462C9B">
              <w:rPr>
                <w:rFonts w:eastAsia="Calibri"/>
                <w:b/>
                <w:bCs/>
                <w:lang w:val="es-ES"/>
              </w:rPr>
              <w:t>559</w:t>
            </w:r>
            <w:r w:rsidR="00B20F1E" w:rsidRPr="00462C9B">
              <w:rPr>
                <w:rFonts w:eastAsia="Calibri"/>
                <w:lang w:val="es-ES"/>
              </w:rPr>
              <w:t>, como se indica en el punto 9.2 anterior.</w:t>
            </w:r>
          </w:p>
          <w:p w14:paraId="1E3CEAFC" w14:textId="77777777" w:rsidR="00B20F1E" w:rsidRPr="00462C9B" w:rsidRDefault="00B20F1E" w:rsidP="008902B6">
            <w:pPr>
              <w:pStyle w:val="Tabletext"/>
              <w:rPr>
                <w:rFonts w:eastAsia="Calibri"/>
                <w:i/>
                <w:u w:val="single"/>
                <w:lang w:val="es-ES"/>
              </w:rPr>
            </w:pPr>
            <w:r w:rsidRPr="00462C9B">
              <w:rPr>
                <w:rFonts w:eastAsia="Calibri"/>
                <w:i/>
                <w:u w:val="single"/>
                <w:lang w:val="es-ES"/>
              </w:rPr>
              <w:t>Parte 2: Medidas propuestas</w:t>
            </w:r>
          </w:p>
          <w:p w14:paraId="220F93ED" w14:textId="165C77BB" w:rsidR="00B20F1E" w:rsidRPr="00462C9B" w:rsidRDefault="00B20F1E" w:rsidP="008902B6">
            <w:pPr>
              <w:pStyle w:val="Tabletext"/>
              <w:rPr>
                <w:rFonts w:eastAsia="Calibri"/>
                <w:b/>
                <w:bCs/>
                <w:i/>
                <w:lang w:val="es-ES"/>
              </w:rPr>
            </w:pPr>
            <w:r w:rsidRPr="00462C9B">
              <w:rPr>
                <w:rFonts w:eastAsia="Calibri"/>
                <w:b/>
                <w:bCs/>
                <w:i/>
                <w:lang w:val="es-ES"/>
              </w:rPr>
              <w:t xml:space="preserve">Solicitar a las administraciones de la UAT </w:t>
            </w:r>
            <w:r w:rsidRPr="00462C9B">
              <w:rPr>
                <w:rFonts w:eastAsia="Calibri"/>
                <w:b/>
                <w:bCs/>
                <w:i/>
                <w:color w:val="000000"/>
                <w:lang w:val="es-ES"/>
              </w:rPr>
              <w:t>que:</w:t>
            </w:r>
          </w:p>
          <w:p w14:paraId="4AAA9E6C" w14:textId="1F50D7A3" w:rsidR="00B20F1E" w:rsidRPr="00462C9B" w:rsidRDefault="008902B6" w:rsidP="008902B6">
            <w:pPr>
              <w:pStyle w:val="Tabletext"/>
              <w:ind w:left="284" w:hanging="284"/>
              <w:rPr>
                <w:rFonts w:eastAsia="Calibri"/>
                <w:lang w:val="es-ES"/>
              </w:rPr>
            </w:pPr>
            <w:r w:rsidRPr="00462C9B">
              <w:rPr>
                <w:rFonts w:eastAsia="Calibri"/>
                <w:lang w:val="es-ES"/>
              </w:rPr>
              <w:t>1</w:t>
            </w:r>
            <w:r w:rsidRPr="00462C9B">
              <w:rPr>
                <w:rFonts w:eastAsia="Calibri"/>
                <w:lang w:val="es-ES"/>
              </w:rPr>
              <w:tab/>
            </w:r>
            <w:r w:rsidR="00B20F1E" w:rsidRPr="00462C9B">
              <w:rPr>
                <w:rFonts w:eastAsia="Calibri"/>
                <w:b/>
                <w:bCs/>
                <w:lang w:val="es-ES"/>
              </w:rPr>
              <w:t>Tomen nota</w:t>
            </w:r>
            <w:r w:rsidR="00B20F1E" w:rsidRPr="00462C9B">
              <w:rPr>
                <w:rFonts w:eastAsia="Calibri"/>
                <w:lang w:val="es-ES"/>
              </w:rPr>
              <w:t xml:space="preserve"> del informe de la Junta del Reglamento de Radiocomunicaciones (RRB) a la CMR 23.</w:t>
            </w:r>
          </w:p>
          <w:p w14:paraId="0E8C7F56" w14:textId="2D54D066" w:rsidR="00B20F1E" w:rsidRPr="00462C9B" w:rsidRDefault="008902B6" w:rsidP="008902B6">
            <w:pPr>
              <w:pStyle w:val="Tabletext"/>
              <w:ind w:left="284" w:hanging="284"/>
              <w:rPr>
                <w:rFonts w:eastAsia="Calibri"/>
                <w:lang w:val="es-ES"/>
              </w:rPr>
            </w:pPr>
            <w:r w:rsidRPr="00462C9B">
              <w:rPr>
                <w:rFonts w:eastAsia="Calibri"/>
                <w:lang w:val="es-ES"/>
              </w:rPr>
              <w:t>2</w:t>
            </w:r>
            <w:r w:rsidRPr="00462C9B">
              <w:rPr>
                <w:rFonts w:eastAsia="Calibri"/>
                <w:lang w:val="es-ES"/>
              </w:rPr>
              <w:tab/>
            </w:r>
            <w:r w:rsidR="00B20F1E" w:rsidRPr="00462C9B">
              <w:rPr>
                <w:rFonts w:eastAsia="Calibri"/>
                <w:b/>
                <w:bCs/>
                <w:lang w:val="es-ES"/>
              </w:rPr>
              <w:t>Estudien</w:t>
            </w:r>
            <w:r w:rsidR="00B20F1E" w:rsidRPr="00462C9B">
              <w:rPr>
                <w:rFonts w:eastAsia="Calibri"/>
                <w:lang w:val="es-ES"/>
              </w:rPr>
              <w:t xml:space="preserve"> y examinen el informe de la Junta del Reglamento de Radiocomunicaciones (RRB) a la CMR 23 y preparen una Propuesta Común Africana a la CMR 23.</w:t>
            </w:r>
          </w:p>
          <w:p w14:paraId="3EFDC183" w14:textId="04A0E3A1" w:rsidR="00B20F1E" w:rsidRPr="00462C9B" w:rsidRDefault="008902B6" w:rsidP="008902B6">
            <w:pPr>
              <w:pStyle w:val="Tabletext"/>
              <w:ind w:left="284" w:hanging="284"/>
              <w:rPr>
                <w:rFonts w:eastAsia="Calibri"/>
                <w:lang w:val="es-ES"/>
              </w:rPr>
            </w:pPr>
            <w:r w:rsidRPr="00462C9B">
              <w:rPr>
                <w:rFonts w:eastAsia="Calibri"/>
                <w:lang w:val="es-ES"/>
              </w:rPr>
              <w:t>3</w:t>
            </w:r>
            <w:r w:rsidRPr="00462C9B">
              <w:rPr>
                <w:rFonts w:eastAsia="Calibri"/>
                <w:lang w:val="es-ES"/>
              </w:rPr>
              <w:tab/>
            </w:r>
            <w:r w:rsidR="00B20F1E" w:rsidRPr="00462C9B">
              <w:rPr>
                <w:rFonts w:eastAsia="Calibri"/>
                <w:b/>
                <w:bCs/>
                <w:lang w:val="es-ES"/>
              </w:rPr>
              <w:t>Destinen</w:t>
            </w:r>
            <w:r w:rsidR="00B20F1E" w:rsidRPr="00462C9B">
              <w:rPr>
                <w:rFonts w:eastAsia="Calibri"/>
                <w:lang w:val="es-ES"/>
              </w:rPr>
              <w:t xml:space="preserve"> recursos específicos para seguir pormenorizadamente la evolución de este punto del orden del día durante la CMR-23.</w:t>
            </w:r>
          </w:p>
          <w:p w14:paraId="27F58C11" w14:textId="35327E63" w:rsidR="00B20F1E" w:rsidRPr="00462C9B" w:rsidRDefault="008902B6" w:rsidP="008902B6">
            <w:pPr>
              <w:pStyle w:val="Tabletext"/>
              <w:ind w:left="284" w:hanging="284"/>
              <w:rPr>
                <w:rFonts w:eastAsia="Calibri"/>
                <w:i/>
                <w:color w:val="000000"/>
                <w:lang w:val="es-ES"/>
              </w:rPr>
            </w:pPr>
            <w:r w:rsidRPr="00462C9B">
              <w:rPr>
                <w:rFonts w:eastAsia="Calibri"/>
                <w:lang w:val="es-ES"/>
              </w:rPr>
              <w:t>4</w:t>
            </w:r>
            <w:r w:rsidRPr="00462C9B">
              <w:rPr>
                <w:rFonts w:eastAsia="Calibri"/>
                <w:lang w:val="es-ES"/>
              </w:rPr>
              <w:tab/>
            </w:r>
            <w:r w:rsidR="00B20F1E" w:rsidRPr="00462C9B">
              <w:rPr>
                <w:rFonts w:eastAsia="Calibri"/>
                <w:b/>
                <w:bCs/>
                <w:lang w:val="es-ES"/>
              </w:rPr>
              <w:t>Participen</w:t>
            </w:r>
            <w:r w:rsidR="00B20F1E" w:rsidRPr="00462C9B">
              <w:rPr>
                <w:rFonts w:eastAsia="Calibri"/>
                <w:lang w:val="es-ES"/>
              </w:rPr>
              <w:t xml:space="preserve"> activamente en una reunión en línea que prevé organizar la secretaría de la UAT para examinar el informe de la Oficina de Radiocomunicaciones y preparar una Propuesta Común Africana sobre este punto del orden del día.</w:t>
            </w:r>
          </w:p>
        </w:tc>
      </w:tr>
      <w:tr w:rsidR="00B20F1E" w:rsidRPr="00B707C8" w14:paraId="477C0D90" w14:textId="77777777" w:rsidTr="00DB48C6">
        <w:trPr>
          <w:jc w:val="center"/>
        </w:trPr>
        <w:tc>
          <w:tcPr>
            <w:tcW w:w="2978" w:type="dxa"/>
          </w:tcPr>
          <w:p w14:paraId="53E23148" w14:textId="77777777" w:rsidR="00B20F1E" w:rsidRPr="000D2717" w:rsidRDefault="00B20F1E" w:rsidP="008902B6">
            <w:pPr>
              <w:pStyle w:val="Tabletext"/>
              <w:rPr>
                <w:rFonts w:eastAsia="Calibri"/>
                <w:lang w:val="es-ES"/>
              </w:rPr>
            </w:pPr>
            <w:r>
              <w:rPr>
                <w:rFonts w:eastAsia="Calibri"/>
                <w:lang w:val="es-ES"/>
              </w:rPr>
              <w:t>Punto</w:t>
            </w:r>
            <w:r w:rsidRPr="000D2717">
              <w:rPr>
                <w:rFonts w:eastAsia="Calibri"/>
                <w:lang w:val="es-ES"/>
              </w:rPr>
              <w:t xml:space="preserve"> 10</w:t>
            </w:r>
          </w:p>
          <w:p w14:paraId="2789744B" w14:textId="77777777" w:rsidR="00B20F1E" w:rsidRPr="000D2717" w:rsidRDefault="00B20F1E" w:rsidP="008902B6">
            <w:pPr>
              <w:pStyle w:val="Tabletext"/>
              <w:rPr>
                <w:rFonts w:eastAsia="Calibri"/>
                <w:lang w:val="es-ES"/>
              </w:rPr>
            </w:pPr>
            <w:r>
              <w:rPr>
                <w:rFonts w:eastAsia="Calibri"/>
                <w:color w:val="000000"/>
                <w:lang w:val="es-ES"/>
              </w:rPr>
              <w:t>R</w:t>
            </w:r>
            <w:r w:rsidRPr="00D25E84">
              <w:rPr>
                <w:rFonts w:eastAsia="Calibri"/>
                <w:color w:val="000000"/>
                <w:lang w:val="es-ES"/>
              </w:rPr>
              <w:t>ecomendar al Consejo los puntos que han de incluirse en el orden del día de la próxima CMR, y formular opiniones sobre el orden del día preliminar de la conferencia siguiente y sobre los posibles órdenes del día de futuras conferencias, de conformidad con el Artículo 7 del Convenio</w:t>
            </w:r>
            <w:r w:rsidRPr="000D2717">
              <w:rPr>
                <w:rFonts w:eastAsia="Calibri"/>
                <w:color w:val="000000"/>
                <w:lang w:val="es-ES"/>
              </w:rPr>
              <w:t>.</w:t>
            </w:r>
          </w:p>
        </w:tc>
        <w:tc>
          <w:tcPr>
            <w:tcW w:w="6287" w:type="dxa"/>
          </w:tcPr>
          <w:p w14:paraId="5F3F329E" w14:textId="77777777" w:rsidR="00B20F1E" w:rsidRPr="000D2717" w:rsidRDefault="00B20F1E" w:rsidP="008902B6">
            <w:pPr>
              <w:pStyle w:val="Tabletext"/>
              <w:rPr>
                <w:rFonts w:eastAsia="Calibri"/>
                <w:i/>
                <w:u w:val="single"/>
                <w:lang w:val="es-ES"/>
              </w:rPr>
            </w:pPr>
            <w:r>
              <w:rPr>
                <w:rFonts w:eastAsia="Calibri"/>
                <w:i/>
                <w:u w:val="single"/>
                <w:lang w:val="es-ES"/>
              </w:rPr>
              <w:t>Parte 1</w:t>
            </w:r>
            <w:r w:rsidRPr="000D2717">
              <w:rPr>
                <w:rFonts w:eastAsia="Calibri"/>
                <w:i/>
                <w:u w:val="single"/>
                <w:lang w:val="es-ES"/>
              </w:rPr>
              <w:t>: Posición común:</w:t>
            </w:r>
          </w:p>
          <w:p w14:paraId="1685BB48" w14:textId="385796F1" w:rsidR="00B20F1E" w:rsidRPr="000D2717" w:rsidRDefault="008902B6" w:rsidP="008902B6">
            <w:pPr>
              <w:pStyle w:val="Tabletext"/>
              <w:ind w:left="284" w:hanging="284"/>
              <w:rPr>
                <w:rFonts w:eastAsia="Calibri"/>
                <w:lang w:val="es-ES"/>
              </w:rPr>
            </w:pPr>
            <w:r>
              <w:rPr>
                <w:rFonts w:eastAsia="Calibri"/>
                <w:lang w:val="es-ES"/>
              </w:rPr>
              <w:t>1</w:t>
            </w:r>
            <w:r>
              <w:rPr>
                <w:rFonts w:eastAsia="Calibri"/>
                <w:lang w:val="es-ES"/>
              </w:rPr>
              <w:tab/>
            </w:r>
            <w:r w:rsidR="00B20F1E" w:rsidRPr="008902B6">
              <w:rPr>
                <w:rFonts w:eastAsia="Calibri"/>
                <w:b/>
                <w:bCs/>
                <w:lang w:val="es-ES"/>
              </w:rPr>
              <w:t>Considerar</w:t>
            </w:r>
            <w:r w:rsidR="00B20F1E" w:rsidRPr="000D2717">
              <w:rPr>
                <w:rFonts w:eastAsia="Calibri"/>
                <w:lang w:val="es-ES"/>
              </w:rPr>
              <w:t xml:space="preserve"> el </w:t>
            </w:r>
            <w:r>
              <w:rPr>
                <w:rFonts w:eastAsia="Calibri"/>
                <w:lang w:val="es-ES"/>
              </w:rPr>
              <w:t>«</w:t>
            </w:r>
            <w:r w:rsidR="00B20F1E" w:rsidRPr="000D2717">
              <w:rPr>
                <w:rFonts w:eastAsia="Calibri"/>
                <w:i/>
                <w:lang w:val="es-ES"/>
              </w:rPr>
              <w:t>resuelve 3</w:t>
            </w:r>
            <w:r w:rsidRPr="008902B6">
              <w:rPr>
                <w:rFonts w:eastAsia="Calibri"/>
                <w:iCs/>
                <w:lang w:val="es-ES"/>
              </w:rPr>
              <w:t>»</w:t>
            </w:r>
            <w:r w:rsidR="00B20F1E" w:rsidRPr="000D2717">
              <w:rPr>
                <w:rFonts w:eastAsia="Calibri"/>
                <w:i/>
                <w:lang w:val="es-ES"/>
              </w:rPr>
              <w:t xml:space="preserve"> </w:t>
            </w:r>
            <w:r w:rsidR="00B20F1E" w:rsidRPr="000D2717">
              <w:rPr>
                <w:rFonts w:eastAsia="Calibri"/>
                <w:lang w:val="es-ES"/>
              </w:rPr>
              <w:t>de la R</w:t>
            </w:r>
            <w:r>
              <w:rPr>
                <w:rFonts w:eastAsia="Calibri"/>
                <w:lang w:val="es-ES"/>
              </w:rPr>
              <w:t>esolución</w:t>
            </w:r>
            <w:r w:rsidR="00B20F1E" w:rsidRPr="000D2717">
              <w:rPr>
                <w:rFonts w:eastAsia="Calibri"/>
                <w:lang w:val="es-ES"/>
              </w:rPr>
              <w:t xml:space="preserve"> </w:t>
            </w:r>
            <w:r w:rsidR="00B20F1E" w:rsidRPr="008902B6">
              <w:rPr>
                <w:rFonts w:eastAsia="Calibri"/>
                <w:b/>
                <w:bCs/>
                <w:lang w:val="es-ES"/>
              </w:rPr>
              <w:t>804 (R</w:t>
            </w:r>
            <w:r w:rsidRPr="008902B6">
              <w:rPr>
                <w:rFonts w:eastAsia="Calibri"/>
                <w:b/>
                <w:bCs/>
                <w:lang w:val="es-ES"/>
              </w:rPr>
              <w:t>ev</w:t>
            </w:r>
            <w:r w:rsidR="00B20F1E" w:rsidRPr="008902B6">
              <w:rPr>
                <w:rFonts w:eastAsia="Calibri"/>
                <w:b/>
                <w:bCs/>
                <w:lang w:val="es-ES"/>
              </w:rPr>
              <w:t>.CMR-19)</w:t>
            </w:r>
            <w:r w:rsidR="00B20F1E">
              <w:rPr>
                <w:rFonts w:eastAsia="Calibri"/>
                <w:lang w:val="es-ES"/>
              </w:rPr>
              <w:t xml:space="preserve">, </w:t>
            </w:r>
            <w:r>
              <w:rPr>
                <w:rFonts w:eastAsia="Calibri"/>
                <w:lang w:val="es-ES"/>
              </w:rPr>
              <w:t>«</w:t>
            </w:r>
            <w:r w:rsidR="00B20F1E" w:rsidRPr="00ED5E0A">
              <w:rPr>
                <w:rFonts w:eastAsia="Calibri"/>
                <w:i/>
                <w:iCs/>
                <w:lang w:val="es-ES"/>
              </w:rPr>
              <w:t>alentar</w:t>
            </w:r>
            <w:r w:rsidR="00B20F1E" w:rsidRPr="00ED5E0A">
              <w:rPr>
                <w:rFonts w:eastAsia="Calibri"/>
                <w:i/>
                <w:lang w:val="es-ES"/>
              </w:rPr>
              <w:t xml:space="preserve"> a las administraciones y a </w:t>
            </w:r>
            <w:r w:rsidR="00B20F1E">
              <w:rPr>
                <w:rFonts w:eastAsia="Calibri"/>
                <w:i/>
                <w:lang w:val="es-ES"/>
              </w:rPr>
              <w:t>las</w:t>
            </w:r>
            <w:r w:rsidR="00B20F1E" w:rsidRPr="00ED5E0A">
              <w:rPr>
                <w:rFonts w:eastAsia="Calibri"/>
                <w:i/>
                <w:lang w:val="es-ES"/>
              </w:rPr>
              <w:t xml:space="preserve"> </w:t>
            </w:r>
            <w:r w:rsidR="00B20F1E">
              <w:rPr>
                <w:rFonts w:eastAsia="Calibri"/>
                <w:i/>
                <w:lang w:val="es-ES"/>
              </w:rPr>
              <w:t>organizaciones</w:t>
            </w:r>
            <w:r w:rsidR="00B20F1E" w:rsidRPr="00ED5E0A">
              <w:rPr>
                <w:rFonts w:eastAsia="Calibri"/>
                <w:i/>
                <w:lang w:val="es-ES"/>
              </w:rPr>
              <w:t xml:space="preserve"> de telecomunicación regionales a que presenten, en la medida de lo posible, </w:t>
            </w:r>
            <w:r w:rsidR="00B20F1E" w:rsidRPr="008902B6">
              <w:rPr>
                <w:rFonts w:eastAsia="Calibri"/>
                <w:b/>
                <w:bCs/>
                <w:i/>
                <w:lang w:val="es-ES"/>
              </w:rPr>
              <w:t>información sobre los puntos o temas que podrían incluirse en el orden del día de futuras</w:t>
            </w:r>
            <w:r w:rsidR="00B20F1E" w:rsidRPr="00ED5E0A">
              <w:rPr>
                <w:rFonts w:eastAsia="Calibri"/>
                <w:i/>
                <w:lang w:val="es-ES"/>
              </w:rPr>
              <w:t xml:space="preserve"> CMR en el marco del punto permanente del orden del día de la CMR mencionado en el resuelve 1 a la segunda sesión de la RPC</w:t>
            </w:r>
            <w:r w:rsidRPr="008902B6">
              <w:rPr>
                <w:rFonts w:eastAsia="Calibri"/>
                <w:iCs/>
                <w:lang w:val="es-ES"/>
              </w:rPr>
              <w:t>»</w:t>
            </w:r>
            <w:r w:rsidR="00B20F1E" w:rsidRPr="008902B6">
              <w:rPr>
                <w:rFonts w:eastAsia="Calibri"/>
                <w:iCs/>
                <w:lang w:val="es-ES"/>
              </w:rPr>
              <w:t>,</w:t>
            </w:r>
          </w:p>
          <w:p w14:paraId="236E7181" w14:textId="3F003FA4" w:rsidR="00B20F1E" w:rsidRPr="000D2717" w:rsidRDefault="008902B6" w:rsidP="008902B6">
            <w:pPr>
              <w:pStyle w:val="Tabletext"/>
              <w:ind w:left="284" w:hanging="284"/>
              <w:rPr>
                <w:rFonts w:eastAsia="Calibri"/>
                <w:lang w:val="es-ES"/>
              </w:rPr>
            </w:pPr>
            <w:r>
              <w:rPr>
                <w:rFonts w:eastAsia="Calibri"/>
                <w:lang w:val="es-ES"/>
              </w:rPr>
              <w:t>2</w:t>
            </w:r>
            <w:r>
              <w:rPr>
                <w:rFonts w:eastAsia="Calibri"/>
                <w:lang w:val="es-ES"/>
              </w:rPr>
              <w:tab/>
            </w:r>
            <w:r w:rsidR="00B20F1E" w:rsidRPr="0029737E">
              <w:rPr>
                <w:rFonts w:eastAsia="Calibri"/>
                <w:b/>
                <w:bCs/>
                <w:lang w:val="es-ES"/>
              </w:rPr>
              <w:t>Recordar</w:t>
            </w:r>
            <w:r w:rsidR="00B20F1E" w:rsidRPr="000D2717">
              <w:rPr>
                <w:rFonts w:eastAsia="Calibri"/>
                <w:lang w:val="es-ES"/>
              </w:rPr>
              <w:t xml:space="preserve"> que la </w:t>
            </w:r>
            <w:r w:rsidR="00B20F1E">
              <w:rPr>
                <w:rFonts w:eastAsia="Calibri"/>
                <w:lang w:val="es-ES"/>
              </w:rPr>
              <w:t>RPU</w:t>
            </w:r>
            <w:r w:rsidR="00B20F1E" w:rsidRPr="000D2717">
              <w:rPr>
                <w:rFonts w:eastAsia="Calibri"/>
                <w:lang w:val="es-ES"/>
              </w:rPr>
              <w:t xml:space="preserve">23-3 decidió que </w:t>
            </w:r>
            <w:r>
              <w:rPr>
                <w:rFonts w:eastAsia="Calibri"/>
                <w:lang w:val="es-ES"/>
              </w:rPr>
              <w:t>«</w:t>
            </w:r>
            <w:r w:rsidR="00B20F1E" w:rsidRPr="000D2717">
              <w:rPr>
                <w:rFonts w:eastAsia="Calibri"/>
                <w:lang w:val="es-ES"/>
              </w:rPr>
              <w:t xml:space="preserve">las </w:t>
            </w:r>
            <w:r w:rsidR="00B20F1E" w:rsidRPr="000D2717">
              <w:rPr>
                <w:rFonts w:eastAsia="Calibri"/>
                <w:i/>
                <w:lang w:val="es-ES"/>
              </w:rPr>
              <w:t xml:space="preserve">propuestas a los Grupos de Trabajo de la </w:t>
            </w:r>
            <w:r w:rsidR="00B20F1E">
              <w:rPr>
                <w:rFonts w:eastAsia="Calibri"/>
                <w:i/>
                <w:lang w:val="es-ES"/>
              </w:rPr>
              <w:t>UAT</w:t>
            </w:r>
            <w:r w:rsidR="00B20F1E" w:rsidRPr="000D2717">
              <w:rPr>
                <w:rFonts w:eastAsia="Calibri"/>
                <w:i/>
                <w:lang w:val="es-ES"/>
              </w:rPr>
              <w:t xml:space="preserve"> o las </w:t>
            </w:r>
            <w:r w:rsidR="00B20F1E">
              <w:rPr>
                <w:rFonts w:eastAsia="Calibri"/>
                <w:i/>
                <w:lang w:val="es-ES"/>
              </w:rPr>
              <w:t>RPU</w:t>
            </w:r>
            <w:r w:rsidR="00B20F1E" w:rsidRPr="000D2717">
              <w:rPr>
                <w:rFonts w:eastAsia="Calibri"/>
                <w:i/>
                <w:lang w:val="es-ES"/>
              </w:rPr>
              <w:t xml:space="preserve"> en el marco </w:t>
            </w:r>
            <w:r w:rsidR="00B20F1E">
              <w:rPr>
                <w:rFonts w:eastAsia="Calibri"/>
                <w:i/>
                <w:lang w:val="es-ES"/>
              </w:rPr>
              <w:t>del punto</w:t>
            </w:r>
            <w:r w:rsidR="00B20F1E" w:rsidRPr="000D2717">
              <w:rPr>
                <w:rFonts w:eastAsia="Calibri"/>
                <w:i/>
                <w:lang w:val="es-ES"/>
              </w:rPr>
              <w:t xml:space="preserve"> 10 </w:t>
            </w:r>
            <w:r w:rsidR="00B20F1E">
              <w:rPr>
                <w:rFonts w:eastAsia="Calibri"/>
                <w:i/>
                <w:lang w:val="es-ES"/>
              </w:rPr>
              <w:t xml:space="preserve">del orden del </w:t>
            </w:r>
            <w:r w:rsidR="00B20F1E">
              <w:rPr>
                <w:rFonts w:eastAsia="Calibri"/>
                <w:i/>
                <w:lang w:val="es-ES"/>
              </w:rPr>
              <w:lastRenderedPageBreak/>
              <w:t xml:space="preserve">día </w:t>
            </w:r>
            <w:r w:rsidR="00B20F1E" w:rsidRPr="000D2717">
              <w:rPr>
                <w:rFonts w:eastAsia="Calibri"/>
                <w:i/>
                <w:lang w:val="es-ES"/>
              </w:rPr>
              <w:t xml:space="preserve">deberían </w:t>
            </w:r>
            <w:r w:rsidR="00B20F1E">
              <w:rPr>
                <w:rFonts w:eastAsia="Calibri"/>
                <w:i/>
                <w:lang w:val="es-ES"/>
              </w:rPr>
              <w:t>presentarlas</w:t>
            </w:r>
            <w:r w:rsidR="00B20F1E" w:rsidRPr="000D2717">
              <w:rPr>
                <w:rFonts w:eastAsia="Calibri"/>
                <w:i/>
                <w:lang w:val="es-ES"/>
              </w:rPr>
              <w:t xml:space="preserve"> las subregiones o los Estados </w:t>
            </w:r>
            <w:r w:rsidR="00B20F1E">
              <w:rPr>
                <w:rFonts w:eastAsia="Calibri"/>
                <w:i/>
                <w:lang w:val="es-ES"/>
              </w:rPr>
              <w:t>M</w:t>
            </w:r>
            <w:r w:rsidR="00B20F1E" w:rsidRPr="000D2717">
              <w:rPr>
                <w:rFonts w:eastAsia="Calibri"/>
                <w:i/>
                <w:lang w:val="es-ES"/>
              </w:rPr>
              <w:t xml:space="preserve">iembros de la </w:t>
            </w:r>
            <w:r w:rsidR="00B20F1E">
              <w:rPr>
                <w:rFonts w:eastAsia="Calibri"/>
                <w:i/>
                <w:lang w:val="es-ES"/>
              </w:rPr>
              <w:t>UAT, exclusivamente</w:t>
            </w:r>
            <w:r w:rsidR="00B20F1E" w:rsidRPr="000D2717">
              <w:rPr>
                <w:rFonts w:eastAsia="Calibri"/>
                <w:i/>
                <w:lang w:val="es-ES"/>
              </w:rPr>
              <w:t xml:space="preserve"> por </w:t>
            </w:r>
            <w:r w:rsidR="00B20F1E">
              <w:rPr>
                <w:rFonts w:eastAsia="Calibri"/>
                <w:i/>
                <w:lang w:val="es-ES"/>
              </w:rPr>
              <w:t>motivos</w:t>
            </w:r>
            <w:r w:rsidR="00B20F1E" w:rsidRPr="000D2717">
              <w:rPr>
                <w:rFonts w:eastAsia="Calibri"/>
                <w:i/>
                <w:lang w:val="es-ES"/>
              </w:rPr>
              <w:t xml:space="preserve"> de propiedad y </w:t>
            </w:r>
            <w:r w:rsidR="00B20F1E">
              <w:rPr>
                <w:rFonts w:eastAsia="Calibri"/>
                <w:i/>
                <w:lang w:val="es-ES"/>
              </w:rPr>
              <w:t>rendición de cuentas en relación con las correspondientes medidas</w:t>
            </w:r>
            <w:r w:rsidR="00B20F1E" w:rsidRPr="000D2717">
              <w:rPr>
                <w:rFonts w:eastAsia="Calibri"/>
                <w:i/>
                <w:lang w:val="es-ES"/>
              </w:rPr>
              <w:t xml:space="preserve"> necesarias, </w:t>
            </w:r>
            <w:r w:rsidR="00B20F1E">
              <w:rPr>
                <w:rFonts w:eastAsia="Calibri"/>
                <w:i/>
                <w:lang w:val="es-ES"/>
              </w:rPr>
              <w:t>en particular</w:t>
            </w:r>
            <w:r w:rsidR="00B20F1E" w:rsidRPr="000D2717">
              <w:rPr>
                <w:rFonts w:eastAsia="Calibri"/>
                <w:i/>
                <w:lang w:val="es-ES"/>
              </w:rPr>
              <w:t xml:space="preserve"> </w:t>
            </w:r>
            <w:r w:rsidR="00B20F1E">
              <w:rPr>
                <w:rFonts w:eastAsia="Calibri"/>
                <w:i/>
                <w:lang w:val="es-ES"/>
              </w:rPr>
              <w:t>la realización de</w:t>
            </w:r>
            <w:r w:rsidR="00B20F1E" w:rsidRPr="000D2717">
              <w:rPr>
                <w:rFonts w:eastAsia="Calibri"/>
                <w:i/>
                <w:lang w:val="es-ES"/>
              </w:rPr>
              <w:t xml:space="preserve"> estudios, y que </w:t>
            </w:r>
            <w:r w:rsidR="00B20F1E">
              <w:rPr>
                <w:rFonts w:eastAsia="Calibri"/>
                <w:i/>
                <w:lang w:val="es-ES"/>
              </w:rPr>
              <w:t>con objeto de</w:t>
            </w:r>
            <w:r w:rsidR="00B20F1E" w:rsidRPr="000D2717">
              <w:rPr>
                <w:rFonts w:eastAsia="Calibri"/>
                <w:i/>
                <w:lang w:val="es-ES"/>
              </w:rPr>
              <w:t xml:space="preserve"> </w:t>
            </w:r>
            <w:r w:rsidR="00B20F1E">
              <w:rPr>
                <w:rFonts w:eastAsia="Calibri"/>
                <w:i/>
                <w:lang w:val="es-ES"/>
              </w:rPr>
              <w:t>disipar</w:t>
            </w:r>
            <w:r w:rsidR="00B20F1E" w:rsidRPr="000D2717">
              <w:rPr>
                <w:rFonts w:eastAsia="Calibri"/>
                <w:i/>
                <w:lang w:val="es-ES"/>
              </w:rPr>
              <w:t xml:space="preserve"> dudas, las propuestas de Miembros Asociados</w:t>
            </w:r>
            <w:r w:rsidR="00B20F1E">
              <w:rPr>
                <w:rFonts w:eastAsia="Calibri"/>
                <w:i/>
                <w:lang w:val="es-ES"/>
              </w:rPr>
              <w:t xml:space="preserve"> o de</w:t>
            </w:r>
            <w:r w:rsidR="00B20F1E" w:rsidRPr="000D2717">
              <w:rPr>
                <w:rFonts w:eastAsia="Calibri"/>
                <w:i/>
                <w:lang w:val="es-ES"/>
              </w:rPr>
              <w:t xml:space="preserve"> </w:t>
            </w:r>
            <w:r w:rsidR="00B20F1E">
              <w:rPr>
                <w:rFonts w:eastAsia="Calibri"/>
                <w:i/>
                <w:lang w:val="es-ES"/>
              </w:rPr>
              <w:t xml:space="preserve">Asociados, entre otras partes, </w:t>
            </w:r>
            <w:r w:rsidR="00B20F1E" w:rsidRPr="000D2717">
              <w:rPr>
                <w:rFonts w:eastAsia="Calibri"/>
                <w:i/>
                <w:lang w:val="es-ES"/>
              </w:rPr>
              <w:t xml:space="preserve">deberían </w:t>
            </w:r>
            <w:r w:rsidR="00B20F1E">
              <w:rPr>
                <w:rFonts w:eastAsia="Calibri"/>
                <w:i/>
                <w:lang w:val="es-ES"/>
              </w:rPr>
              <w:t>tramitarse</w:t>
            </w:r>
            <w:r w:rsidR="00B20F1E" w:rsidRPr="000D2717">
              <w:rPr>
                <w:rFonts w:eastAsia="Calibri"/>
                <w:i/>
                <w:lang w:val="es-ES"/>
              </w:rPr>
              <w:t xml:space="preserve"> a través de las subregiones o los Estados </w:t>
            </w:r>
            <w:r w:rsidR="00B20F1E">
              <w:rPr>
                <w:rFonts w:eastAsia="Calibri"/>
                <w:i/>
                <w:lang w:val="es-ES"/>
              </w:rPr>
              <w:t>M</w:t>
            </w:r>
            <w:r w:rsidR="00B20F1E" w:rsidRPr="000D2717">
              <w:rPr>
                <w:rFonts w:eastAsia="Calibri"/>
                <w:i/>
                <w:lang w:val="es-ES"/>
              </w:rPr>
              <w:t xml:space="preserve">iembros de la </w:t>
            </w:r>
            <w:r w:rsidR="00B20F1E">
              <w:rPr>
                <w:rFonts w:eastAsia="Calibri"/>
                <w:i/>
                <w:lang w:val="es-ES"/>
              </w:rPr>
              <w:t>UAT</w:t>
            </w:r>
            <w:r w:rsidRPr="008902B6">
              <w:rPr>
                <w:rFonts w:eastAsia="Calibri"/>
                <w:iCs/>
                <w:lang w:val="es-ES"/>
              </w:rPr>
              <w:t>»</w:t>
            </w:r>
            <w:r w:rsidR="00B20F1E" w:rsidRPr="008902B6">
              <w:rPr>
                <w:rFonts w:eastAsia="Calibri"/>
                <w:iCs/>
                <w:lang w:val="es-ES"/>
              </w:rPr>
              <w:t>.</w:t>
            </w:r>
          </w:p>
          <w:p w14:paraId="5F052C1E" w14:textId="6EEC2635" w:rsidR="00B20F1E" w:rsidRPr="000D2717" w:rsidRDefault="008902B6" w:rsidP="008902B6">
            <w:pPr>
              <w:pStyle w:val="Tabletext"/>
              <w:ind w:left="284" w:hanging="284"/>
              <w:rPr>
                <w:rFonts w:eastAsia="Calibri"/>
                <w:lang w:val="es-ES"/>
              </w:rPr>
            </w:pPr>
            <w:r>
              <w:rPr>
                <w:rFonts w:eastAsia="Calibri"/>
                <w:lang w:val="es-ES"/>
              </w:rPr>
              <w:t>3</w:t>
            </w:r>
            <w:r>
              <w:rPr>
                <w:rFonts w:eastAsia="Calibri"/>
                <w:lang w:val="es-ES"/>
              </w:rPr>
              <w:tab/>
            </w:r>
            <w:r w:rsidR="00B20F1E" w:rsidRPr="0029737E">
              <w:rPr>
                <w:rFonts w:eastAsia="Calibri"/>
                <w:b/>
                <w:bCs/>
                <w:lang w:val="es-ES"/>
              </w:rPr>
              <w:t>Recordar</w:t>
            </w:r>
            <w:r w:rsidR="00B20F1E">
              <w:rPr>
                <w:rFonts w:eastAsia="Calibri"/>
                <w:lang w:val="es-ES"/>
              </w:rPr>
              <w:t xml:space="preserve"> </w:t>
            </w:r>
            <w:r w:rsidR="00B20F1E" w:rsidRPr="000D2717">
              <w:rPr>
                <w:rFonts w:eastAsia="Calibri"/>
                <w:lang w:val="es-ES"/>
              </w:rPr>
              <w:t xml:space="preserve">que se sometió a la consideración de la </w:t>
            </w:r>
            <w:r w:rsidR="00B20F1E">
              <w:rPr>
                <w:rFonts w:eastAsia="Calibri"/>
                <w:lang w:val="es-ES"/>
              </w:rPr>
              <w:t>RPU</w:t>
            </w:r>
            <w:r w:rsidR="00B20F1E" w:rsidRPr="000D2717">
              <w:rPr>
                <w:rFonts w:eastAsia="Calibri"/>
                <w:lang w:val="es-ES"/>
              </w:rPr>
              <w:t xml:space="preserve">23-3 un posible nuevo tema para el orden del día de futuras CMR sobre </w:t>
            </w:r>
            <w:r w:rsidR="0029737E">
              <w:rPr>
                <w:rFonts w:eastAsia="Calibri"/>
                <w:lang w:val="es-ES"/>
              </w:rPr>
              <w:t>«</w:t>
            </w:r>
            <w:r w:rsidR="00B20F1E" w:rsidRPr="000D2717">
              <w:rPr>
                <w:rFonts w:eastAsia="Calibri"/>
                <w:i/>
                <w:lang w:val="es-ES"/>
              </w:rPr>
              <w:t xml:space="preserve">Protección de zonas </w:t>
            </w:r>
            <w:r w:rsidR="00B20F1E">
              <w:rPr>
                <w:rFonts w:eastAsia="Calibri"/>
                <w:i/>
                <w:lang w:val="es-ES"/>
              </w:rPr>
              <w:t xml:space="preserve">de silencio radioeléctrico </w:t>
            </w:r>
            <w:r w:rsidR="00B20F1E" w:rsidRPr="000D2717">
              <w:rPr>
                <w:rFonts w:eastAsia="Calibri"/>
                <w:i/>
                <w:lang w:val="es-ES"/>
              </w:rPr>
              <w:t xml:space="preserve">frente a </w:t>
            </w:r>
            <w:proofErr w:type="spellStart"/>
            <w:r w:rsidR="00B20F1E" w:rsidRPr="000D2717">
              <w:rPr>
                <w:rFonts w:eastAsia="Calibri"/>
                <w:i/>
                <w:lang w:val="es-ES"/>
              </w:rPr>
              <w:t>megaconstelaciones</w:t>
            </w:r>
            <w:proofErr w:type="spellEnd"/>
            <w:r w:rsidR="00B20F1E" w:rsidRPr="000D2717">
              <w:rPr>
                <w:rFonts w:eastAsia="Calibri"/>
                <w:i/>
                <w:lang w:val="es-ES"/>
              </w:rPr>
              <w:t xml:space="preserve"> de satélites</w:t>
            </w:r>
            <w:r w:rsidR="002E5F5C">
              <w:rPr>
                <w:rFonts w:eastAsia="Calibri"/>
                <w:lang w:val="es-ES"/>
              </w:rPr>
              <w:t>»</w:t>
            </w:r>
            <w:r w:rsidR="00B20F1E" w:rsidRPr="000D2717">
              <w:rPr>
                <w:rFonts w:eastAsia="Calibri"/>
                <w:lang w:val="es-ES"/>
              </w:rPr>
              <w:t xml:space="preserve"> y que la </w:t>
            </w:r>
            <w:r w:rsidR="00B20F1E">
              <w:rPr>
                <w:rFonts w:eastAsia="Calibri"/>
                <w:lang w:val="es-ES"/>
              </w:rPr>
              <w:t>RPU</w:t>
            </w:r>
            <w:r w:rsidR="00B20F1E" w:rsidRPr="000D2717">
              <w:rPr>
                <w:rFonts w:eastAsia="Calibri"/>
                <w:lang w:val="es-ES"/>
              </w:rPr>
              <w:t>23-3 solicitó a las Administraciones que considera</w:t>
            </w:r>
            <w:r w:rsidR="00B20F1E">
              <w:rPr>
                <w:rFonts w:eastAsia="Calibri"/>
                <w:lang w:val="es-ES"/>
              </w:rPr>
              <w:t>ran</w:t>
            </w:r>
            <w:r w:rsidR="00B20F1E" w:rsidRPr="000D2717">
              <w:rPr>
                <w:rFonts w:eastAsia="Calibri"/>
                <w:lang w:val="es-ES"/>
              </w:rPr>
              <w:t xml:space="preserve"> </w:t>
            </w:r>
            <w:r w:rsidR="00B20F1E">
              <w:rPr>
                <w:rFonts w:eastAsia="Calibri"/>
                <w:lang w:val="es-ES"/>
              </w:rPr>
              <w:t>ese</w:t>
            </w:r>
            <w:r w:rsidR="00B20F1E" w:rsidRPr="000D2717">
              <w:rPr>
                <w:rFonts w:eastAsia="Calibri"/>
                <w:lang w:val="es-ES"/>
              </w:rPr>
              <w:t xml:space="preserve"> tema </w:t>
            </w:r>
            <w:r w:rsidR="002E5F5C">
              <w:rPr>
                <w:rFonts w:eastAsia="Calibri"/>
                <w:lang w:val="es-ES"/>
              </w:rPr>
              <w:t>«</w:t>
            </w:r>
            <w:r w:rsidR="00B20F1E" w:rsidRPr="00393825">
              <w:rPr>
                <w:rFonts w:eastAsia="Calibri"/>
                <w:i/>
                <w:iCs/>
                <w:lang w:val="es-ES"/>
              </w:rPr>
              <w:t>con</w:t>
            </w:r>
            <w:r w:rsidR="00B20F1E">
              <w:rPr>
                <w:rFonts w:eastAsia="Calibri"/>
                <w:lang w:val="es-ES"/>
              </w:rPr>
              <w:t xml:space="preserve"> </w:t>
            </w:r>
            <w:r w:rsidR="00B20F1E">
              <w:rPr>
                <w:rFonts w:eastAsia="Calibri"/>
                <w:i/>
                <w:lang w:val="es-ES"/>
              </w:rPr>
              <w:t>miras</w:t>
            </w:r>
            <w:r w:rsidR="00B20F1E" w:rsidRPr="000D2717">
              <w:rPr>
                <w:rFonts w:eastAsia="Calibri"/>
                <w:i/>
                <w:lang w:val="es-ES"/>
              </w:rPr>
              <w:t xml:space="preserve"> a abordar cuestiones potencialmente </w:t>
            </w:r>
            <w:r w:rsidR="00B20F1E">
              <w:rPr>
                <w:rFonts w:eastAsia="Calibri"/>
                <w:i/>
                <w:lang w:val="es-ES"/>
              </w:rPr>
              <w:t>complejas</w:t>
            </w:r>
            <w:r w:rsidR="00B20F1E" w:rsidRPr="000D2717">
              <w:rPr>
                <w:rFonts w:eastAsia="Calibri"/>
                <w:i/>
                <w:lang w:val="es-ES"/>
              </w:rPr>
              <w:t xml:space="preserve"> </w:t>
            </w:r>
            <w:r w:rsidR="00B20F1E">
              <w:rPr>
                <w:rFonts w:eastAsia="Calibri"/>
                <w:i/>
                <w:lang w:val="es-ES"/>
              </w:rPr>
              <w:t xml:space="preserve">en relación con ciertos temas </w:t>
            </w:r>
            <w:r w:rsidR="00B20F1E" w:rsidRPr="000D2717">
              <w:rPr>
                <w:rFonts w:eastAsia="Calibri"/>
                <w:i/>
                <w:lang w:val="es-ES"/>
              </w:rPr>
              <w:t xml:space="preserve">en la próxima reunión del GT5 y la </w:t>
            </w:r>
            <w:r w:rsidR="00B20F1E">
              <w:rPr>
                <w:rFonts w:eastAsia="Calibri"/>
                <w:i/>
                <w:lang w:val="es-ES"/>
              </w:rPr>
              <w:t>RPU</w:t>
            </w:r>
            <w:r w:rsidR="00B20F1E" w:rsidRPr="000D2717">
              <w:rPr>
                <w:rFonts w:eastAsia="Calibri"/>
                <w:i/>
                <w:lang w:val="es-ES"/>
              </w:rPr>
              <w:t>23-4</w:t>
            </w:r>
            <w:r w:rsidR="0029737E">
              <w:rPr>
                <w:rFonts w:eastAsia="Calibri"/>
                <w:lang w:val="es-ES"/>
              </w:rPr>
              <w:t>»</w:t>
            </w:r>
            <w:r w:rsidR="00B20F1E" w:rsidRPr="000D2717">
              <w:rPr>
                <w:rFonts w:eastAsia="Calibri"/>
                <w:lang w:val="es-ES"/>
              </w:rPr>
              <w:t>,</w:t>
            </w:r>
          </w:p>
          <w:p w14:paraId="647A54F6" w14:textId="7E2467C4" w:rsidR="00B20F1E" w:rsidRPr="000D2717" w:rsidRDefault="0029737E" w:rsidP="0029737E">
            <w:pPr>
              <w:pStyle w:val="Tabletext"/>
              <w:ind w:left="284" w:hanging="284"/>
              <w:rPr>
                <w:rFonts w:eastAsia="Calibri"/>
                <w:lang w:val="es-ES"/>
              </w:rPr>
            </w:pPr>
            <w:r>
              <w:rPr>
                <w:rFonts w:eastAsia="Calibri"/>
                <w:lang w:val="es-ES"/>
              </w:rPr>
              <w:t>4</w:t>
            </w:r>
            <w:r>
              <w:rPr>
                <w:rFonts w:eastAsia="Calibri"/>
                <w:lang w:val="es-ES"/>
              </w:rPr>
              <w:tab/>
            </w:r>
            <w:r w:rsidR="00B20F1E" w:rsidRPr="0029737E">
              <w:rPr>
                <w:rFonts w:eastAsia="Calibri"/>
                <w:b/>
                <w:bCs/>
                <w:lang w:val="es-ES"/>
              </w:rPr>
              <w:t>Proponer</w:t>
            </w:r>
            <w:r w:rsidR="00B20F1E" w:rsidRPr="000D2717">
              <w:rPr>
                <w:rFonts w:eastAsia="Calibri"/>
                <w:lang w:val="es-ES"/>
              </w:rPr>
              <w:t xml:space="preserve"> a la CMR-23 los siguientes temas </w:t>
            </w:r>
            <w:r w:rsidR="00B20F1E">
              <w:rPr>
                <w:rFonts w:eastAsia="Calibri"/>
                <w:lang w:val="es-ES"/>
              </w:rPr>
              <w:t>en relación con</w:t>
            </w:r>
            <w:r w:rsidR="00B20F1E" w:rsidRPr="000D2717">
              <w:rPr>
                <w:rFonts w:eastAsia="Calibri"/>
                <w:lang w:val="es-ES"/>
              </w:rPr>
              <w:t xml:space="preserve"> el orden del día de futuras CMR:</w:t>
            </w:r>
          </w:p>
          <w:p w14:paraId="441A47F2" w14:textId="56E66C66" w:rsidR="00B20F1E" w:rsidRPr="000D2717" w:rsidRDefault="0029737E" w:rsidP="0029737E">
            <w:pPr>
              <w:pStyle w:val="Tabletext"/>
              <w:ind w:left="567" w:hanging="567"/>
              <w:rPr>
                <w:rFonts w:eastAsia="Calibri"/>
                <w:lang w:val="es-ES"/>
              </w:rPr>
            </w:pPr>
            <w:r>
              <w:rPr>
                <w:rFonts w:eastAsia="Calibri"/>
                <w:lang w:val="es-ES"/>
              </w:rPr>
              <w:tab/>
              <w:t>i)</w:t>
            </w:r>
            <w:r>
              <w:rPr>
                <w:rFonts w:eastAsia="Calibri"/>
                <w:lang w:val="es-ES"/>
              </w:rPr>
              <w:tab/>
            </w:r>
            <w:r w:rsidR="00B20F1E" w:rsidRPr="0029737E">
              <w:rPr>
                <w:rFonts w:eastAsia="Calibri"/>
                <w:b/>
                <w:bCs/>
                <w:lang w:val="es-ES"/>
              </w:rPr>
              <w:t xml:space="preserve">Tema 1: </w:t>
            </w:r>
            <w:r w:rsidR="00B20F1E" w:rsidRPr="000D2717">
              <w:rPr>
                <w:rFonts w:eastAsia="Calibri"/>
                <w:lang w:val="es-ES"/>
              </w:rPr>
              <w:t xml:space="preserve">Estudios </w:t>
            </w:r>
            <w:r w:rsidR="00B20F1E">
              <w:rPr>
                <w:rFonts w:eastAsia="Calibri"/>
                <w:lang w:val="es-ES"/>
              </w:rPr>
              <w:t>sobre</w:t>
            </w:r>
            <w:r w:rsidR="00B20F1E" w:rsidRPr="000D2717">
              <w:rPr>
                <w:rFonts w:eastAsia="Calibri"/>
                <w:lang w:val="es-ES"/>
              </w:rPr>
              <w:t xml:space="preserve"> disposiciones técnicas y reglamentarias para redes</w:t>
            </w:r>
            <w:r w:rsidR="00B20F1E">
              <w:rPr>
                <w:rFonts w:eastAsia="Calibri"/>
                <w:lang w:val="es-ES"/>
              </w:rPr>
              <w:t xml:space="preserve"> y </w:t>
            </w:r>
            <w:r w:rsidR="00B20F1E" w:rsidRPr="000D2717">
              <w:rPr>
                <w:rFonts w:eastAsia="Calibri"/>
                <w:lang w:val="es-ES"/>
              </w:rPr>
              <w:t>sistemas de satélite de</w:t>
            </w:r>
            <w:r w:rsidR="00B20F1E">
              <w:rPr>
                <w:rFonts w:eastAsia="Calibri"/>
                <w:lang w:val="es-ES"/>
              </w:rPr>
              <w:t xml:space="preserve">l servicio </w:t>
            </w:r>
            <w:r w:rsidR="00B20F1E" w:rsidRPr="000D2717">
              <w:rPr>
                <w:rFonts w:eastAsia="Calibri"/>
                <w:lang w:val="es-ES"/>
              </w:rPr>
              <w:t>fijo por satélite en las bandas de frecuencias 37,5-42,5 GHz (espacio-Tierra), 42,5</w:t>
            </w:r>
            <w:r>
              <w:rPr>
                <w:rFonts w:eastAsia="Calibri"/>
                <w:lang w:val="es-ES"/>
              </w:rPr>
              <w:noBreakHyphen/>
            </w:r>
            <w:r w:rsidR="00B20F1E" w:rsidRPr="000D2717">
              <w:rPr>
                <w:rFonts w:eastAsia="Calibri"/>
                <w:lang w:val="es-ES"/>
              </w:rPr>
              <w:t>43,5</w:t>
            </w:r>
            <w:r>
              <w:rPr>
                <w:rFonts w:eastAsia="Calibri"/>
                <w:lang w:val="es-ES"/>
              </w:rPr>
              <w:t> </w:t>
            </w:r>
            <w:r w:rsidR="00B20F1E" w:rsidRPr="000D2717">
              <w:rPr>
                <w:rFonts w:eastAsia="Calibri"/>
                <w:lang w:val="es-ES"/>
              </w:rPr>
              <w:t>GHz (Tierra-espacio), 47,2-50,2 GHz (Tierra-espacio) y 50,4</w:t>
            </w:r>
            <w:r>
              <w:rPr>
                <w:rFonts w:eastAsia="Calibri"/>
                <w:lang w:val="es-ES"/>
              </w:rPr>
              <w:noBreakHyphen/>
            </w:r>
            <w:r w:rsidR="00B20F1E" w:rsidRPr="000D2717">
              <w:rPr>
                <w:rFonts w:eastAsia="Calibri"/>
                <w:lang w:val="es-ES"/>
              </w:rPr>
              <w:t xml:space="preserve">51,4 GHz (Tierra-espacio) para </w:t>
            </w:r>
            <w:r w:rsidR="00B20F1E">
              <w:rPr>
                <w:rFonts w:eastAsia="Calibri"/>
                <w:lang w:val="es-ES"/>
              </w:rPr>
              <w:t xml:space="preserve">promover </w:t>
            </w:r>
            <w:r w:rsidR="00B20F1E" w:rsidRPr="000D2717">
              <w:rPr>
                <w:rFonts w:eastAsia="Calibri"/>
                <w:lang w:val="es-ES"/>
              </w:rPr>
              <w:t>un acceso equitativo a esas bandas de frecuencias.</w:t>
            </w:r>
          </w:p>
          <w:p w14:paraId="3F46DBF1" w14:textId="154E4056" w:rsidR="00B20F1E" w:rsidRPr="000D2717" w:rsidRDefault="0029737E" w:rsidP="0029737E">
            <w:pPr>
              <w:pStyle w:val="Tabletext"/>
              <w:ind w:left="567" w:hanging="567"/>
              <w:rPr>
                <w:rFonts w:eastAsia="Calibri"/>
                <w:color w:val="000000"/>
                <w:lang w:val="es-ES"/>
              </w:rPr>
            </w:pPr>
            <w:r>
              <w:rPr>
                <w:rFonts w:eastAsia="Calibri"/>
                <w:color w:val="000000"/>
                <w:lang w:val="es-ES"/>
              </w:rPr>
              <w:tab/>
            </w:r>
            <w:proofErr w:type="spellStart"/>
            <w:r>
              <w:rPr>
                <w:rFonts w:eastAsia="Calibri"/>
                <w:color w:val="000000"/>
                <w:lang w:val="es-ES"/>
              </w:rPr>
              <w:t>ii</w:t>
            </w:r>
            <w:proofErr w:type="spellEnd"/>
            <w:r>
              <w:rPr>
                <w:rFonts w:eastAsia="Calibri"/>
                <w:color w:val="000000"/>
                <w:lang w:val="es-ES"/>
              </w:rPr>
              <w:t>)</w:t>
            </w:r>
            <w:r>
              <w:rPr>
                <w:rFonts w:eastAsia="Calibri"/>
                <w:color w:val="000000"/>
                <w:lang w:val="es-ES"/>
              </w:rPr>
              <w:tab/>
            </w:r>
            <w:r w:rsidR="00B20F1E" w:rsidRPr="0029737E">
              <w:rPr>
                <w:rFonts w:eastAsia="Calibri"/>
                <w:b/>
                <w:bCs/>
                <w:color w:val="000000"/>
                <w:lang w:val="es-ES"/>
              </w:rPr>
              <w:t>Tema 2:</w:t>
            </w:r>
            <w:r w:rsidR="00B20F1E" w:rsidRPr="000D2717">
              <w:rPr>
                <w:rFonts w:eastAsia="Calibri"/>
                <w:color w:val="000000"/>
                <w:lang w:val="es-ES"/>
              </w:rPr>
              <w:t xml:space="preserve"> Protección de </w:t>
            </w:r>
            <w:r w:rsidR="00B20F1E">
              <w:rPr>
                <w:rFonts w:eastAsia="Calibri"/>
                <w:color w:val="000000"/>
                <w:lang w:val="es-ES"/>
              </w:rPr>
              <w:t>zonas de silencio radioeléctrico f</w:t>
            </w:r>
            <w:r w:rsidR="00B20F1E" w:rsidRPr="000D2717">
              <w:rPr>
                <w:rFonts w:eastAsia="Calibri"/>
                <w:color w:val="000000"/>
                <w:lang w:val="es-ES"/>
              </w:rPr>
              <w:t xml:space="preserve">rente a </w:t>
            </w:r>
            <w:proofErr w:type="spellStart"/>
            <w:r w:rsidR="00B20F1E" w:rsidRPr="000D2717">
              <w:rPr>
                <w:rFonts w:eastAsia="Calibri"/>
                <w:color w:val="000000"/>
                <w:lang w:val="es-ES"/>
              </w:rPr>
              <w:t>megaconstelaciones</w:t>
            </w:r>
            <w:proofErr w:type="spellEnd"/>
            <w:r w:rsidR="00B20F1E" w:rsidRPr="000D2717">
              <w:rPr>
                <w:rFonts w:eastAsia="Calibri"/>
                <w:color w:val="000000"/>
                <w:lang w:val="es-ES"/>
              </w:rPr>
              <w:t xml:space="preserve"> de satélites </w:t>
            </w:r>
            <w:r w:rsidR="00B20F1E">
              <w:rPr>
                <w:rFonts w:eastAsia="Calibri"/>
                <w:color w:val="000000"/>
                <w:lang w:val="es-ES"/>
              </w:rPr>
              <w:t>presentadas mediante</w:t>
            </w:r>
            <w:r w:rsidR="00B20F1E" w:rsidRPr="000D2717">
              <w:rPr>
                <w:rFonts w:eastAsia="Calibri"/>
                <w:color w:val="000000"/>
                <w:lang w:val="es-ES"/>
              </w:rPr>
              <w:t xml:space="preserve"> la plantilla oficial</w:t>
            </w:r>
            <w:r w:rsidR="00B20F1E">
              <w:rPr>
                <w:rFonts w:eastAsia="Calibri"/>
                <w:color w:val="000000"/>
                <w:lang w:val="es-ES"/>
              </w:rPr>
              <w:t>; véase el</w:t>
            </w:r>
            <w:r w:rsidR="00B20F1E" w:rsidRPr="000D2717">
              <w:rPr>
                <w:rFonts w:eastAsia="Calibri"/>
                <w:color w:val="000000"/>
                <w:lang w:val="es-ES"/>
              </w:rPr>
              <w:t xml:space="preserve"> Anexo 2 de la Resolución </w:t>
            </w:r>
            <w:r w:rsidR="00B20F1E" w:rsidRPr="0029737E">
              <w:rPr>
                <w:rFonts w:eastAsia="Calibri"/>
                <w:b/>
                <w:bCs/>
                <w:color w:val="000000"/>
                <w:lang w:val="es-ES"/>
              </w:rPr>
              <w:t>804 (Rev.CMR-19)</w:t>
            </w:r>
            <w:r w:rsidR="00B20F1E">
              <w:rPr>
                <w:rFonts w:eastAsia="Calibri"/>
                <w:color w:val="000000"/>
                <w:lang w:val="es-ES"/>
              </w:rPr>
              <w:t xml:space="preserve"> al respecto y el</w:t>
            </w:r>
            <w:r w:rsidR="00B20F1E" w:rsidRPr="000D2717">
              <w:rPr>
                <w:rFonts w:eastAsia="Calibri"/>
                <w:color w:val="000000"/>
                <w:lang w:val="es-ES"/>
              </w:rPr>
              <w:t xml:space="preserve"> </w:t>
            </w:r>
            <w:r w:rsidR="00B20F1E" w:rsidRPr="002E5F5C">
              <w:rPr>
                <w:rFonts w:eastAsia="Calibri"/>
                <w:b/>
                <w:bCs/>
                <w:color w:val="000000"/>
                <w:lang w:val="es-ES"/>
              </w:rPr>
              <w:t>Anexo 1</w:t>
            </w:r>
            <w:r w:rsidR="00B20F1E">
              <w:rPr>
                <w:rFonts w:eastAsia="Calibri"/>
                <w:color w:val="000000"/>
                <w:lang w:val="es-ES"/>
              </w:rPr>
              <w:t>.</w:t>
            </w:r>
          </w:p>
          <w:p w14:paraId="1C707BE7" w14:textId="16EF50E6" w:rsidR="00B20F1E" w:rsidRPr="000D2717" w:rsidRDefault="0029737E" w:rsidP="0029737E">
            <w:pPr>
              <w:pStyle w:val="Tabletext"/>
              <w:ind w:left="567" w:hanging="567"/>
              <w:rPr>
                <w:rFonts w:eastAsia="Calibri"/>
                <w:color w:val="000000"/>
                <w:lang w:val="es-ES"/>
              </w:rPr>
            </w:pPr>
            <w:bookmarkStart w:id="14" w:name="_heading=h.2xcytpi" w:colFirst="0" w:colLast="0"/>
            <w:bookmarkEnd w:id="14"/>
            <w:r>
              <w:rPr>
                <w:rFonts w:eastAsia="Calibri"/>
                <w:color w:val="000000"/>
                <w:lang w:val="es-ES"/>
              </w:rPr>
              <w:tab/>
            </w:r>
            <w:proofErr w:type="spellStart"/>
            <w:r>
              <w:rPr>
                <w:rFonts w:eastAsia="Calibri"/>
                <w:color w:val="000000"/>
                <w:lang w:val="es-ES"/>
              </w:rPr>
              <w:t>iii</w:t>
            </w:r>
            <w:proofErr w:type="spellEnd"/>
            <w:r>
              <w:rPr>
                <w:rFonts w:eastAsia="Calibri"/>
                <w:color w:val="000000"/>
                <w:lang w:val="es-ES"/>
              </w:rPr>
              <w:t>)</w:t>
            </w:r>
            <w:r>
              <w:rPr>
                <w:rFonts w:eastAsia="Calibri"/>
                <w:color w:val="000000"/>
                <w:lang w:val="es-ES"/>
              </w:rPr>
              <w:tab/>
            </w:r>
            <w:r w:rsidR="00B20F1E" w:rsidRPr="0029737E">
              <w:rPr>
                <w:rFonts w:eastAsia="Calibri"/>
                <w:b/>
                <w:bCs/>
                <w:color w:val="000000"/>
                <w:lang w:val="es-ES"/>
              </w:rPr>
              <w:t>Tema 3:</w:t>
            </w:r>
            <w:r w:rsidR="00B20F1E" w:rsidRPr="000D2717">
              <w:rPr>
                <w:rFonts w:eastAsia="Calibri"/>
                <w:color w:val="000000"/>
                <w:lang w:val="es-ES"/>
              </w:rPr>
              <w:t xml:space="preserve"> Atribución de espectro y disposiciones reglamentarias </w:t>
            </w:r>
            <w:r w:rsidR="00B20F1E">
              <w:rPr>
                <w:rFonts w:eastAsia="Calibri"/>
                <w:color w:val="000000"/>
                <w:lang w:val="es-ES"/>
              </w:rPr>
              <w:t>conexas</w:t>
            </w:r>
            <w:r w:rsidR="00B20F1E" w:rsidRPr="000D2717">
              <w:rPr>
                <w:rFonts w:eastAsia="Calibri"/>
                <w:color w:val="000000"/>
                <w:lang w:val="es-ES"/>
              </w:rPr>
              <w:t xml:space="preserve"> para </w:t>
            </w:r>
            <w:r w:rsidR="00B20F1E">
              <w:rPr>
                <w:rFonts w:eastAsia="Calibri"/>
                <w:color w:val="000000"/>
                <w:lang w:val="es-ES"/>
              </w:rPr>
              <w:t>facilitar la utilización de l</w:t>
            </w:r>
            <w:r w:rsidR="00B20F1E" w:rsidRPr="000D2717">
              <w:rPr>
                <w:rFonts w:eastAsia="Calibri"/>
                <w:color w:val="000000"/>
                <w:lang w:val="es-ES"/>
              </w:rPr>
              <w:t>a banda de frecuencias 51,4</w:t>
            </w:r>
            <w:r w:rsidR="002E5F5C">
              <w:rPr>
                <w:rFonts w:eastAsia="Calibri"/>
                <w:color w:val="000000"/>
                <w:lang w:val="es-ES"/>
              </w:rPr>
              <w:noBreakHyphen/>
            </w:r>
            <w:r w:rsidR="00B20F1E" w:rsidRPr="000D2717">
              <w:rPr>
                <w:rFonts w:eastAsia="Calibri"/>
                <w:color w:val="000000"/>
                <w:lang w:val="es-ES"/>
              </w:rPr>
              <w:t xml:space="preserve">52,4 GHz del servicio fijo por satélite (Tierra-espacio) para estaciones terrenas </w:t>
            </w:r>
            <w:r w:rsidR="00B20F1E">
              <w:rPr>
                <w:rFonts w:eastAsia="Calibri"/>
                <w:color w:val="000000"/>
                <w:lang w:val="es-ES"/>
              </w:rPr>
              <w:t xml:space="preserve">de </w:t>
            </w:r>
            <w:r w:rsidR="00B20F1E" w:rsidRPr="000D2717">
              <w:rPr>
                <w:rFonts w:eastAsia="Calibri"/>
                <w:color w:val="000000"/>
                <w:lang w:val="es-ES"/>
              </w:rPr>
              <w:t xml:space="preserve">pasarela que </w:t>
            </w:r>
            <w:r w:rsidR="00B20F1E">
              <w:rPr>
                <w:rFonts w:eastAsia="Calibri"/>
                <w:color w:val="000000"/>
                <w:lang w:val="es-ES"/>
              </w:rPr>
              <w:t>funcionen</w:t>
            </w:r>
            <w:r w:rsidR="00B20F1E" w:rsidRPr="000D2717">
              <w:rPr>
                <w:rFonts w:eastAsia="Calibri"/>
                <w:color w:val="000000"/>
                <w:lang w:val="es-ES"/>
              </w:rPr>
              <w:t xml:space="preserve"> con sistemas </w:t>
            </w:r>
            <w:r w:rsidR="00B20F1E">
              <w:rPr>
                <w:rFonts w:eastAsia="Calibri"/>
                <w:color w:val="000000"/>
                <w:lang w:val="es-ES"/>
              </w:rPr>
              <w:t xml:space="preserve">del </w:t>
            </w:r>
            <w:r w:rsidR="00B20F1E" w:rsidRPr="000D2717">
              <w:rPr>
                <w:rFonts w:eastAsia="Calibri"/>
                <w:color w:val="000000"/>
                <w:lang w:val="es-ES"/>
              </w:rPr>
              <w:t>SFS de órbita no geoestacionaria.</w:t>
            </w:r>
          </w:p>
          <w:p w14:paraId="224E0E1C" w14:textId="2CDE53C8" w:rsidR="00B20F1E" w:rsidRPr="000D2717" w:rsidRDefault="0029737E" w:rsidP="0029737E">
            <w:pPr>
              <w:pStyle w:val="Tabletext"/>
              <w:ind w:left="567" w:hanging="567"/>
              <w:rPr>
                <w:rFonts w:eastAsia="Calibri"/>
                <w:color w:val="000000"/>
                <w:lang w:val="es-ES"/>
              </w:rPr>
            </w:pPr>
            <w:bookmarkStart w:id="15" w:name="_heading=h.1ci93xb" w:colFirst="0" w:colLast="0"/>
            <w:bookmarkEnd w:id="15"/>
            <w:r>
              <w:rPr>
                <w:rFonts w:eastAsia="Calibri"/>
                <w:color w:val="000000"/>
                <w:lang w:val="es-ES"/>
              </w:rPr>
              <w:tab/>
            </w:r>
            <w:proofErr w:type="spellStart"/>
            <w:r>
              <w:rPr>
                <w:rFonts w:eastAsia="Calibri"/>
                <w:color w:val="000000"/>
                <w:lang w:val="es-ES"/>
              </w:rPr>
              <w:t>iv</w:t>
            </w:r>
            <w:proofErr w:type="spellEnd"/>
            <w:r>
              <w:rPr>
                <w:rFonts w:eastAsia="Calibri"/>
                <w:color w:val="000000"/>
                <w:lang w:val="es-ES"/>
              </w:rPr>
              <w:t>)</w:t>
            </w:r>
            <w:r>
              <w:rPr>
                <w:rFonts w:eastAsia="Calibri"/>
                <w:color w:val="000000"/>
                <w:lang w:val="es-ES"/>
              </w:rPr>
              <w:tab/>
            </w:r>
            <w:r w:rsidR="00B20F1E" w:rsidRPr="0029737E">
              <w:rPr>
                <w:rFonts w:eastAsia="Calibri"/>
                <w:b/>
                <w:bCs/>
                <w:color w:val="000000"/>
                <w:lang w:val="es-ES"/>
              </w:rPr>
              <w:t>Tema 4:</w:t>
            </w:r>
            <w:r w:rsidR="00B20F1E" w:rsidRPr="000D2717">
              <w:rPr>
                <w:rFonts w:eastAsia="Calibri"/>
                <w:color w:val="000000"/>
                <w:lang w:val="es-ES"/>
              </w:rPr>
              <w:t xml:space="preserve"> </w:t>
            </w:r>
            <w:r w:rsidR="00B20F1E">
              <w:rPr>
                <w:rFonts w:eastAsia="Calibri"/>
                <w:color w:val="000000"/>
                <w:lang w:val="es-ES"/>
              </w:rPr>
              <w:t>Examen</w:t>
            </w:r>
            <w:r w:rsidR="00B20F1E" w:rsidRPr="000D2717">
              <w:rPr>
                <w:rFonts w:eastAsia="Calibri"/>
                <w:color w:val="000000"/>
                <w:lang w:val="es-ES"/>
              </w:rPr>
              <w:t xml:space="preserve"> de la utilización de la banda 13,75-14 GHz y estudio de posibles revisiones de las restricciones </w:t>
            </w:r>
            <w:r w:rsidR="00B20F1E">
              <w:rPr>
                <w:rFonts w:eastAsia="Calibri"/>
                <w:color w:val="000000"/>
                <w:lang w:val="es-ES"/>
              </w:rPr>
              <w:t>relativas a</w:t>
            </w:r>
            <w:r w:rsidR="00B20F1E" w:rsidRPr="000D2717">
              <w:rPr>
                <w:rFonts w:eastAsia="Calibri"/>
                <w:color w:val="000000"/>
                <w:lang w:val="es-ES"/>
              </w:rPr>
              <w:t xml:space="preserve"> los números </w:t>
            </w:r>
            <w:r w:rsidR="00B20F1E" w:rsidRPr="0029737E">
              <w:rPr>
                <w:rFonts w:eastAsia="Calibri"/>
                <w:b/>
                <w:bCs/>
                <w:color w:val="000000"/>
                <w:lang w:val="es-ES"/>
              </w:rPr>
              <w:t>5.502</w:t>
            </w:r>
            <w:r w:rsidR="00B20F1E" w:rsidRPr="000D2717">
              <w:rPr>
                <w:rFonts w:eastAsia="Calibri"/>
                <w:color w:val="000000"/>
                <w:lang w:val="es-ES"/>
              </w:rPr>
              <w:t xml:space="preserve"> y </w:t>
            </w:r>
            <w:r w:rsidR="00B20F1E" w:rsidRPr="0029737E">
              <w:rPr>
                <w:rFonts w:eastAsia="Calibri"/>
                <w:b/>
                <w:bCs/>
                <w:color w:val="000000"/>
                <w:lang w:val="es-ES"/>
              </w:rPr>
              <w:t>5.503</w:t>
            </w:r>
            <w:r w:rsidR="00B20F1E" w:rsidRPr="000D2717">
              <w:rPr>
                <w:rFonts w:eastAsia="Calibri"/>
                <w:color w:val="000000"/>
                <w:lang w:val="es-ES"/>
              </w:rPr>
              <w:t xml:space="preserve"> del RR, de conformidad con el proyecto de nueva Resolución [13,75-14 GHz], </w:t>
            </w:r>
            <w:r w:rsidR="00B20F1E">
              <w:rPr>
                <w:rFonts w:eastAsia="Calibri"/>
                <w:color w:val="000000"/>
                <w:lang w:val="es-ES"/>
              </w:rPr>
              <w:t>a fin de</w:t>
            </w:r>
            <w:r w:rsidR="00B20F1E" w:rsidRPr="000D2717">
              <w:rPr>
                <w:rFonts w:eastAsia="Calibri"/>
                <w:color w:val="000000"/>
                <w:lang w:val="es-ES"/>
              </w:rPr>
              <w:t xml:space="preserve"> </w:t>
            </w:r>
            <w:r w:rsidR="00B20F1E">
              <w:rPr>
                <w:rFonts w:eastAsia="Calibri"/>
                <w:color w:val="000000"/>
                <w:lang w:val="es-ES"/>
              </w:rPr>
              <w:t>fomentar una utilización eficaz</w:t>
            </w:r>
            <w:r w:rsidR="00B20F1E" w:rsidRPr="000D2717">
              <w:rPr>
                <w:rFonts w:eastAsia="Calibri"/>
                <w:color w:val="000000"/>
                <w:lang w:val="es-ES"/>
              </w:rPr>
              <w:t xml:space="preserve"> de </w:t>
            </w:r>
            <w:r w:rsidR="00B20F1E">
              <w:rPr>
                <w:rFonts w:eastAsia="Calibri"/>
                <w:color w:val="000000"/>
                <w:lang w:val="es-ES"/>
              </w:rPr>
              <w:t>dicha</w:t>
            </w:r>
            <w:r w:rsidR="00B20F1E" w:rsidRPr="000D2717">
              <w:rPr>
                <w:rFonts w:eastAsia="Calibri"/>
                <w:color w:val="000000"/>
                <w:lang w:val="es-ES"/>
              </w:rPr>
              <w:t xml:space="preserve"> banda por estaciones terrenas geoestacionarias de enlace ascendente y del SFS no OSG.</w:t>
            </w:r>
          </w:p>
          <w:p w14:paraId="277FFCB3" w14:textId="0C8DBABD" w:rsidR="00B20F1E" w:rsidRPr="000D2717" w:rsidRDefault="0029737E" w:rsidP="0029737E">
            <w:pPr>
              <w:pStyle w:val="Tabletext"/>
              <w:ind w:left="567" w:hanging="567"/>
              <w:rPr>
                <w:rFonts w:eastAsia="Calibri"/>
                <w:color w:val="000000"/>
                <w:lang w:val="es-ES"/>
              </w:rPr>
            </w:pPr>
            <w:bookmarkStart w:id="16" w:name="_heading=h.3whwml4" w:colFirst="0" w:colLast="0"/>
            <w:bookmarkEnd w:id="16"/>
            <w:r>
              <w:rPr>
                <w:rFonts w:eastAsia="Calibri"/>
                <w:color w:val="000000"/>
                <w:lang w:val="es-ES"/>
              </w:rPr>
              <w:tab/>
              <w:t>v)</w:t>
            </w:r>
            <w:r>
              <w:rPr>
                <w:rFonts w:eastAsia="Calibri"/>
                <w:color w:val="000000"/>
                <w:lang w:val="es-ES"/>
              </w:rPr>
              <w:tab/>
            </w:r>
            <w:r w:rsidR="00B20F1E" w:rsidRPr="0029737E">
              <w:rPr>
                <w:rFonts w:eastAsia="Calibri"/>
                <w:b/>
                <w:bCs/>
                <w:color w:val="000000"/>
                <w:lang w:val="es-ES"/>
              </w:rPr>
              <w:t>Tema 5:</w:t>
            </w:r>
            <w:r w:rsidR="00B20F1E" w:rsidRPr="000D2717">
              <w:rPr>
                <w:rFonts w:eastAsia="Calibri"/>
                <w:color w:val="000000"/>
                <w:lang w:val="es-ES"/>
              </w:rPr>
              <w:t xml:space="preserve"> Modificación de la Resolución 176 </w:t>
            </w:r>
            <w:r w:rsidR="00B20F1E">
              <w:rPr>
                <w:rFonts w:eastAsia="Calibri"/>
                <w:color w:val="000000"/>
                <w:lang w:val="es-ES"/>
              </w:rPr>
              <w:t>en virtud de la cual</w:t>
            </w:r>
            <w:r w:rsidR="00B20F1E" w:rsidRPr="000D2717">
              <w:rPr>
                <w:rFonts w:eastAsia="Calibri"/>
                <w:color w:val="000000"/>
                <w:lang w:val="es-ES"/>
              </w:rPr>
              <w:t xml:space="preserve"> se solicitan estudios sobre </w:t>
            </w:r>
            <w:r>
              <w:rPr>
                <w:rFonts w:eastAsia="Calibri"/>
                <w:color w:val="000000"/>
                <w:lang w:val="es-ES"/>
              </w:rPr>
              <w:t>«</w:t>
            </w:r>
            <w:r w:rsidR="00B20F1E">
              <w:rPr>
                <w:rFonts w:eastAsia="Calibri"/>
                <w:color w:val="000000"/>
                <w:lang w:val="es-ES"/>
              </w:rPr>
              <w:t>la</w:t>
            </w:r>
            <w:r w:rsidR="00B20F1E" w:rsidRPr="00DA69B7">
              <w:rPr>
                <w:rFonts w:eastAsia="Calibri"/>
                <w:i/>
                <w:color w:val="000000"/>
                <w:lang w:val="es-ES"/>
              </w:rPr>
              <w:t xml:space="preserve"> viabilidad del uso de las bandas de frecuencia 37,5-39,5 GHz (espacio-Tierra), 40,5-42,5 GHz (espacio-Tierra), 47,2-50,2 GHz (Tierra-espacio) y 50,4-51,4 GHz (Tierra-espacio) por estaciones terrenas en movimiento marítimas y aeronáuticas que comunican con estaciones espaciales geoestacionarias o no geoestacionarias del servicio fijo por satélite</w:t>
            </w:r>
            <w:r w:rsidRPr="0029737E">
              <w:rPr>
                <w:rFonts w:eastAsia="Calibri"/>
                <w:iCs/>
                <w:color w:val="000000"/>
                <w:lang w:val="es-ES"/>
              </w:rPr>
              <w:t>»</w:t>
            </w:r>
            <w:r w:rsidR="00B20F1E" w:rsidRPr="0029737E">
              <w:rPr>
                <w:rFonts w:eastAsia="Calibri"/>
                <w:iCs/>
                <w:color w:val="000000"/>
                <w:lang w:val="es-ES"/>
              </w:rPr>
              <w:t>.</w:t>
            </w:r>
          </w:p>
          <w:p w14:paraId="740E1F2A" w14:textId="15FAD5D7" w:rsidR="00B20F1E" w:rsidRPr="000D2717" w:rsidRDefault="0029737E" w:rsidP="0029737E">
            <w:pPr>
              <w:pStyle w:val="Tabletext"/>
              <w:ind w:left="567" w:hanging="567"/>
              <w:rPr>
                <w:rFonts w:eastAsia="Calibri"/>
                <w:color w:val="000000"/>
                <w:lang w:val="es-ES"/>
              </w:rPr>
            </w:pPr>
            <w:bookmarkStart w:id="17" w:name="_heading=h.2bn6wsx" w:colFirst="0" w:colLast="0"/>
            <w:bookmarkEnd w:id="17"/>
            <w:r>
              <w:rPr>
                <w:rFonts w:eastAsia="Calibri"/>
                <w:color w:val="000000"/>
                <w:lang w:val="es-ES"/>
              </w:rPr>
              <w:tab/>
              <w:t>vi)</w:t>
            </w:r>
            <w:r>
              <w:rPr>
                <w:rFonts w:eastAsia="Calibri"/>
                <w:color w:val="000000"/>
                <w:lang w:val="es-ES"/>
              </w:rPr>
              <w:tab/>
            </w:r>
            <w:r w:rsidR="00B20F1E" w:rsidRPr="0029737E">
              <w:rPr>
                <w:rFonts w:eastAsia="Calibri"/>
                <w:b/>
                <w:bCs/>
                <w:color w:val="000000"/>
                <w:lang w:val="es-ES"/>
              </w:rPr>
              <w:t>Tema 6:</w:t>
            </w:r>
            <w:r w:rsidR="00B20F1E" w:rsidRPr="000D2717">
              <w:rPr>
                <w:rFonts w:eastAsia="Calibri"/>
                <w:color w:val="000000"/>
                <w:lang w:val="es-ES"/>
              </w:rPr>
              <w:t xml:space="preserve"> Posibles nuevas atribuciones de frecuencias </w:t>
            </w:r>
            <w:r w:rsidR="00B20F1E">
              <w:rPr>
                <w:rFonts w:eastAsia="Calibri"/>
                <w:color w:val="000000"/>
                <w:lang w:val="es-ES"/>
              </w:rPr>
              <w:t>a título primario</w:t>
            </w:r>
            <w:r w:rsidR="00B20F1E" w:rsidRPr="000D2717">
              <w:rPr>
                <w:rFonts w:eastAsia="Calibri"/>
                <w:color w:val="000000"/>
                <w:lang w:val="es-ES"/>
              </w:rPr>
              <w:t xml:space="preserve"> al Servicio Móvil por Satélite en las siguientes bandas de frecuencias </w:t>
            </w:r>
            <w:r w:rsidR="00B20F1E">
              <w:rPr>
                <w:rFonts w:eastAsia="Calibri"/>
                <w:color w:val="000000"/>
                <w:lang w:val="es-ES"/>
              </w:rPr>
              <w:t>propuestas</w:t>
            </w:r>
            <w:r w:rsidR="00B20F1E" w:rsidRPr="000D2717">
              <w:rPr>
                <w:rFonts w:eastAsia="Calibri"/>
                <w:color w:val="000000"/>
                <w:lang w:val="es-ES"/>
              </w:rPr>
              <w:t>: 2 010-2 025 MHz (</w:t>
            </w:r>
            <w:r w:rsidR="00B20F1E">
              <w:rPr>
                <w:rFonts w:eastAsia="Calibri"/>
                <w:color w:val="000000"/>
                <w:lang w:val="es-ES"/>
              </w:rPr>
              <w:t>T-e</w:t>
            </w:r>
            <w:r w:rsidR="00B20F1E" w:rsidRPr="000D2717">
              <w:rPr>
                <w:rFonts w:eastAsia="Calibri"/>
                <w:color w:val="000000"/>
                <w:lang w:val="es-ES"/>
              </w:rPr>
              <w:t>) y 2 200-2 215 MHz (</w:t>
            </w:r>
            <w:r w:rsidR="00B20F1E">
              <w:rPr>
                <w:rFonts w:eastAsia="Calibri"/>
                <w:color w:val="000000"/>
                <w:lang w:val="es-ES"/>
              </w:rPr>
              <w:t>e-T</w:t>
            </w:r>
            <w:r w:rsidR="00B20F1E" w:rsidRPr="000D2717">
              <w:rPr>
                <w:rFonts w:eastAsia="Calibri"/>
                <w:color w:val="000000"/>
                <w:lang w:val="es-ES"/>
              </w:rPr>
              <w:t>).</w:t>
            </w:r>
          </w:p>
          <w:p w14:paraId="5CCE7AAD" w14:textId="77777777" w:rsidR="00B20F1E" w:rsidRPr="000D2717" w:rsidRDefault="00B20F1E" w:rsidP="008902B6">
            <w:pPr>
              <w:pStyle w:val="Tabletext"/>
              <w:rPr>
                <w:rFonts w:eastAsia="Calibri"/>
                <w:i/>
                <w:u w:val="single"/>
                <w:lang w:val="es-ES"/>
              </w:rPr>
            </w:pPr>
            <w:r w:rsidRPr="000D2717">
              <w:rPr>
                <w:rFonts w:eastAsia="Calibri"/>
                <w:i/>
                <w:u w:val="single"/>
                <w:lang w:val="es-ES"/>
              </w:rPr>
              <w:t xml:space="preserve">Parte 2: </w:t>
            </w:r>
            <w:r>
              <w:rPr>
                <w:rFonts w:eastAsia="Calibri"/>
                <w:i/>
                <w:u w:val="single"/>
                <w:lang w:val="es-ES"/>
              </w:rPr>
              <w:t>Medidas propuestas</w:t>
            </w:r>
          </w:p>
          <w:p w14:paraId="784538C1" w14:textId="77777777" w:rsidR="00B20F1E" w:rsidRPr="0029737E" w:rsidRDefault="00B20F1E" w:rsidP="008902B6">
            <w:pPr>
              <w:pStyle w:val="Tabletext"/>
              <w:rPr>
                <w:rFonts w:eastAsia="Calibri"/>
                <w:b/>
                <w:bCs/>
                <w:i/>
                <w:lang w:val="es-ES"/>
              </w:rPr>
            </w:pPr>
            <w:r w:rsidRPr="0029737E">
              <w:rPr>
                <w:rFonts w:eastAsia="Calibri"/>
                <w:b/>
                <w:bCs/>
                <w:i/>
                <w:lang w:val="es-ES"/>
              </w:rPr>
              <w:t>Solicitar a las administraciones de la UAT que:</w:t>
            </w:r>
          </w:p>
          <w:p w14:paraId="129F3243" w14:textId="4DBDF35D" w:rsidR="00B20F1E" w:rsidRPr="000D2717" w:rsidRDefault="0029737E" w:rsidP="0029737E">
            <w:pPr>
              <w:pStyle w:val="Tabletext"/>
              <w:ind w:left="284" w:hanging="284"/>
              <w:rPr>
                <w:rFonts w:eastAsia="Calibri"/>
                <w:lang w:val="es-ES"/>
              </w:rPr>
            </w:pPr>
            <w:r>
              <w:rPr>
                <w:rFonts w:eastAsia="Calibri"/>
                <w:lang w:val="es-ES"/>
              </w:rPr>
              <w:t>1</w:t>
            </w:r>
            <w:r>
              <w:rPr>
                <w:rFonts w:eastAsia="Calibri"/>
                <w:lang w:val="es-ES"/>
              </w:rPr>
              <w:tab/>
            </w:r>
            <w:r w:rsidR="00B20F1E" w:rsidRPr="0029737E">
              <w:rPr>
                <w:rFonts w:eastAsia="Calibri"/>
                <w:b/>
                <w:bCs/>
                <w:lang w:val="es-ES"/>
              </w:rPr>
              <w:t>Participen ampliamente</w:t>
            </w:r>
            <w:r w:rsidR="00B20F1E" w:rsidRPr="000D2717">
              <w:rPr>
                <w:rFonts w:eastAsia="Calibri"/>
                <w:lang w:val="es-ES"/>
              </w:rPr>
              <w:t xml:space="preserve"> en </w:t>
            </w:r>
            <w:r w:rsidR="00B20F1E">
              <w:rPr>
                <w:rFonts w:eastAsia="Calibri"/>
                <w:lang w:val="es-ES"/>
              </w:rPr>
              <w:t>la</w:t>
            </w:r>
            <w:r w:rsidR="00B20F1E" w:rsidRPr="000D2717">
              <w:rPr>
                <w:rFonts w:eastAsia="Calibri"/>
                <w:lang w:val="es-ES"/>
              </w:rPr>
              <w:t xml:space="preserve"> reunión en línea que </w:t>
            </w:r>
            <w:r w:rsidR="00B20F1E">
              <w:rPr>
                <w:rFonts w:eastAsia="Calibri"/>
                <w:lang w:val="es-ES"/>
              </w:rPr>
              <w:t>prevé organizar</w:t>
            </w:r>
            <w:r w:rsidR="00B20F1E" w:rsidRPr="000D2717">
              <w:rPr>
                <w:rFonts w:eastAsia="Calibri"/>
                <w:lang w:val="es-ES"/>
              </w:rPr>
              <w:t xml:space="preserve"> la Secretaría de la UAT para </w:t>
            </w:r>
            <w:r w:rsidR="00B20F1E">
              <w:rPr>
                <w:rFonts w:eastAsia="Calibri"/>
                <w:lang w:val="es-ES"/>
              </w:rPr>
              <w:t>examinar</w:t>
            </w:r>
            <w:r w:rsidR="00B20F1E" w:rsidRPr="000D2717">
              <w:rPr>
                <w:rFonts w:eastAsia="Calibri"/>
                <w:lang w:val="es-ES"/>
              </w:rPr>
              <w:t xml:space="preserve">, con </w:t>
            </w:r>
            <w:r w:rsidR="00B20F1E">
              <w:rPr>
                <w:rFonts w:eastAsia="Calibri"/>
                <w:lang w:val="es-ES"/>
              </w:rPr>
              <w:t>miras</w:t>
            </w:r>
            <w:r w:rsidR="00B20F1E" w:rsidRPr="000D2717">
              <w:rPr>
                <w:rFonts w:eastAsia="Calibri"/>
                <w:lang w:val="es-ES"/>
              </w:rPr>
              <w:t xml:space="preserve"> a acordar u</w:t>
            </w:r>
            <w:r w:rsidR="00B20F1E">
              <w:rPr>
                <w:rFonts w:eastAsia="Calibri"/>
                <w:lang w:val="es-ES"/>
              </w:rPr>
              <w:t>na</w:t>
            </w:r>
            <w:r w:rsidR="00B20F1E" w:rsidRPr="000D2717">
              <w:rPr>
                <w:rFonts w:eastAsia="Calibri"/>
                <w:lang w:val="es-ES"/>
              </w:rPr>
              <w:t xml:space="preserve"> </w:t>
            </w:r>
            <w:r w:rsidR="00B20F1E">
              <w:rPr>
                <w:rFonts w:eastAsia="Calibri"/>
                <w:lang w:val="es-ES"/>
              </w:rPr>
              <w:t>AFCP</w:t>
            </w:r>
            <w:r w:rsidR="00B20F1E" w:rsidRPr="000D2717">
              <w:rPr>
                <w:rFonts w:eastAsia="Calibri"/>
                <w:lang w:val="es-ES"/>
              </w:rPr>
              <w:t>, el nuevo tema de estudio propuesto en</w:t>
            </w:r>
            <w:r w:rsidR="00B20F1E">
              <w:rPr>
                <w:rFonts w:eastAsia="Calibri"/>
                <w:lang w:val="es-ES"/>
              </w:rPr>
              <w:t xml:space="preserve"> el marco d</w:t>
            </w:r>
            <w:r w:rsidR="00B20F1E" w:rsidRPr="000D2717">
              <w:rPr>
                <w:rFonts w:eastAsia="Calibri"/>
                <w:lang w:val="es-ES"/>
              </w:rPr>
              <w:t>el punto 10 del orden del día</w:t>
            </w:r>
            <w:r w:rsidR="00B20F1E">
              <w:rPr>
                <w:rFonts w:eastAsia="Calibri"/>
                <w:lang w:val="es-ES"/>
              </w:rPr>
              <w:t xml:space="preserve">, </w:t>
            </w:r>
            <w:r>
              <w:rPr>
                <w:rFonts w:eastAsia="Calibri"/>
                <w:lang w:val="es-ES"/>
              </w:rPr>
              <w:t>«</w:t>
            </w:r>
            <w:r w:rsidR="00B20F1E">
              <w:rPr>
                <w:rFonts w:eastAsia="Calibri"/>
                <w:i/>
                <w:lang w:val="es-ES"/>
              </w:rPr>
              <w:t>Examen</w:t>
            </w:r>
            <w:r w:rsidR="00B20F1E" w:rsidRPr="000D2717">
              <w:rPr>
                <w:rFonts w:eastAsia="Calibri"/>
                <w:i/>
                <w:lang w:val="es-ES"/>
              </w:rPr>
              <w:t xml:space="preserve"> y actualización de las disposiciones reglamentarias </w:t>
            </w:r>
            <w:r w:rsidR="00B20F1E">
              <w:rPr>
                <w:rFonts w:eastAsia="Calibri"/>
                <w:i/>
                <w:lang w:val="es-ES"/>
              </w:rPr>
              <w:t>en materia de</w:t>
            </w:r>
            <w:r w:rsidR="00B20F1E" w:rsidRPr="000D2717">
              <w:rPr>
                <w:rFonts w:eastAsia="Calibri"/>
                <w:i/>
                <w:lang w:val="es-ES"/>
              </w:rPr>
              <w:t xml:space="preserve"> compartición entre sistemas NGSO y redes GSI en la</w:t>
            </w:r>
            <w:r w:rsidR="00B20F1E">
              <w:rPr>
                <w:rFonts w:eastAsia="Calibri"/>
                <w:i/>
                <w:lang w:val="es-ES"/>
              </w:rPr>
              <w:t>s</w:t>
            </w:r>
            <w:r w:rsidR="00B20F1E" w:rsidRPr="000D2717">
              <w:rPr>
                <w:rFonts w:eastAsia="Calibri"/>
                <w:i/>
                <w:lang w:val="es-ES"/>
              </w:rPr>
              <w:t xml:space="preserve"> parte</w:t>
            </w:r>
            <w:r w:rsidR="00B20F1E">
              <w:rPr>
                <w:rFonts w:eastAsia="Calibri"/>
                <w:i/>
                <w:lang w:val="es-ES"/>
              </w:rPr>
              <w:t>s</w:t>
            </w:r>
            <w:r w:rsidR="00B20F1E" w:rsidRPr="000D2717">
              <w:rPr>
                <w:rFonts w:eastAsia="Calibri"/>
                <w:i/>
                <w:lang w:val="es-ES"/>
              </w:rPr>
              <w:t xml:space="preserve"> de las bandas de frecuencias 10,7-14,5GHz, 17,3-20,2 GHz y 27,5-30GHz </w:t>
            </w:r>
            <w:r w:rsidR="00B20F1E">
              <w:rPr>
                <w:rFonts w:eastAsia="Calibri"/>
                <w:i/>
                <w:lang w:val="es-ES"/>
              </w:rPr>
              <w:t>para</w:t>
            </w:r>
            <w:r w:rsidR="00B20F1E" w:rsidRPr="000D2717">
              <w:rPr>
                <w:rFonts w:eastAsia="Calibri"/>
                <w:i/>
                <w:lang w:val="es-ES"/>
              </w:rPr>
              <w:t xml:space="preserve"> la</w:t>
            </w:r>
            <w:r w:rsidR="00B20F1E">
              <w:rPr>
                <w:rFonts w:eastAsia="Calibri"/>
                <w:i/>
                <w:lang w:val="es-ES"/>
              </w:rPr>
              <w:t>s</w:t>
            </w:r>
            <w:r w:rsidR="00B20F1E" w:rsidRPr="000D2717">
              <w:rPr>
                <w:rFonts w:eastAsia="Calibri"/>
                <w:i/>
                <w:lang w:val="es-ES"/>
              </w:rPr>
              <w:t xml:space="preserve"> que </w:t>
            </w:r>
            <w:r w:rsidR="00B20F1E">
              <w:rPr>
                <w:rFonts w:eastAsia="Calibri"/>
                <w:i/>
                <w:lang w:val="es-ES"/>
              </w:rPr>
              <w:t>son de aplicación</w:t>
            </w:r>
            <w:r w:rsidR="00B20F1E" w:rsidRPr="000D2717">
              <w:rPr>
                <w:rFonts w:eastAsia="Calibri"/>
                <w:i/>
                <w:lang w:val="es-ES"/>
              </w:rPr>
              <w:t xml:space="preserve"> el </w:t>
            </w:r>
            <w:r w:rsidR="00B20F1E">
              <w:rPr>
                <w:rFonts w:eastAsia="Calibri"/>
                <w:i/>
                <w:lang w:val="es-ES"/>
              </w:rPr>
              <w:t>A</w:t>
            </w:r>
            <w:r w:rsidR="00B20F1E" w:rsidRPr="000D2717">
              <w:rPr>
                <w:rFonts w:eastAsia="Calibri"/>
                <w:i/>
                <w:lang w:val="es-ES"/>
              </w:rPr>
              <w:t xml:space="preserve">rtículo </w:t>
            </w:r>
            <w:r w:rsidR="00B20F1E" w:rsidRPr="002E5F5C">
              <w:rPr>
                <w:rFonts w:eastAsia="Calibri"/>
                <w:b/>
                <w:bCs/>
                <w:i/>
                <w:lang w:val="es-ES"/>
              </w:rPr>
              <w:t>22</w:t>
            </w:r>
            <w:r w:rsidR="00B20F1E" w:rsidRPr="000D2717">
              <w:rPr>
                <w:rFonts w:eastAsia="Calibri"/>
                <w:i/>
                <w:lang w:val="es-ES"/>
              </w:rPr>
              <w:t xml:space="preserve"> y la </w:t>
            </w:r>
            <w:r w:rsidR="00B20F1E" w:rsidRPr="000D2717">
              <w:rPr>
                <w:rFonts w:eastAsia="Calibri"/>
                <w:i/>
                <w:lang w:val="es-ES"/>
              </w:rPr>
              <w:lastRenderedPageBreak/>
              <w:t xml:space="preserve">Resolución </w:t>
            </w:r>
            <w:r w:rsidR="00B20F1E" w:rsidRPr="0029737E">
              <w:rPr>
                <w:rFonts w:eastAsia="Calibri"/>
                <w:b/>
                <w:bCs/>
                <w:i/>
                <w:lang w:val="es-ES"/>
              </w:rPr>
              <w:t>76 (Rev.CMR-15)</w:t>
            </w:r>
            <w:r w:rsidR="00B20F1E" w:rsidRPr="000D2717">
              <w:rPr>
                <w:rFonts w:eastAsia="Calibri"/>
                <w:i/>
                <w:lang w:val="es-ES"/>
              </w:rPr>
              <w:t xml:space="preserve"> </w:t>
            </w:r>
            <w:r w:rsidR="00B20F1E">
              <w:rPr>
                <w:rFonts w:eastAsia="Calibri"/>
                <w:i/>
                <w:lang w:val="es-ES"/>
              </w:rPr>
              <w:t xml:space="preserve">en cuanto al examen </w:t>
            </w:r>
            <w:r w:rsidR="00B20F1E" w:rsidRPr="000D2717">
              <w:rPr>
                <w:rFonts w:eastAsia="Calibri"/>
                <w:i/>
                <w:lang w:val="es-ES"/>
              </w:rPr>
              <w:t xml:space="preserve">de los límites de </w:t>
            </w:r>
            <w:proofErr w:type="spellStart"/>
            <w:r w:rsidR="00B20F1E" w:rsidRPr="00507E66">
              <w:rPr>
                <w:rFonts w:eastAsia="Calibri"/>
                <w:i/>
                <w:lang w:val="es-ES"/>
              </w:rPr>
              <w:t>dfpe</w:t>
            </w:r>
            <w:proofErr w:type="spellEnd"/>
            <w:r>
              <w:rPr>
                <w:rFonts w:eastAsia="Calibri"/>
                <w:lang w:val="es-ES"/>
              </w:rPr>
              <w:t>»</w:t>
            </w:r>
            <w:r w:rsidR="00B20F1E" w:rsidRPr="000D2717">
              <w:rPr>
                <w:rFonts w:eastAsia="Calibri"/>
                <w:lang w:val="es-ES"/>
              </w:rPr>
              <w:t>.</w:t>
            </w:r>
          </w:p>
          <w:p w14:paraId="0057E86B" w14:textId="01351C51" w:rsidR="00B20F1E" w:rsidRPr="000D2717" w:rsidRDefault="0029737E" w:rsidP="008902B6">
            <w:pPr>
              <w:pStyle w:val="Tabletext"/>
              <w:rPr>
                <w:rFonts w:eastAsia="Calibri"/>
                <w:lang w:val="es-ES"/>
              </w:rPr>
            </w:pPr>
            <w:r>
              <w:rPr>
                <w:rFonts w:eastAsia="Calibri"/>
                <w:lang w:val="es-ES"/>
              </w:rPr>
              <w:t>2</w:t>
            </w:r>
            <w:r>
              <w:rPr>
                <w:rFonts w:eastAsia="Calibri"/>
                <w:lang w:val="es-ES"/>
              </w:rPr>
              <w:tab/>
            </w:r>
            <w:r w:rsidR="00B20F1E" w:rsidRPr="0029737E">
              <w:rPr>
                <w:rFonts w:eastAsia="Calibri"/>
                <w:b/>
                <w:bCs/>
                <w:lang w:val="es-ES"/>
              </w:rPr>
              <w:t>Apoyar</w:t>
            </w:r>
            <w:r w:rsidR="00B20F1E" w:rsidRPr="000D2717">
              <w:rPr>
                <w:rFonts w:eastAsia="Calibri"/>
                <w:lang w:val="es-ES"/>
              </w:rPr>
              <w:t xml:space="preserve"> la </w:t>
            </w:r>
            <w:r w:rsidR="00B20F1E">
              <w:rPr>
                <w:rFonts w:eastAsia="Calibri"/>
                <w:lang w:val="es-ES"/>
              </w:rPr>
              <w:t>AFCP</w:t>
            </w:r>
            <w:r w:rsidR="00B20F1E" w:rsidRPr="000D2717">
              <w:rPr>
                <w:rFonts w:eastAsia="Calibri"/>
                <w:lang w:val="es-ES"/>
              </w:rPr>
              <w:t xml:space="preserve"> en </w:t>
            </w:r>
            <w:r w:rsidR="00B20F1E">
              <w:rPr>
                <w:rFonts w:eastAsia="Calibri"/>
                <w:lang w:val="es-ES"/>
              </w:rPr>
              <w:t xml:space="preserve">relación con </w:t>
            </w:r>
            <w:r w:rsidR="00B20F1E" w:rsidRPr="000D2717">
              <w:rPr>
                <w:rFonts w:eastAsia="Calibri"/>
                <w:lang w:val="es-ES"/>
              </w:rPr>
              <w:t>este punto del orden del día.</w:t>
            </w:r>
          </w:p>
        </w:tc>
      </w:tr>
    </w:tbl>
    <w:p w14:paraId="7D212C18" w14:textId="77777777" w:rsidR="00B20F1E" w:rsidRPr="000D2717" w:rsidRDefault="00B20F1E" w:rsidP="00B20F1E">
      <w:pPr>
        <w:rPr>
          <w:lang w:val="es-ES"/>
        </w:rPr>
      </w:pPr>
    </w:p>
    <w:p w14:paraId="7CA59AB0" w14:textId="77777777" w:rsidR="00B20F1E" w:rsidRPr="000D2717" w:rsidRDefault="00B20F1E" w:rsidP="00B20F1E">
      <w:pPr>
        <w:rPr>
          <w:lang w:val="es-ES"/>
        </w:rPr>
      </w:pPr>
    </w:p>
    <w:p w14:paraId="782C4972" w14:textId="77777777" w:rsidR="00B20F1E" w:rsidRPr="000D2717" w:rsidRDefault="00B20F1E" w:rsidP="00B20F1E">
      <w:pPr>
        <w:overflowPunct/>
        <w:autoSpaceDE/>
        <w:autoSpaceDN/>
        <w:adjustRightInd/>
        <w:textAlignment w:val="auto"/>
        <w:rPr>
          <w:caps/>
          <w:sz w:val="28"/>
          <w:lang w:val="es-ES"/>
        </w:rPr>
      </w:pPr>
      <w:r w:rsidRPr="000D2717">
        <w:rPr>
          <w:lang w:val="es-ES"/>
        </w:rPr>
        <w:br w:type="page"/>
      </w:r>
    </w:p>
    <w:p w14:paraId="560A8FD3" w14:textId="77777777" w:rsidR="00B20F1E" w:rsidRPr="000D2717" w:rsidRDefault="00B20F1E" w:rsidP="00B20F1E">
      <w:pPr>
        <w:pStyle w:val="AnnexNo"/>
        <w:rPr>
          <w:lang w:val="es-ES"/>
        </w:rPr>
      </w:pPr>
      <w:r w:rsidRPr="000D2717">
        <w:rPr>
          <w:lang w:val="es-ES"/>
        </w:rPr>
        <w:lastRenderedPageBreak/>
        <w:t>Anexo 2</w:t>
      </w:r>
    </w:p>
    <w:p w14:paraId="6E3C83C4" w14:textId="77777777" w:rsidR="00B20F1E" w:rsidRPr="000D2717" w:rsidRDefault="00B20F1E" w:rsidP="00B20F1E">
      <w:pPr>
        <w:pStyle w:val="Annextitle"/>
        <w:rPr>
          <w:lang w:val="es-ES"/>
        </w:rPr>
      </w:pPr>
      <w:r w:rsidRPr="000D2717">
        <w:rPr>
          <w:lang w:val="es-ES"/>
        </w:rPr>
        <w:t xml:space="preserve">Lista de referencias </w:t>
      </w:r>
      <w:r>
        <w:rPr>
          <w:lang w:val="es-ES"/>
        </w:rPr>
        <w:t>recíprocas</w:t>
      </w:r>
      <w:r w:rsidRPr="000D2717">
        <w:rPr>
          <w:lang w:val="es-ES"/>
        </w:rPr>
        <w:t xml:space="preserve"> a los documentos de la</w:t>
      </w:r>
      <w:r>
        <w:rPr>
          <w:lang w:val="es-ES"/>
        </w:rPr>
        <w:t>s</w:t>
      </w:r>
      <w:r w:rsidRPr="000D2717">
        <w:rPr>
          <w:lang w:val="es-ES"/>
        </w:rPr>
        <w:t xml:space="preserve"> propuesta</w:t>
      </w:r>
      <w:r>
        <w:rPr>
          <w:lang w:val="es-ES"/>
        </w:rPr>
        <w:t>s</w:t>
      </w:r>
      <w:r w:rsidRPr="000D2717">
        <w:rPr>
          <w:lang w:val="es-ES"/>
        </w:rPr>
        <w:t xml:space="preserve"> como </w:t>
      </w:r>
      <w:proofErr w:type="spellStart"/>
      <w:r>
        <w:rPr>
          <w:lang w:val="es-ES"/>
        </w:rPr>
        <w:t>addéndums</w:t>
      </w:r>
      <w:proofErr w:type="spellEnd"/>
      <w:r>
        <w:rPr>
          <w:lang w:val="es-ES"/>
        </w:rPr>
        <w:t xml:space="preserve"> al presente</w:t>
      </w:r>
      <w:r w:rsidRPr="000D2717">
        <w:rPr>
          <w:lang w:val="es-ES"/>
        </w:rPr>
        <w:t xml:space="preserve"> documento de base</w:t>
      </w:r>
    </w:p>
    <w:p w14:paraId="2297E88C" w14:textId="77777777" w:rsidR="00B20F1E" w:rsidRPr="000D2717" w:rsidRDefault="00B20F1E" w:rsidP="00B20F1E">
      <w:pPr>
        <w:tabs>
          <w:tab w:val="clear" w:pos="1871"/>
          <w:tab w:val="clear" w:pos="2268"/>
          <w:tab w:val="left" w:pos="567"/>
        </w:tabs>
        <w:rPr>
          <w:lang w:val="es-ES"/>
        </w:rPr>
      </w:pPr>
    </w:p>
    <w:tbl>
      <w:tblPr>
        <w:tblStyle w:val="TableGrid"/>
        <w:tblW w:w="0" w:type="auto"/>
        <w:tblLook w:val="04A0" w:firstRow="1" w:lastRow="0" w:firstColumn="1" w:lastColumn="0" w:noHBand="0" w:noVBand="1"/>
      </w:tblPr>
      <w:tblGrid>
        <w:gridCol w:w="3681"/>
        <w:gridCol w:w="5948"/>
      </w:tblGrid>
      <w:tr w:rsidR="00B20F1E" w:rsidRPr="00B707C8" w14:paraId="2DC529E7" w14:textId="77777777" w:rsidTr="00DB48C6">
        <w:trPr>
          <w:tblHeader/>
        </w:trPr>
        <w:tc>
          <w:tcPr>
            <w:tcW w:w="3681" w:type="dxa"/>
            <w:shd w:val="clear" w:color="auto" w:fill="D9D9D9" w:themeFill="background1" w:themeFillShade="D9"/>
          </w:tcPr>
          <w:p w14:paraId="38C0FD87" w14:textId="77777777" w:rsidR="00B20F1E" w:rsidRPr="000D2717" w:rsidRDefault="00B20F1E" w:rsidP="0029737E">
            <w:pPr>
              <w:pStyle w:val="Tablehead"/>
              <w:rPr>
                <w:lang w:val="es-ES"/>
              </w:rPr>
            </w:pPr>
            <w:r w:rsidRPr="000D2717">
              <w:rPr>
                <w:lang w:val="es-ES"/>
              </w:rPr>
              <w:t>Propuesta</w:t>
            </w:r>
            <w:r>
              <w:rPr>
                <w:lang w:val="es-ES"/>
              </w:rPr>
              <w:t>s</w:t>
            </w:r>
            <w:r w:rsidRPr="000D2717">
              <w:rPr>
                <w:lang w:val="es-ES"/>
              </w:rPr>
              <w:t xml:space="preserve"> sobre el </w:t>
            </w:r>
            <w:r w:rsidRPr="000D2717">
              <w:rPr>
                <w:lang w:val="es-ES"/>
              </w:rPr>
              <w:br/>
              <w:t xml:space="preserve">punto del orden del día </w:t>
            </w:r>
            <w:r>
              <w:rPr>
                <w:lang w:val="es-ES"/>
              </w:rPr>
              <w:t xml:space="preserve">o tema </w:t>
            </w:r>
            <w:r w:rsidRPr="000D2717">
              <w:rPr>
                <w:lang w:val="es-ES"/>
              </w:rPr>
              <w:t>de la CMR-23</w:t>
            </w:r>
            <w:r>
              <w:rPr>
                <w:lang w:val="es-ES"/>
              </w:rPr>
              <w:t xml:space="preserve"> enumerado a continuación</w:t>
            </w:r>
          </w:p>
        </w:tc>
        <w:tc>
          <w:tcPr>
            <w:tcW w:w="5948" w:type="dxa"/>
            <w:shd w:val="clear" w:color="auto" w:fill="D9D9D9" w:themeFill="background1" w:themeFillShade="D9"/>
          </w:tcPr>
          <w:p w14:paraId="5ECB067F" w14:textId="4DA1C88F" w:rsidR="00B20F1E" w:rsidRPr="000D2717" w:rsidRDefault="00B20F1E" w:rsidP="0029737E">
            <w:pPr>
              <w:pStyle w:val="Tablehead"/>
              <w:rPr>
                <w:lang w:val="es-ES"/>
              </w:rPr>
            </w:pPr>
            <w:r>
              <w:rPr>
                <w:lang w:val="es-ES"/>
              </w:rPr>
              <w:t>Inclusión</w:t>
            </w:r>
            <w:r w:rsidRPr="000D2717">
              <w:rPr>
                <w:lang w:val="es-ES"/>
              </w:rPr>
              <w:t xml:space="preserve"> en el </w:t>
            </w:r>
            <w:proofErr w:type="spellStart"/>
            <w:r w:rsidRPr="000D2717">
              <w:rPr>
                <w:lang w:val="es-ES"/>
              </w:rPr>
              <w:t>add</w:t>
            </w:r>
            <w:r>
              <w:rPr>
                <w:lang w:val="es-ES"/>
              </w:rPr>
              <w:t>é</w:t>
            </w:r>
            <w:r w:rsidRPr="000D2717">
              <w:rPr>
                <w:lang w:val="es-ES"/>
              </w:rPr>
              <w:t>ndum</w:t>
            </w:r>
            <w:proofErr w:type="spellEnd"/>
            <w:r w:rsidRPr="000D2717">
              <w:rPr>
                <w:lang w:val="es-ES"/>
              </w:rPr>
              <w:t xml:space="preserve"> </w:t>
            </w:r>
            <w:r>
              <w:rPr>
                <w:lang w:val="es-ES"/>
              </w:rPr>
              <w:t>del presente</w:t>
            </w:r>
            <w:r w:rsidRPr="000D2717">
              <w:rPr>
                <w:lang w:val="es-ES"/>
              </w:rPr>
              <w:t xml:space="preserve"> documento de </w:t>
            </w:r>
            <w:r>
              <w:rPr>
                <w:lang w:val="es-ES"/>
              </w:rPr>
              <w:t>base</w:t>
            </w:r>
            <w:r w:rsidRPr="000D2717">
              <w:rPr>
                <w:lang w:val="es-ES"/>
              </w:rPr>
              <w:t xml:space="preserve"> </w:t>
            </w:r>
            <w:r>
              <w:rPr>
                <w:lang w:val="es-ES"/>
              </w:rPr>
              <w:t xml:space="preserve">enumerado a continuación </w:t>
            </w:r>
            <w:r w:rsidRPr="000D2717">
              <w:rPr>
                <w:lang w:val="es-ES"/>
              </w:rPr>
              <w:t xml:space="preserve">(propuesta </w:t>
            </w:r>
            <w:r>
              <w:rPr>
                <w:lang w:val="es-ES"/>
              </w:rPr>
              <w:t>que figura</w:t>
            </w:r>
            <w:r w:rsidR="0029737E">
              <w:rPr>
                <w:lang w:val="es-ES"/>
              </w:rPr>
              <w:br/>
            </w:r>
            <w:r>
              <w:rPr>
                <w:lang w:val="es-ES"/>
              </w:rPr>
              <w:t>en el</w:t>
            </w:r>
            <w:r w:rsidRPr="000D2717">
              <w:rPr>
                <w:lang w:val="es-ES"/>
              </w:rPr>
              <w:t xml:space="preserve"> Doc. 87 a la CMR-23)</w:t>
            </w:r>
          </w:p>
        </w:tc>
      </w:tr>
      <w:tr w:rsidR="00B20F1E" w:rsidRPr="000D2717" w14:paraId="07B441B8" w14:textId="77777777" w:rsidTr="00DB48C6">
        <w:tc>
          <w:tcPr>
            <w:tcW w:w="3681" w:type="dxa"/>
          </w:tcPr>
          <w:p w14:paraId="7FE54EBE" w14:textId="77777777" w:rsidR="00B20F1E" w:rsidRPr="000D2717" w:rsidRDefault="00B20F1E" w:rsidP="0029737E">
            <w:pPr>
              <w:pStyle w:val="Tabletext"/>
              <w:jc w:val="center"/>
              <w:rPr>
                <w:lang w:val="es-ES"/>
              </w:rPr>
            </w:pPr>
            <w:r w:rsidRPr="000D2717">
              <w:rPr>
                <w:lang w:val="es-ES"/>
              </w:rPr>
              <w:t>1.1</w:t>
            </w:r>
          </w:p>
        </w:tc>
        <w:tc>
          <w:tcPr>
            <w:tcW w:w="5948" w:type="dxa"/>
          </w:tcPr>
          <w:p w14:paraId="1B0AC856" w14:textId="77777777" w:rsidR="00B20F1E" w:rsidRPr="000D2717" w:rsidRDefault="00B20F1E" w:rsidP="0029737E">
            <w:pPr>
              <w:pStyle w:val="Tabletext"/>
              <w:jc w:val="center"/>
              <w:rPr>
                <w:lang w:val="es-ES"/>
              </w:rPr>
            </w:pPr>
            <w:r>
              <w:rPr>
                <w:lang w:val="es-ES"/>
              </w:rPr>
              <w:t>Addéndum</w:t>
            </w:r>
            <w:r w:rsidRPr="000D2717">
              <w:rPr>
                <w:lang w:val="es-ES"/>
              </w:rPr>
              <w:t xml:space="preserve"> 1</w:t>
            </w:r>
          </w:p>
        </w:tc>
      </w:tr>
      <w:tr w:rsidR="00B20F1E" w:rsidRPr="000D2717" w14:paraId="2346BD4E" w14:textId="77777777" w:rsidTr="00DB48C6">
        <w:tc>
          <w:tcPr>
            <w:tcW w:w="3681" w:type="dxa"/>
          </w:tcPr>
          <w:p w14:paraId="2949E558" w14:textId="77777777" w:rsidR="00B20F1E" w:rsidRPr="000D2717" w:rsidRDefault="00B20F1E" w:rsidP="0029737E">
            <w:pPr>
              <w:pStyle w:val="Tabletext"/>
              <w:jc w:val="center"/>
              <w:rPr>
                <w:lang w:val="es-ES"/>
              </w:rPr>
            </w:pPr>
            <w:r w:rsidRPr="000D2717">
              <w:rPr>
                <w:lang w:val="es-ES"/>
              </w:rPr>
              <w:t>1.2</w:t>
            </w:r>
          </w:p>
        </w:tc>
        <w:tc>
          <w:tcPr>
            <w:tcW w:w="5948" w:type="dxa"/>
          </w:tcPr>
          <w:p w14:paraId="12F02EF9" w14:textId="77777777" w:rsidR="00B20F1E" w:rsidRPr="000D2717" w:rsidRDefault="00B20F1E" w:rsidP="0029737E">
            <w:pPr>
              <w:pStyle w:val="Tabletext"/>
              <w:jc w:val="center"/>
              <w:rPr>
                <w:lang w:val="es-ES"/>
              </w:rPr>
            </w:pPr>
            <w:r>
              <w:rPr>
                <w:lang w:val="es-ES"/>
              </w:rPr>
              <w:t>Addéndum</w:t>
            </w:r>
            <w:r w:rsidRPr="000D2717">
              <w:rPr>
                <w:lang w:val="es-ES"/>
              </w:rPr>
              <w:t xml:space="preserve"> 2</w:t>
            </w:r>
          </w:p>
        </w:tc>
      </w:tr>
      <w:tr w:rsidR="00B20F1E" w:rsidRPr="000D2717" w14:paraId="5038AE8B" w14:textId="77777777" w:rsidTr="00DB48C6">
        <w:tc>
          <w:tcPr>
            <w:tcW w:w="3681" w:type="dxa"/>
          </w:tcPr>
          <w:p w14:paraId="6BD931AD" w14:textId="77777777" w:rsidR="00B20F1E" w:rsidRPr="000D2717" w:rsidRDefault="00B20F1E" w:rsidP="0029737E">
            <w:pPr>
              <w:pStyle w:val="Tabletext"/>
              <w:jc w:val="center"/>
              <w:rPr>
                <w:lang w:val="es-ES"/>
              </w:rPr>
            </w:pPr>
            <w:r w:rsidRPr="000D2717">
              <w:rPr>
                <w:lang w:val="es-ES"/>
              </w:rPr>
              <w:t>1.3</w:t>
            </w:r>
          </w:p>
        </w:tc>
        <w:tc>
          <w:tcPr>
            <w:tcW w:w="5948" w:type="dxa"/>
          </w:tcPr>
          <w:p w14:paraId="0653999C" w14:textId="77777777" w:rsidR="00B20F1E" w:rsidRPr="000D2717" w:rsidRDefault="00B20F1E" w:rsidP="0029737E">
            <w:pPr>
              <w:pStyle w:val="Tabletext"/>
              <w:jc w:val="center"/>
              <w:rPr>
                <w:lang w:val="es-ES"/>
              </w:rPr>
            </w:pPr>
            <w:r>
              <w:rPr>
                <w:lang w:val="es-ES"/>
              </w:rPr>
              <w:t>Addéndum</w:t>
            </w:r>
            <w:r w:rsidRPr="000D2717">
              <w:rPr>
                <w:lang w:val="es-ES"/>
              </w:rPr>
              <w:t xml:space="preserve"> 3</w:t>
            </w:r>
          </w:p>
        </w:tc>
      </w:tr>
      <w:tr w:rsidR="00B20F1E" w:rsidRPr="000D2717" w14:paraId="4B36C7F1" w14:textId="77777777" w:rsidTr="00DB48C6">
        <w:tc>
          <w:tcPr>
            <w:tcW w:w="3681" w:type="dxa"/>
          </w:tcPr>
          <w:p w14:paraId="298CDF2B" w14:textId="77777777" w:rsidR="00B20F1E" w:rsidRPr="000D2717" w:rsidRDefault="00B20F1E" w:rsidP="0029737E">
            <w:pPr>
              <w:pStyle w:val="Tabletext"/>
              <w:jc w:val="center"/>
              <w:rPr>
                <w:lang w:val="es-ES"/>
              </w:rPr>
            </w:pPr>
            <w:r w:rsidRPr="000D2717">
              <w:rPr>
                <w:lang w:val="es-ES"/>
              </w:rPr>
              <w:t>1.4</w:t>
            </w:r>
          </w:p>
        </w:tc>
        <w:tc>
          <w:tcPr>
            <w:tcW w:w="5948" w:type="dxa"/>
          </w:tcPr>
          <w:p w14:paraId="1C5A31D7" w14:textId="77777777" w:rsidR="00B20F1E" w:rsidRPr="000D2717" w:rsidRDefault="00B20F1E" w:rsidP="0029737E">
            <w:pPr>
              <w:pStyle w:val="Tabletext"/>
              <w:jc w:val="center"/>
              <w:rPr>
                <w:lang w:val="es-ES"/>
              </w:rPr>
            </w:pPr>
            <w:r>
              <w:rPr>
                <w:lang w:val="es-ES"/>
              </w:rPr>
              <w:t>Addéndum</w:t>
            </w:r>
            <w:r w:rsidRPr="000D2717">
              <w:rPr>
                <w:lang w:val="es-ES"/>
              </w:rPr>
              <w:t xml:space="preserve"> 4</w:t>
            </w:r>
          </w:p>
        </w:tc>
      </w:tr>
      <w:tr w:rsidR="00B20F1E" w:rsidRPr="000D2717" w14:paraId="515E7814" w14:textId="77777777" w:rsidTr="00DB48C6">
        <w:tc>
          <w:tcPr>
            <w:tcW w:w="3681" w:type="dxa"/>
          </w:tcPr>
          <w:p w14:paraId="0FA1434B" w14:textId="77777777" w:rsidR="00B20F1E" w:rsidRPr="000D2717" w:rsidRDefault="00B20F1E" w:rsidP="0029737E">
            <w:pPr>
              <w:pStyle w:val="Tabletext"/>
              <w:jc w:val="center"/>
              <w:rPr>
                <w:lang w:val="es-ES"/>
              </w:rPr>
            </w:pPr>
            <w:r w:rsidRPr="000D2717">
              <w:rPr>
                <w:lang w:val="es-ES"/>
              </w:rPr>
              <w:t>1.5</w:t>
            </w:r>
          </w:p>
        </w:tc>
        <w:tc>
          <w:tcPr>
            <w:tcW w:w="5948" w:type="dxa"/>
          </w:tcPr>
          <w:p w14:paraId="389F4673"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5</w:t>
            </w:r>
          </w:p>
        </w:tc>
      </w:tr>
      <w:tr w:rsidR="00B20F1E" w:rsidRPr="000D2717" w14:paraId="2B2AFE76" w14:textId="77777777" w:rsidTr="00DB48C6">
        <w:tc>
          <w:tcPr>
            <w:tcW w:w="3681" w:type="dxa"/>
          </w:tcPr>
          <w:p w14:paraId="303169FD" w14:textId="77777777" w:rsidR="00B20F1E" w:rsidRPr="000D2717" w:rsidRDefault="00B20F1E" w:rsidP="0029737E">
            <w:pPr>
              <w:pStyle w:val="Tabletext"/>
              <w:jc w:val="center"/>
              <w:rPr>
                <w:lang w:val="es-ES"/>
              </w:rPr>
            </w:pPr>
            <w:r w:rsidRPr="000D2717">
              <w:rPr>
                <w:lang w:val="es-ES"/>
              </w:rPr>
              <w:t>1.6</w:t>
            </w:r>
          </w:p>
        </w:tc>
        <w:tc>
          <w:tcPr>
            <w:tcW w:w="5948" w:type="dxa"/>
          </w:tcPr>
          <w:p w14:paraId="72BBD6C3"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6</w:t>
            </w:r>
          </w:p>
        </w:tc>
      </w:tr>
      <w:tr w:rsidR="00B20F1E" w:rsidRPr="000D2717" w14:paraId="04257EAD" w14:textId="77777777" w:rsidTr="00DB48C6">
        <w:tc>
          <w:tcPr>
            <w:tcW w:w="3681" w:type="dxa"/>
          </w:tcPr>
          <w:p w14:paraId="2B70C604" w14:textId="77777777" w:rsidR="00B20F1E" w:rsidRPr="000D2717" w:rsidRDefault="00B20F1E" w:rsidP="0029737E">
            <w:pPr>
              <w:pStyle w:val="Tabletext"/>
              <w:jc w:val="center"/>
              <w:rPr>
                <w:lang w:val="es-ES"/>
              </w:rPr>
            </w:pPr>
            <w:r w:rsidRPr="000D2717">
              <w:rPr>
                <w:lang w:val="es-ES"/>
              </w:rPr>
              <w:t>1.7</w:t>
            </w:r>
          </w:p>
        </w:tc>
        <w:tc>
          <w:tcPr>
            <w:tcW w:w="5948" w:type="dxa"/>
          </w:tcPr>
          <w:p w14:paraId="2069566E"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7</w:t>
            </w:r>
          </w:p>
        </w:tc>
      </w:tr>
      <w:tr w:rsidR="00B20F1E" w:rsidRPr="000D2717" w14:paraId="1247ED6D" w14:textId="77777777" w:rsidTr="00DB48C6">
        <w:tc>
          <w:tcPr>
            <w:tcW w:w="3681" w:type="dxa"/>
          </w:tcPr>
          <w:p w14:paraId="2D79559E" w14:textId="77777777" w:rsidR="00B20F1E" w:rsidRPr="000D2717" w:rsidRDefault="00B20F1E" w:rsidP="0029737E">
            <w:pPr>
              <w:pStyle w:val="Tabletext"/>
              <w:jc w:val="center"/>
              <w:rPr>
                <w:lang w:val="es-ES"/>
              </w:rPr>
            </w:pPr>
            <w:r w:rsidRPr="000D2717">
              <w:rPr>
                <w:lang w:val="es-ES"/>
              </w:rPr>
              <w:t>1.8</w:t>
            </w:r>
          </w:p>
        </w:tc>
        <w:tc>
          <w:tcPr>
            <w:tcW w:w="5948" w:type="dxa"/>
          </w:tcPr>
          <w:p w14:paraId="22D64CAA"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8</w:t>
            </w:r>
          </w:p>
        </w:tc>
      </w:tr>
      <w:tr w:rsidR="00B20F1E" w:rsidRPr="000D2717" w14:paraId="2C3A5BB6" w14:textId="77777777" w:rsidTr="00DB48C6">
        <w:tc>
          <w:tcPr>
            <w:tcW w:w="3681" w:type="dxa"/>
          </w:tcPr>
          <w:p w14:paraId="6C6C3600" w14:textId="77777777" w:rsidR="00B20F1E" w:rsidRPr="000D2717" w:rsidRDefault="00B20F1E" w:rsidP="0029737E">
            <w:pPr>
              <w:pStyle w:val="Tabletext"/>
              <w:jc w:val="center"/>
              <w:rPr>
                <w:lang w:val="es-ES"/>
              </w:rPr>
            </w:pPr>
            <w:r w:rsidRPr="000D2717">
              <w:rPr>
                <w:lang w:val="es-ES"/>
              </w:rPr>
              <w:t>1.9</w:t>
            </w:r>
          </w:p>
        </w:tc>
        <w:tc>
          <w:tcPr>
            <w:tcW w:w="5948" w:type="dxa"/>
          </w:tcPr>
          <w:p w14:paraId="0E60A22D"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9</w:t>
            </w:r>
          </w:p>
        </w:tc>
      </w:tr>
      <w:tr w:rsidR="00B20F1E" w:rsidRPr="000D2717" w14:paraId="5CA8F9B5" w14:textId="77777777" w:rsidTr="00DB48C6">
        <w:tc>
          <w:tcPr>
            <w:tcW w:w="3681" w:type="dxa"/>
          </w:tcPr>
          <w:p w14:paraId="55DD13E8" w14:textId="77777777" w:rsidR="00B20F1E" w:rsidRPr="000D2717" w:rsidRDefault="00B20F1E" w:rsidP="0029737E">
            <w:pPr>
              <w:pStyle w:val="Tabletext"/>
              <w:jc w:val="center"/>
              <w:rPr>
                <w:lang w:val="es-ES"/>
              </w:rPr>
            </w:pPr>
            <w:r w:rsidRPr="000D2717">
              <w:rPr>
                <w:lang w:val="es-ES"/>
              </w:rPr>
              <w:t>1.10</w:t>
            </w:r>
          </w:p>
        </w:tc>
        <w:tc>
          <w:tcPr>
            <w:tcW w:w="5948" w:type="dxa"/>
          </w:tcPr>
          <w:p w14:paraId="1D518D5D"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10</w:t>
            </w:r>
          </w:p>
        </w:tc>
      </w:tr>
      <w:tr w:rsidR="00B20F1E" w:rsidRPr="000D2717" w14:paraId="50EE0098" w14:textId="77777777" w:rsidTr="00DB48C6">
        <w:tc>
          <w:tcPr>
            <w:tcW w:w="3681" w:type="dxa"/>
          </w:tcPr>
          <w:p w14:paraId="5980752F" w14:textId="77777777" w:rsidR="00B20F1E" w:rsidRPr="000D2717" w:rsidRDefault="00B20F1E" w:rsidP="0029737E">
            <w:pPr>
              <w:pStyle w:val="Tabletext"/>
              <w:jc w:val="center"/>
              <w:rPr>
                <w:lang w:val="es-ES"/>
              </w:rPr>
            </w:pPr>
            <w:r w:rsidRPr="000D2717">
              <w:rPr>
                <w:lang w:val="es-ES"/>
              </w:rPr>
              <w:t>1.11</w:t>
            </w:r>
          </w:p>
        </w:tc>
        <w:tc>
          <w:tcPr>
            <w:tcW w:w="5948" w:type="dxa"/>
          </w:tcPr>
          <w:p w14:paraId="301C8383"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11</w:t>
            </w:r>
          </w:p>
        </w:tc>
      </w:tr>
      <w:tr w:rsidR="00B20F1E" w:rsidRPr="000D2717" w14:paraId="30F0F77E" w14:textId="77777777" w:rsidTr="00DB48C6">
        <w:tc>
          <w:tcPr>
            <w:tcW w:w="3681" w:type="dxa"/>
          </w:tcPr>
          <w:p w14:paraId="5599B669" w14:textId="77777777" w:rsidR="00B20F1E" w:rsidRPr="000D2717" w:rsidRDefault="00B20F1E" w:rsidP="0029737E">
            <w:pPr>
              <w:pStyle w:val="Tabletext"/>
              <w:jc w:val="center"/>
              <w:rPr>
                <w:lang w:val="es-ES"/>
              </w:rPr>
            </w:pPr>
            <w:r w:rsidRPr="000D2717">
              <w:rPr>
                <w:lang w:val="es-ES"/>
              </w:rPr>
              <w:t>1.12</w:t>
            </w:r>
          </w:p>
        </w:tc>
        <w:tc>
          <w:tcPr>
            <w:tcW w:w="5948" w:type="dxa"/>
          </w:tcPr>
          <w:p w14:paraId="04F7C944"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12</w:t>
            </w:r>
          </w:p>
        </w:tc>
      </w:tr>
      <w:tr w:rsidR="00B20F1E" w:rsidRPr="000D2717" w14:paraId="4FE7903A" w14:textId="77777777" w:rsidTr="00DB48C6">
        <w:tc>
          <w:tcPr>
            <w:tcW w:w="3681" w:type="dxa"/>
          </w:tcPr>
          <w:p w14:paraId="275362AF" w14:textId="77777777" w:rsidR="00B20F1E" w:rsidRPr="000D2717" w:rsidRDefault="00B20F1E" w:rsidP="0029737E">
            <w:pPr>
              <w:pStyle w:val="Tabletext"/>
              <w:jc w:val="center"/>
              <w:rPr>
                <w:lang w:val="es-ES"/>
              </w:rPr>
            </w:pPr>
            <w:r w:rsidRPr="000D2717">
              <w:rPr>
                <w:lang w:val="es-ES"/>
              </w:rPr>
              <w:t>1.13</w:t>
            </w:r>
          </w:p>
        </w:tc>
        <w:tc>
          <w:tcPr>
            <w:tcW w:w="5948" w:type="dxa"/>
          </w:tcPr>
          <w:p w14:paraId="44FD991C"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13</w:t>
            </w:r>
          </w:p>
        </w:tc>
      </w:tr>
      <w:tr w:rsidR="00B20F1E" w:rsidRPr="000D2717" w14:paraId="52308B3D" w14:textId="77777777" w:rsidTr="00DB48C6">
        <w:tc>
          <w:tcPr>
            <w:tcW w:w="3681" w:type="dxa"/>
          </w:tcPr>
          <w:p w14:paraId="0194DEBC" w14:textId="77777777" w:rsidR="00B20F1E" w:rsidRPr="000D2717" w:rsidRDefault="00B20F1E" w:rsidP="0029737E">
            <w:pPr>
              <w:pStyle w:val="Tabletext"/>
              <w:jc w:val="center"/>
              <w:rPr>
                <w:lang w:val="es-ES"/>
              </w:rPr>
            </w:pPr>
            <w:r w:rsidRPr="000D2717">
              <w:rPr>
                <w:lang w:val="es-ES"/>
              </w:rPr>
              <w:t>1.14</w:t>
            </w:r>
          </w:p>
        </w:tc>
        <w:tc>
          <w:tcPr>
            <w:tcW w:w="5948" w:type="dxa"/>
          </w:tcPr>
          <w:p w14:paraId="473187B8"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14</w:t>
            </w:r>
          </w:p>
        </w:tc>
      </w:tr>
      <w:tr w:rsidR="00B20F1E" w:rsidRPr="000D2717" w14:paraId="6CC05836" w14:textId="77777777" w:rsidTr="00DB48C6">
        <w:tc>
          <w:tcPr>
            <w:tcW w:w="3681" w:type="dxa"/>
          </w:tcPr>
          <w:p w14:paraId="2B5A8FF5" w14:textId="77777777" w:rsidR="00B20F1E" w:rsidRPr="000D2717" w:rsidRDefault="00B20F1E" w:rsidP="0029737E">
            <w:pPr>
              <w:pStyle w:val="Tabletext"/>
              <w:jc w:val="center"/>
              <w:rPr>
                <w:lang w:val="es-ES"/>
              </w:rPr>
            </w:pPr>
            <w:r w:rsidRPr="000D2717">
              <w:rPr>
                <w:lang w:val="es-ES"/>
              </w:rPr>
              <w:t>1.15</w:t>
            </w:r>
          </w:p>
        </w:tc>
        <w:tc>
          <w:tcPr>
            <w:tcW w:w="5948" w:type="dxa"/>
          </w:tcPr>
          <w:p w14:paraId="4C5179F4"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15</w:t>
            </w:r>
          </w:p>
        </w:tc>
      </w:tr>
      <w:tr w:rsidR="00B20F1E" w:rsidRPr="000D2717" w14:paraId="7700AD34" w14:textId="77777777" w:rsidTr="00DB48C6">
        <w:tc>
          <w:tcPr>
            <w:tcW w:w="3681" w:type="dxa"/>
          </w:tcPr>
          <w:p w14:paraId="2A04EFE7" w14:textId="77777777" w:rsidR="00B20F1E" w:rsidRPr="000D2717" w:rsidRDefault="00B20F1E" w:rsidP="0029737E">
            <w:pPr>
              <w:pStyle w:val="Tabletext"/>
              <w:jc w:val="center"/>
              <w:rPr>
                <w:lang w:val="es-ES"/>
              </w:rPr>
            </w:pPr>
            <w:r w:rsidRPr="000D2717">
              <w:rPr>
                <w:lang w:val="es-ES"/>
              </w:rPr>
              <w:t>1.16</w:t>
            </w:r>
          </w:p>
        </w:tc>
        <w:tc>
          <w:tcPr>
            <w:tcW w:w="5948" w:type="dxa"/>
          </w:tcPr>
          <w:p w14:paraId="1A743422"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16</w:t>
            </w:r>
          </w:p>
        </w:tc>
      </w:tr>
      <w:tr w:rsidR="00B20F1E" w:rsidRPr="000D2717" w14:paraId="1ADE3398" w14:textId="77777777" w:rsidTr="00DB48C6">
        <w:tc>
          <w:tcPr>
            <w:tcW w:w="3681" w:type="dxa"/>
          </w:tcPr>
          <w:p w14:paraId="70018E36" w14:textId="77777777" w:rsidR="00B20F1E" w:rsidRPr="000D2717" w:rsidRDefault="00B20F1E" w:rsidP="0029737E">
            <w:pPr>
              <w:pStyle w:val="Tabletext"/>
              <w:jc w:val="center"/>
              <w:rPr>
                <w:lang w:val="es-ES"/>
              </w:rPr>
            </w:pPr>
            <w:r w:rsidRPr="000D2717">
              <w:rPr>
                <w:lang w:val="es-ES"/>
              </w:rPr>
              <w:t>1.17</w:t>
            </w:r>
          </w:p>
        </w:tc>
        <w:tc>
          <w:tcPr>
            <w:tcW w:w="5948" w:type="dxa"/>
          </w:tcPr>
          <w:p w14:paraId="06B9A43C"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17</w:t>
            </w:r>
          </w:p>
        </w:tc>
      </w:tr>
      <w:tr w:rsidR="00B20F1E" w:rsidRPr="000D2717" w14:paraId="58FB561D" w14:textId="77777777" w:rsidTr="00DB48C6">
        <w:tc>
          <w:tcPr>
            <w:tcW w:w="3681" w:type="dxa"/>
          </w:tcPr>
          <w:p w14:paraId="596DFE9F" w14:textId="77777777" w:rsidR="00B20F1E" w:rsidRPr="000D2717" w:rsidRDefault="00B20F1E" w:rsidP="0029737E">
            <w:pPr>
              <w:pStyle w:val="Tabletext"/>
              <w:jc w:val="center"/>
              <w:rPr>
                <w:lang w:val="es-ES"/>
              </w:rPr>
            </w:pPr>
            <w:r w:rsidRPr="000D2717">
              <w:rPr>
                <w:lang w:val="es-ES"/>
              </w:rPr>
              <w:t>1.18</w:t>
            </w:r>
          </w:p>
        </w:tc>
        <w:tc>
          <w:tcPr>
            <w:tcW w:w="5948" w:type="dxa"/>
          </w:tcPr>
          <w:p w14:paraId="6BCE00A3"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18</w:t>
            </w:r>
          </w:p>
        </w:tc>
      </w:tr>
      <w:tr w:rsidR="00B20F1E" w:rsidRPr="000D2717" w14:paraId="320D87A1" w14:textId="77777777" w:rsidTr="00DB48C6">
        <w:tc>
          <w:tcPr>
            <w:tcW w:w="3681" w:type="dxa"/>
          </w:tcPr>
          <w:p w14:paraId="3D237BC4" w14:textId="77777777" w:rsidR="00B20F1E" w:rsidRPr="000D2717" w:rsidRDefault="00B20F1E" w:rsidP="0029737E">
            <w:pPr>
              <w:pStyle w:val="Tabletext"/>
              <w:jc w:val="center"/>
              <w:rPr>
                <w:lang w:val="es-ES"/>
              </w:rPr>
            </w:pPr>
            <w:r w:rsidRPr="000D2717">
              <w:rPr>
                <w:lang w:val="es-ES"/>
              </w:rPr>
              <w:t>1.19</w:t>
            </w:r>
          </w:p>
        </w:tc>
        <w:tc>
          <w:tcPr>
            <w:tcW w:w="5948" w:type="dxa"/>
          </w:tcPr>
          <w:p w14:paraId="154FD0E4"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19</w:t>
            </w:r>
          </w:p>
        </w:tc>
      </w:tr>
      <w:tr w:rsidR="00B20F1E" w:rsidRPr="00B707C8" w14:paraId="3BA937A9" w14:textId="77777777" w:rsidTr="00DB48C6">
        <w:tc>
          <w:tcPr>
            <w:tcW w:w="3681" w:type="dxa"/>
          </w:tcPr>
          <w:p w14:paraId="4C190C4C" w14:textId="77777777" w:rsidR="00B20F1E" w:rsidRPr="000D2717" w:rsidRDefault="00B20F1E" w:rsidP="0029737E">
            <w:pPr>
              <w:pStyle w:val="Tabletext"/>
              <w:jc w:val="center"/>
              <w:rPr>
                <w:lang w:val="es-ES"/>
              </w:rPr>
            </w:pPr>
            <w:r w:rsidRPr="000D2717">
              <w:rPr>
                <w:lang w:val="es-ES"/>
              </w:rPr>
              <w:t>2 (sin propuestas)</w:t>
            </w:r>
          </w:p>
        </w:tc>
        <w:tc>
          <w:tcPr>
            <w:tcW w:w="5948" w:type="dxa"/>
          </w:tcPr>
          <w:p w14:paraId="77F98D28" w14:textId="77777777" w:rsidR="00B20F1E" w:rsidRPr="000D2717" w:rsidRDefault="00B20F1E" w:rsidP="0029737E">
            <w:pPr>
              <w:pStyle w:val="Tabletext"/>
              <w:jc w:val="center"/>
              <w:rPr>
                <w:lang w:val="es-ES"/>
              </w:rPr>
            </w:pPr>
            <w:r w:rsidRPr="000D2717">
              <w:rPr>
                <w:lang w:val="es-ES"/>
              </w:rPr>
              <w:t>(</w:t>
            </w:r>
            <w:r>
              <w:rPr>
                <w:lang w:val="es-ES"/>
              </w:rPr>
              <w:t xml:space="preserve">Addéndum </w:t>
            </w:r>
            <w:r w:rsidRPr="000D2717">
              <w:rPr>
                <w:lang w:val="es-ES"/>
              </w:rPr>
              <w:t xml:space="preserve"> 20 </w:t>
            </w:r>
            <w:r>
              <w:rPr>
                <w:lang w:val="es-ES"/>
              </w:rPr>
              <w:t>no proporcionado por</w:t>
            </w:r>
            <w:r w:rsidRPr="000D2717">
              <w:rPr>
                <w:lang w:val="es-ES"/>
              </w:rPr>
              <w:t xml:space="preserve"> no </w:t>
            </w:r>
            <w:r>
              <w:rPr>
                <w:lang w:val="es-ES"/>
              </w:rPr>
              <w:t>existir ninguna AFCP</w:t>
            </w:r>
            <w:r w:rsidRPr="000D2717">
              <w:rPr>
                <w:lang w:val="es-ES"/>
              </w:rPr>
              <w:t xml:space="preserve">, </w:t>
            </w:r>
            <w:r>
              <w:rPr>
                <w:lang w:val="es-ES"/>
              </w:rPr>
              <w:t>puesto</w:t>
            </w:r>
            <w:r w:rsidRPr="000D2717">
              <w:rPr>
                <w:lang w:val="es-ES"/>
              </w:rPr>
              <w:t xml:space="preserve"> que este punto del orden del día </w:t>
            </w:r>
            <w:r>
              <w:rPr>
                <w:lang w:val="es-ES"/>
              </w:rPr>
              <w:t xml:space="preserve">se excluye </w:t>
            </w:r>
            <w:r w:rsidRPr="000D2717">
              <w:rPr>
                <w:lang w:val="es-ES"/>
              </w:rPr>
              <w:t>de las propuestas comunes)</w:t>
            </w:r>
          </w:p>
        </w:tc>
      </w:tr>
      <w:tr w:rsidR="00B20F1E" w:rsidRPr="00B707C8" w14:paraId="4D3AB5DA" w14:textId="77777777" w:rsidTr="00DB48C6">
        <w:tc>
          <w:tcPr>
            <w:tcW w:w="3681" w:type="dxa"/>
          </w:tcPr>
          <w:p w14:paraId="65C9193F" w14:textId="77777777" w:rsidR="00B20F1E" w:rsidRPr="000D2717" w:rsidRDefault="00B20F1E" w:rsidP="0029737E">
            <w:pPr>
              <w:pStyle w:val="Tabletext"/>
              <w:jc w:val="center"/>
              <w:rPr>
                <w:lang w:val="es-ES"/>
              </w:rPr>
            </w:pPr>
            <w:r w:rsidRPr="000D2717">
              <w:rPr>
                <w:lang w:val="es-ES"/>
              </w:rPr>
              <w:t>4 (sin propuestas)</w:t>
            </w:r>
          </w:p>
        </w:tc>
        <w:tc>
          <w:tcPr>
            <w:tcW w:w="5948" w:type="dxa"/>
          </w:tcPr>
          <w:p w14:paraId="6EDA7155" w14:textId="77777777" w:rsidR="00B20F1E" w:rsidRPr="000D2717" w:rsidRDefault="00B20F1E" w:rsidP="0029737E">
            <w:pPr>
              <w:pStyle w:val="Tabletext"/>
              <w:jc w:val="center"/>
              <w:rPr>
                <w:lang w:val="es-ES"/>
              </w:rPr>
            </w:pPr>
            <w:r w:rsidRPr="000D2717">
              <w:rPr>
                <w:lang w:val="es-ES"/>
              </w:rPr>
              <w:t xml:space="preserve">(No se facilitó el </w:t>
            </w:r>
            <w:r>
              <w:rPr>
                <w:lang w:val="es-ES"/>
              </w:rPr>
              <w:t xml:space="preserve">Addéndum </w:t>
            </w:r>
            <w:r w:rsidRPr="000D2717">
              <w:rPr>
                <w:lang w:val="es-ES"/>
              </w:rPr>
              <w:t xml:space="preserve"> 21)</w:t>
            </w:r>
          </w:p>
        </w:tc>
      </w:tr>
      <w:tr w:rsidR="00B20F1E" w:rsidRPr="000D2717" w14:paraId="454C6927" w14:textId="77777777" w:rsidTr="00DB48C6">
        <w:tc>
          <w:tcPr>
            <w:tcW w:w="3681" w:type="dxa"/>
          </w:tcPr>
          <w:p w14:paraId="605F3C4B" w14:textId="77777777" w:rsidR="00B20F1E" w:rsidRPr="000D2717" w:rsidRDefault="00B20F1E" w:rsidP="0029737E">
            <w:pPr>
              <w:pStyle w:val="Tabletext"/>
              <w:jc w:val="center"/>
              <w:rPr>
                <w:lang w:val="es-ES"/>
              </w:rPr>
            </w:pPr>
            <w:r w:rsidRPr="000D2717">
              <w:rPr>
                <w:lang w:val="es-ES"/>
              </w:rPr>
              <w:t>7</w:t>
            </w:r>
            <w:r>
              <w:rPr>
                <w:lang w:val="es-ES"/>
              </w:rPr>
              <w:t>,</w:t>
            </w:r>
            <w:r w:rsidRPr="000D2717">
              <w:rPr>
                <w:lang w:val="es-ES"/>
              </w:rPr>
              <w:t xml:space="preserve"> Tema A</w:t>
            </w:r>
          </w:p>
        </w:tc>
        <w:tc>
          <w:tcPr>
            <w:tcW w:w="5948" w:type="dxa"/>
          </w:tcPr>
          <w:p w14:paraId="4098E9C1"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1 </w:t>
            </w:r>
            <w:r>
              <w:rPr>
                <w:lang w:val="es-ES"/>
              </w:rPr>
              <w:t>al</w:t>
            </w:r>
            <w:r w:rsidRPr="000D2717">
              <w:rPr>
                <w:lang w:val="es-ES"/>
              </w:rPr>
              <w:t xml:space="preserve"> </w:t>
            </w:r>
            <w:r>
              <w:rPr>
                <w:lang w:val="es-ES"/>
              </w:rPr>
              <w:t xml:space="preserve">Addéndum </w:t>
            </w:r>
            <w:r w:rsidRPr="000D2717">
              <w:rPr>
                <w:lang w:val="es-ES"/>
              </w:rPr>
              <w:t xml:space="preserve"> 22</w:t>
            </w:r>
          </w:p>
        </w:tc>
      </w:tr>
      <w:tr w:rsidR="00B20F1E" w:rsidRPr="00B707C8" w14:paraId="2C2E6D80" w14:textId="77777777" w:rsidTr="00DB48C6">
        <w:tc>
          <w:tcPr>
            <w:tcW w:w="3681" w:type="dxa"/>
          </w:tcPr>
          <w:p w14:paraId="1F6AE76B" w14:textId="77777777" w:rsidR="00B20F1E" w:rsidRPr="000D2717" w:rsidRDefault="00B20F1E" w:rsidP="0029737E">
            <w:pPr>
              <w:pStyle w:val="Tabletext"/>
              <w:jc w:val="center"/>
              <w:rPr>
                <w:lang w:val="es-ES"/>
              </w:rPr>
            </w:pPr>
            <w:r w:rsidRPr="000D2717">
              <w:rPr>
                <w:lang w:val="es-ES"/>
              </w:rPr>
              <w:t>7</w:t>
            </w:r>
            <w:r>
              <w:rPr>
                <w:lang w:val="es-ES"/>
              </w:rPr>
              <w:t>,</w:t>
            </w:r>
            <w:r w:rsidRPr="000D2717">
              <w:rPr>
                <w:lang w:val="es-ES"/>
              </w:rPr>
              <w:t xml:space="preserve"> Tema B (sin propuestas)</w:t>
            </w:r>
          </w:p>
        </w:tc>
        <w:tc>
          <w:tcPr>
            <w:tcW w:w="5948" w:type="dxa"/>
          </w:tcPr>
          <w:p w14:paraId="633CBD13" w14:textId="77777777" w:rsidR="00B20F1E" w:rsidRPr="000D2717" w:rsidRDefault="00B20F1E" w:rsidP="0029737E">
            <w:pPr>
              <w:pStyle w:val="Tabletext"/>
              <w:jc w:val="center"/>
              <w:rPr>
                <w:lang w:val="es-ES"/>
              </w:rPr>
            </w:pPr>
            <w:r w:rsidRPr="000D2717">
              <w:rPr>
                <w:lang w:val="es-ES"/>
              </w:rPr>
              <w:t>(</w:t>
            </w:r>
            <w:r>
              <w:rPr>
                <w:lang w:val="es-ES"/>
              </w:rPr>
              <w:t xml:space="preserve">Addéndum </w:t>
            </w:r>
            <w:r w:rsidRPr="000D2717">
              <w:rPr>
                <w:lang w:val="es-ES"/>
              </w:rPr>
              <w:t xml:space="preserve"> 2</w:t>
            </w:r>
            <w:r>
              <w:rPr>
                <w:lang w:val="es-ES"/>
              </w:rPr>
              <w:t xml:space="preserve"> al Addéndum 22</w:t>
            </w:r>
            <w:r w:rsidRPr="000D2717">
              <w:rPr>
                <w:lang w:val="es-ES"/>
              </w:rPr>
              <w:t xml:space="preserve"> </w:t>
            </w:r>
            <w:r>
              <w:rPr>
                <w:lang w:val="es-ES"/>
              </w:rPr>
              <w:t>no proporcionado por</w:t>
            </w:r>
            <w:r w:rsidRPr="000D2717">
              <w:rPr>
                <w:lang w:val="es-ES"/>
              </w:rPr>
              <w:t xml:space="preserve"> no </w:t>
            </w:r>
            <w:r>
              <w:rPr>
                <w:lang w:val="es-ES"/>
              </w:rPr>
              <w:t>existir ninguna AFCP</w:t>
            </w:r>
            <w:r w:rsidRPr="000D2717">
              <w:rPr>
                <w:lang w:val="es-ES"/>
              </w:rPr>
              <w:t xml:space="preserve">, </w:t>
            </w:r>
            <w:r>
              <w:rPr>
                <w:lang w:val="es-ES"/>
              </w:rPr>
              <w:t>puesto</w:t>
            </w:r>
            <w:r w:rsidRPr="000D2717">
              <w:rPr>
                <w:lang w:val="es-ES"/>
              </w:rPr>
              <w:t xml:space="preserve"> que este punto del orden del día </w:t>
            </w:r>
            <w:r>
              <w:rPr>
                <w:lang w:val="es-ES"/>
              </w:rPr>
              <w:t xml:space="preserve">se excluye </w:t>
            </w:r>
            <w:r w:rsidRPr="000D2717">
              <w:rPr>
                <w:lang w:val="es-ES"/>
              </w:rPr>
              <w:t>de las propuestas comunes)</w:t>
            </w:r>
          </w:p>
        </w:tc>
      </w:tr>
      <w:tr w:rsidR="00B20F1E" w:rsidRPr="000D2717" w14:paraId="7E01B65D" w14:textId="77777777" w:rsidTr="00DB48C6">
        <w:tc>
          <w:tcPr>
            <w:tcW w:w="3681" w:type="dxa"/>
          </w:tcPr>
          <w:p w14:paraId="0C2B9B0C" w14:textId="77777777" w:rsidR="00B20F1E" w:rsidRPr="000D2717" w:rsidRDefault="00B20F1E" w:rsidP="0029737E">
            <w:pPr>
              <w:pStyle w:val="Tabletext"/>
              <w:jc w:val="center"/>
              <w:rPr>
                <w:lang w:val="es-ES"/>
              </w:rPr>
            </w:pPr>
            <w:r w:rsidRPr="000D2717">
              <w:rPr>
                <w:lang w:val="es-ES"/>
              </w:rPr>
              <w:t>7</w:t>
            </w:r>
            <w:r>
              <w:rPr>
                <w:lang w:val="es-ES"/>
              </w:rPr>
              <w:t>,</w:t>
            </w:r>
            <w:r w:rsidRPr="000D2717">
              <w:rPr>
                <w:lang w:val="es-ES"/>
              </w:rPr>
              <w:t xml:space="preserve"> Tema C</w:t>
            </w:r>
          </w:p>
        </w:tc>
        <w:tc>
          <w:tcPr>
            <w:tcW w:w="5948" w:type="dxa"/>
          </w:tcPr>
          <w:p w14:paraId="7FE7E323"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3 </w:t>
            </w:r>
            <w:r>
              <w:rPr>
                <w:lang w:val="es-ES"/>
              </w:rPr>
              <w:t>al</w:t>
            </w:r>
            <w:r w:rsidRPr="000D2717">
              <w:rPr>
                <w:lang w:val="es-ES"/>
              </w:rPr>
              <w:t xml:space="preserve"> </w:t>
            </w:r>
            <w:r>
              <w:rPr>
                <w:lang w:val="es-ES"/>
              </w:rPr>
              <w:t xml:space="preserve">Addéndum </w:t>
            </w:r>
            <w:r w:rsidRPr="000D2717">
              <w:rPr>
                <w:lang w:val="es-ES"/>
              </w:rPr>
              <w:t xml:space="preserve"> 22</w:t>
            </w:r>
          </w:p>
        </w:tc>
      </w:tr>
      <w:tr w:rsidR="00B20F1E" w:rsidRPr="000D2717" w14:paraId="19198C2C" w14:textId="77777777" w:rsidTr="00DB48C6">
        <w:tc>
          <w:tcPr>
            <w:tcW w:w="3681" w:type="dxa"/>
          </w:tcPr>
          <w:p w14:paraId="22BE0958" w14:textId="77777777" w:rsidR="00B20F1E" w:rsidRPr="000D2717" w:rsidRDefault="00B20F1E" w:rsidP="0029737E">
            <w:pPr>
              <w:pStyle w:val="Tabletext"/>
              <w:jc w:val="center"/>
              <w:rPr>
                <w:lang w:val="es-ES"/>
              </w:rPr>
            </w:pPr>
            <w:r w:rsidRPr="000D2717">
              <w:rPr>
                <w:lang w:val="es-ES"/>
              </w:rPr>
              <w:t>7</w:t>
            </w:r>
            <w:r>
              <w:rPr>
                <w:lang w:val="es-ES"/>
              </w:rPr>
              <w:t>,</w:t>
            </w:r>
            <w:r w:rsidRPr="000D2717">
              <w:rPr>
                <w:lang w:val="es-ES"/>
              </w:rPr>
              <w:t xml:space="preserve"> Tema D1</w:t>
            </w:r>
          </w:p>
        </w:tc>
        <w:tc>
          <w:tcPr>
            <w:tcW w:w="5948" w:type="dxa"/>
          </w:tcPr>
          <w:p w14:paraId="6F793CAC"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4 </w:t>
            </w:r>
            <w:r>
              <w:rPr>
                <w:lang w:val="es-ES"/>
              </w:rPr>
              <w:t>al</w:t>
            </w:r>
            <w:r w:rsidRPr="000D2717">
              <w:rPr>
                <w:lang w:val="es-ES"/>
              </w:rPr>
              <w:t xml:space="preserve"> </w:t>
            </w:r>
            <w:r>
              <w:rPr>
                <w:lang w:val="es-ES"/>
              </w:rPr>
              <w:t xml:space="preserve">Addéndum </w:t>
            </w:r>
            <w:r w:rsidRPr="000D2717">
              <w:rPr>
                <w:lang w:val="es-ES"/>
              </w:rPr>
              <w:t xml:space="preserve"> 22</w:t>
            </w:r>
          </w:p>
        </w:tc>
      </w:tr>
      <w:tr w:rsidR="00B20F1E" w:rsidRPr="000D2717" w14:paraId="56675765" w14:textId="77777777" w:rsidTr="00DB48C6">
        <w:tc>
          <w:tcPr>
            <w:tcW w:w="3681" w:type="dxa"/>
          </w:tcPr>
          <w:p w14:paraId="042326DD" w14:textId="77777777" w:rsidR="00B20F1E" w:rsidRPr="000D2717" w:rsidRDefault="00B20F1E" w:rsidP="0029737E">
            <w:pPr>
              <w:pStyle w:val="Tabletext"/>
              <w:jc w:val="center"/>
              <w:rPr>
                <w:lang w:val="es-ES"/>
              </w:rPr>
            </w:pPr>
            <w:r w:rsidRPr="000D2717">
              <w:rPr>
                <w:lang w:val="es-ES"/>
              </w:rPr>
              <w:t>7</w:t>
            </w:r>
            <w:r>
              <w:rPr>
                <w:lang w:val="es-ES"/>
              </w:rPr>
              <w:t>,</w:t>
            </w:r>
            <w:r w:rsidRPr="000D2717">
              <w:rPr>
                <w:lang w:val="es-ES"/>
              </w:rPr>
              <w:t>Tema D2</w:t>
            </w:r>
          </w:p>
        </w:tc>
        <w:tc>
          <w:tcPr>
            <w:tcW w:w="5948" w:type="dxa"/>
          </w:tcPr>
          <w:p w14:paraId="5396AC93"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5 </w:t>
            </w:r>
            <w:r>
              <w:rPr>
                <w:lang w:val="es-ES"/>
              </w:rPr>
              <w:t>al</w:t>
            </w:r>
            <w:r w:rsidRPr="000D2717">
              <w:rPr>
                <w:lang w:val="es-ES"/>
              </w:rPr>
              <w:t xml:space="preserve"> </w:t>
            </w:r>
            <w:r>
              <w:rPr>
                <w:lang w:val="es-ES"/>
              </w:rPr>
              <w:t xml:space="preserve">Addéndum </w:t>
            </w:r>
            <w:r w:rsidRPr="000D2717">
              <w:rPr>
                <w:lang w:val="es-ES"/>
              </w:rPr>
              <w:t xml:space="preserve"> 22</w:t>
            </w:r>
          </w:p>
        </w:tc>
      </w:tr>
      <w:tr w:rsidR="00B20F1E" w:rsidRPr="000D2717" w14:paraId="07E40E00" w14:textId="77777777" w:rsidTr="00DB48C6">
        <w:tc>
          <w:tcPr>
            <w:tcW w:w="3681" w:type="dxa"/>
          </w:tcPr>
          <w:p w14:paraId="5590AF48" w14:textId="77777777" w:rsidR="00B20F1E" w:rsidRPr="000D2717" w:rsidRDefault="00B20F1E" w:rsidP="0029737E">
            <w:pPr>
              <w:pStyle w:val="Tabletext"/>
              <w:jc w:val="center"/>
              <w:rPr>
                <w:lang w:val="es-ES"/>
              </w:rPr>
            </w:pPr>
            <w:r w:rsidRPr="000D2717">
              <w:rPr>
                <w:lang w:val="es-ES"/>
              </w:rPr>
              <w:t>7</w:t>
            </w:r>
            <w:r>
              <w:rPr>
                <w:lang w:val="es-ES"/>
              </w:rPr>
              <w:t>,</w:t>
            </w:r>
            <w:r w:rsidRPr="000D2717">
              <w:rPr>
                <w:lang w:val="es-ES"/>
              </w:rPr>
              <w:t xml:space="preserve"> Tema D3</w:t>
            </w:r>
          </w:p>
        </w:tc>
        <w:tc>
          <w:tcPr>
            <w:tcW w:w="5948" w:type="dxa"/>
          </w:tcPr>
          <w:p w14:paraId="2AA14515"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6 </w:t>
            </w:r>
            <w:r>
              <w:rPr>
                <w:lang w:val="es-ES"/>
              </w:rPr>
              <w:t>al</w:t>
            </w:r>
            <w:r w:rsidRPr="000D2717">
              <w:rPr>
                <w:lang w:val="es-ES"/>
              </w:rPr>
              <w:t xml:space="preserve"> </w:t>
            </w:r>
            <w:r>
              <w:rPr>
                <w:lang w:val="es-ES"/>
              </w:rPr>
              <w:t xml:space="preserve">Addéndum </w:t>
            </w:r>
            <w:r w:rsidRPr="000D2717">
              <w:rPr>
                <w:lang w:val="es-ES"/>
              </w:rPr>
              <w:t xml:space="preserve"> 22</w:t>
            </w:r>
          </w:p>
        </w:tc>
      </w:tr>
      <w:tr w:rsidR="00B20F1E" w:rsidRPr="000D2717" w14:paraId="7090F740" w14:textId="77777777" w:rsidTr="00DB48C6">
        <w:tc>
          <w:tcPr>
            <w:tcW w:w="3681" w:type="dxa"/>
          </w:tcPr>
          <w:p w14:paraId="52F9C188" w14:textId="77777777" w:rsidR="00B20F1E" w:rsidRPr="000D2717" w:rsidRDefault="00B20F1E" w:rsidP="0029737E">
            <w:pPr>
              <w:pStyle w:val="Tabletext"/>
              <w:jc w:val="center"/>
              <w:rPr>
                <w:lang w:val="es-ES"/>
              </w:rPr>
            </w:pPr>
            <w:r w:rsidRPr="000D2717">
              <w:rPr>
                <w:lang w:val="es-ES"/>
              </w:rPr>
              <w:t>7</w:t>
            </w:r>
            <w:r>
              <w:rPr>
                <w:lang w:val="es-ES"/>
              </w:rPr>
              <w:t>,</w:t>
            </w:r>
            <w:r w:rsidRPr="000D2717">
              <w:rPr>
                <w:lang w:val="es-ES"/>
              </w:rPr>
              <w:t xml:space="preserve"> Tema E</w:t>
            </w:r>
          </w:p>
        </w:tc>
        <w:tc>
          <w:tcPr>
            <w:tcW w:w="5948" w:type="dxa"/>
          </w:tcPr>
          <w:p w14:paraId="52826CB3"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7 </w:t>
            </w:r>
            <w:r>
              <w:rPr>
                <w:lang w:val="es-ES"/>
              </w:rPr>
              <w:t>al</w:t>
            </w:r>
            <w:r w:rsidRPr="000D2717">
              <w:rPr>
                <w:lang w:val="es-ES"/>
              </w:rPr>
              <w:t xml:space="preserve"> </w:t>
            </w:r>
            <w:r>
              <w:rPr>
                <w:lang w:val="es-ES"/>
              </w:rPr>
              <w:t xml:space="preserve">Addéndum </w:t>
            </w:r>
            <w:r w:rsidRPr="000D2717">
              <w:rPr>
                <w:lang w:val="es-ES"/>
              </w:rPr>
              <w:t xml:space="preserve"> 22</w:t>
            </w:r>
          </w:p>
        </w:tc>
      </w:tr>
      <w:tr w:rsidR="00B20F1E" w:rsidRPr="000D2717" w14:paraId="0F2B1E9D" w14:textId="77777777" w:rsidTr="00DB48C6">
        <w:tc>
          <w:tcPr>
            <w:tcW w:w="3681" w:type="dxa"/>
          </w:tcPr>
          <w:p w14:paraId="046A457E" w14:textId="77777777" w:rsidR="00B20F1E" w:rsidRPr="000D2717" w:rsidRDefault="00B20F1E" w:rsidP="0029737E">
            <w:pPr>
              <w:pStyle w:val="Tabletext"/>
              <w:jc w:val="center"/>
              <w:rPr>
                <w:lang w:val="es-ES"/>
              </w:rPr>
            </w:pPr>
            <w:r w:rsidRPr="000D2717">
              <w:rPr>
                <w:lang w:val="es-ES"/>
              </w:rPr>
              <w:t>7</w:t>
            </w:r>
            <w:r>
              <w:rPr>
                <w:lang w:val="es-ES"/>
              </w:rPr>
              <w:t>,</w:t>
            </w:r>
            <w:r w:rsidRPr="000D2717">
              <w:rPr>
                <w:lang w:val="es-ES"/>
              </w:rPr>
              <w:t xml:space="preserve"> Tema F</w:t>
            </w:r>
          </w:p>
        </w:tc>
        <w:tc>
          <w:tcPr>
            <w:tcW w:w="5948" w:type="dxa"/>
          </w:tcPr>
          <w:p w14:paraId="7BF8B455"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8 </w:t>
            </w:r>
            <w:r>
              <w:rPr>
                <w:lang w:val="es-ES"/>
              </w:rPr>
              <w:t>al</w:t>
            </w:r>
            <w:r w:rsidRPr="000D2717">
              <w:rPr>
                <w:lang w:val="es-ES"/>
              </w:rPr>
              <w:t xml:space="preserve"> </w:t>
            </w:r>
            <w:r>
              <w:rPr>
                <w:lang w:val="es-ES"/>
              </w:rPr>
              <w:t xml:space="preserve">Addéndum </w:t>
            </w:r>
            <w:r w:rsidRPr="000D2717">
              <w:rPr>
                <w:lang w:val="es-ES"/>
              </w:rPr>
              <w:t xml:space="preserve"> 22</w:t>
            </w:r>
          </w:p>
        </w:tc>
      </w:tr>
      <w:tr w:rsidR="00B20F1E" w:rsidRPr="000D2717" w14:paraId="03E2C61B" w14:textId="77777777" w:rsidTr="00DB48C6">
        <w:tc>
          <w:tcPr>
            <w:tcW w:w="3681" w:type="dxa"/>
          </w:tcPr>
          <w:p w14:paraId="044218B9" w14:textId="77777777" w:rsidR="00B20F1E" w:rsidRPr="000D2717" w:rsidRDefault="00B20F1E" w:rsidP="0029737E">
            <w:pPr>
              <w:pStyle w:val="Tabletext"/>
              <w:jc w:val="center"/>
              <w:rPr>
                <w:lang w:val="es-ES"/>
              </w:rPr>
            </w:pPr>
            <w:r w:rsidRPr="000D2717">
              <w:rPr>
                <w:lang w:val="es-ES"/>
              </w:rPr>
              <w:t>7</w:t>
            </w:r>
            <w:r>
              <w:rPr>
                <w:lang w:val="es-ES"/>
              </w:rPr>
              <w:t>,</w:t>
            </w:r>
            <w:r w:rsidRPr="000D2717">
              <w:rPr>
                <w:lang w:val="es-ES"/>
              </w:rPr>
              <w:t xml:space="preserve"> Tema G</w:t>
            </w:r>
          </w:p>
        </w:tc>
        <w:tc>
          <w:tcPr>
            <w:tcW w:w="5948" w:type="dxa"/>
          </w:tcPr>
          <w:p w14:paraId="76BB20B5"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9 </w:t>
            </w:r>
            <w:r>
              <w:rPr>
                <w:lang w:val="es-ES"/>
              </w:rPr>
              <w:t>al</w:t>
            </w:r>
            <w:r w:rsidRPr="000D2717">
              <w:rPr>
                <w:lang w:val="es-ES"/>
              </w:rPr>
              <w:t xml:space="preserve"> </w:t>
            </w:r>
            <w:r>
              <w:rPr>
                <w:lang w:val="es-ES"/>
              </w:rPr>
              <w:t xml:space="preserve">Addéndum </w:t>
            </w:r>
            <w:r w:rsidRPr="000D2717">
              <w:rPr>
                <w:lang w:val="es-ES"/>
              </w:rPr>
              <w:t xml:space="preserve"> 22</w:t>
            </w:r>
          </w:p>
        </w:tc>
      </w:tr>
      <w:tr w:rsidR="00B20F1E" w:rsidRPr="000D2717" w14:paraId="3F397DE7" w14:textId="77777777" w:rsidTr="00DB48C6">
        <w:tc>
          <w:tcPr>
            <w:tcW w:w="3681" w:type="dxa"/>
          </w:tcPr>
          <w:p w14:paraId="2DD6A126" w14:textId="77777777" w:rsidR="00B20F1E" w:rsidRPr="000D2717" w:rsidRDefault="00B20F1E" w:rsidP="0029737E">
            <w:pPr>
              <w:pStyle w:val="Tabletext"/>
              <w:jc w:val="center"/>
              <w:rPr>
                <w:lang w:val="es-ES"/>
              </w:rPr>
            </w:pPr>
            <w:r w:rsidRPr="000D2717">
              <w:rPr>
                <w:lang w:val="es-ES"/>
              </w:rPr>
              <w:t>7</w:t>
            </w:r>
            <w:r>
              <w:rPr>
                <w:lang w:val="es-ES"/>
              </w:rPr>
              <w:t>,</w:t>
            </w:r>
            <w:r w:rsidRPr="000D2717">
              <w:rPr>
                <w:lang w:val="es-ES"/>
              </w:rPr>
              <w:t xml:space="preserve"> Tema H</w:t>
            </w:r>
          </w:p>
        </w:tc>
        <w:tc>
          <w:tcPr>
            <w:tcW w:w="5948" w:type="dxa"/>
          </w:tcPr>
          <w:p w14:paraId="1DF0F025"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10 </w:t>
            </w:r>
            <w:r>
              <w:rPr>
                <w:lang w:val="es-ES"/>
              </w:rPr>
              <w:t>al</w:t>
            </w:r>
            <w:r w:rsidRPr="000D2717">
              <w:rPr>
                <w:lang w:val="es-ES"/>
              </w:rPr>
              <w:t xml:space="preserve"> </w:t>
            </w:r>
            <w:r>
              <w:rPr>
                <w:lang w:val="es-ES"/>
              </w:rPr>
              <w:t xml:space="preserve">Addéndum </w:t>
            </w:r>
            <w:r w:rsidRPr="000D2717">
              <w:rPr>
                <w:lang w:val="es-ES"/>
              </w:rPr>
              <w:t xml:space="preserve"> 22</w:t>
            </w:r>
          </w:p>
        </w:tc>
      </w:tr>
      <w:tr w:rsidR="00B20F1E" w:rsidRPr="000D2717" w14:paraId="7443A6BE" w14:textId="77777777" w:rsidTr="00DB48C6">
        <w:tc>
          <w:tcPr>
            <w:tcW w:w="3681" w:type="dxa"/>
          </w:tcPr>
          <w:p w14:paraId="1B9FE52E" w14:textId="77777777" w:rsidR="00B20F1E" w:rsidRPr="000D2717" w:rsidRDefault="00B20F1E" w:rsidP="0029737E">
            <w:pPr>
              <w:pStyle w:val="Tabletext"/>
              <w:jc w:val="center"/>
              <w:rPr>
                <w:lang w:val="es-ES"/>
              </w:rPr>
            </w:pPr>
            <w:r w:rsidRPr="000D2717">
              <w:rPr>
                <w:lang w:val="es-ES"/>
              </w:rPr>
              <w:t>7</w:t>
            </w:r>
            <w:r>
              <w:rPr>
                <w:lang w:val="es-ES"/>
              </w:rPr>
              <w:t>,</w:t>
            </w:r>
            <w:r w:rsidRPr="000D2717">
              <w:rPr>
                <w:lang w:val="es-ES"/>
              </w:rPr>
              <w:t xml:space="preserve"> Tema I</w:t>
            </w:r>
          </w:p>
        </w:tc>
        <w:tc>
          <w:tcPr>
            <w:tcW w:w="5948" w:type="dxa"/>
          </w:tcPr>
          <w:p w14:paraId="6027DC84"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11 </w:t>
            </w:r>
            <w:r>
              <w:rPr>
                <w:lang w:val="es-ES"/>
              </w:rPr>
              <w:t>al</w:t>
            </w:r>
            <w:r w:rsidRPr="000D2717">
              <w:rPr>
                <w:lang w:val="es-ES"/>
              </w:rPr>
              <w:t xml:space="preserve"> </w:t>
            </w:r>
            <w:r>
              <w:rPr>
                <w:lang w:val="es-ES"/>
              </w:rPr>
              <w:t xml:space="preserve">Addéndum </w:t>
            </w:r>
            <w:r w:rsidRPr="000D2717">
              <w:rPr>
                <w:lang w:val="es-ES"/>
              </w:rPr>
              <w:t xml:space="preserve"> 22</w:t>
            </w:r>
          </w:p>
        </w:tc>
      </w:tr>
      <w:tr w:rsidR="00B20F1E" w:rsidRPr="000D2717" w14:paraId="0EDDCBF6" w14:textId="77777777" w:rsidTr="00DB48C6">
        <w:tc>
          <w:tcPr>
            <w:tcW w:w="3681" w:type="dxa"/>
          </w:tcPr>
          <w:p w14:paraId="6260AB5A" w14:textId="77777777" w:rsidR="00B20F1E" w:rsidRPr="000D2717" w:rsidRDefault="00B20F1E" w:rsidP="0029737E">
            <w:pPr>
              <w:pStyle w:val="Tabletext"/>
              <w:jc w:val="center"/>
              <w:rPr>
                <w:lang w:val="es-ES"/>
              </w:rPr>
            </w:pPr>
            <w:r w:rsidRPr="000D2717">
              <w:rPr>
                <w:lang w:val="es-ES"/>
              </w:rPr>
              <w:t>7</w:t>
            </w:r>
            <w:r>
              <w:rPr>
                <w:lang w:val="es-ES"/>
              </w:rPr>
              <w:t>,</w:t>
            </w:r>
            <w:r w:rsidRPr="000D2717">
              <w:rPr>
                <w:lang w:val="es-ES"/>
              </w:rPr>
              <w:t xml:space="preserve"> Tema J</w:t>
            </w:r>
          </w:p>
        </w:tc>
        <w:tc>
          <w:tcPr>
            <w:tcW w:w="5948" w:type="dxa"/>
          </w:tcPr>
          <w:p w14:paraId="319A7DED"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12 al </w:t>
            </w:r>
            <w:r>
              <w:rPr>
                <w:lang w:val="es-ES"/>
              </w:rPr>
              <w:t xml:space="preserve">Addéndum </w:t>
            </w:r>
            <w:r w:rsidRPr="000D2717">
              <w:rPr>
                <w:lang w:val="es-ES"/>
              </w:rPr>
              <w:t>22</w:t>
            </w:r>
          </w:p>
        </w:tc>
      </w:tr>
      <w:tr w:rsidR="00B20F1E" w:rsidRPr="000D2717" w14:paraId="78B69BDF" w14:textId="77777777" w:rsidTr="00DB48C6">
        <w:tc>
          <w:tcPr>
            <w:tcW w:w="3681" w:type="dxa"/>
          </w:tcPr>
          <w:p w14:paraId="6DE64E31" w14:textId="77777777" w:rsidR="00B20F1E" w:rsidRPr="000D2717" w:rsidRDefault="00B20F1E" w:rsidP="0029737E">
            <w:pPr>
              <w:pStyle w:val="Tabletext"/>
              <w:jc w:val="center"/>
              <w:rPr>
                <w:lang w:val="es-ES"/>
              </w:rPr>
            </w:pPr>
            <w:r w:rsidRPr="000D2717">
              <w:rPr>
                <w:lang w:val="es-ES"/>
              </w:rPr>
              <w:lastRenderedPageBreak/>
              <w:t>7</w:t>
            </w:r>
            <w:r>
              <w:rPr>
                <w:lang w:val="es-ES"/>
              </w:rPr>
              <w:t>,</w:t>
            </w:r>
            <w:r w:rsidRPr="000D2717">
              <w:rPr>
                <w:lang w:val="es-ES"/>
              </w:rPr>
              <w:t xml:space="preserve"> Tema K</w:t>
            </w:r>
          </w:p>
        </w:tc>
        <w:tc>
          <w:tcPr>
            <w:tcW w:w="5948" w:type="dxa"/>
          </w:tcPr>
          <w:p w14:paraId="3752A5FD" w14:textId="77777777" w:rsidR="00B20F1E" w:rsidRPr="000D2717" w:rsidRDefault="00B20F1E" w:rsidP="0029737E">
            <w:pPr>
              <w:pStyle w:val="Tabletext"/>
              <w:jc w:val="center"/>
              <w:rPr>
                <w:lang w:val="es-ES"/>
              </w:rPr>
            </w:pPr>
            <w:r>
              <w:rPr>
                <w:lang w:val="es-ES"/>
              </w:rPr>
              <w:t xml:space="preserve">Addéndum </w:t>
            </w:r>
            <w:r w:rsidRPr="000D2717">
              <w:rPr>
                <w:lang w:val="es-ES"/>
              </w:rPr>
              <w:t>13 a</w:t>
            </w:r>
            <w:r>
              <w:rPr>
                <w:lang w:val="es-ES"/>
              </w:rPr>
              <w:t>l</w:t>
            </w:r>
            <w:r w:rsidRPr="000D2717">
              <w:rPr>
                <w:lang w:val="es-ES"/>
              </w:rPr>
              <w:t xml:space="preserve"> </w:t>
            </w:r>
            <w:r>
              <w:rPr>
                <w:lang w:val="es-ES"/>
              </w:rPr>
              <w:t xml:space="preserve">Addéndum </w:t>
            </w:r>
            <w:r w:rsidRPr="000D2717">
              <w:rPr>
                <w:lang w:val="es-ES"/>
              </w:rPr>
              <w:t xml:space="preserve"> 22</w:t>
            </w:r>
          </w:p>
        </w:tc>
      </w:tr>
      <w:tr w:rsidR="00B20F1E" w:rsidRPr="00B707C8" w14:paraId="22427FC6" w14:textId="77777777" w:rsidTr="00DB48C6">
        <w:tc>
          <w:tcPr>
            <w:tcW w:w="3681" w:type="dxa"/>
          </w:tcPr>
          <w:p w14:paraId="1086A65C" w14:textId="77777777" w:rsidR="00B20F1E" w:rsidRPr="000D2717" w:rsidRDefault="00B20F1E" w:rsidP="0029737E">
            <w:pPr>
              <w:pStyle w:val="Tabletext"/>
              <w:jc w:val="center"/>
              <w:rPr>
                <w:lang w:val="es-ES"/>
              </w:rPr>
            </w:pPr>
            <w:r w:rsidRPr="000D2717">
              <w:rPr>
                <w:lang w:val="es-ES"/>
              </w:rPr>
              <w:t>8 (sin propuestas)</w:t>
            </w:r>
          </w:p>
        </w:tc>
        <w:tc>
          <w:tcPr>
            <w:tcW w:w="5948" w:type="dxa"/>
          </w:tcPr>
          <w:p w14:paraId="18A8E414" w14:textId="77777777" w:rsidR="00B20F1E" w:rsidRPr="000D2717" w:rsidRDefault="00B20F1E" w:rsidP="0029737E">
            <w:pPr>
              <w:pStyle w:val="Tabletext"/>
              <w:jc w:val="center"/>
              <w:rPr>
                <w:lang w:val="es-ES"/>
              </w:rPr>
            </w:pPr>
            <w:r w:rsidRPr="000D2717">
              <w:rPr>
                <w:lang w:val="es-ES"/>
              </w:rPr>
              <w:t>(</w:t>
            </w:r>
            <w:r>
              <w:rPr>
                <w:lang w:val="es-ES"/>
              </w:rPr>
              <w:t xml:space="preserve">Addéndum </w:t>
            </w:r>
            <w:r w:rsidRPr="000D2717">
              <w:rPr>
                <w:lang w:val="es-ES"/>
              </w:rPr>
              <w:t xml:space="preserve"> </w:t>
            </w:r>
            <w:r>
              <w:rPr>
                <w:lang w:val="es-ES"/>
              </w:rPr>
              <w:t>23</w:t>
            </w:r>
            <w:r w:rsidRPr="000D2717">
              <w:rPr>
                <w:lang w:val="es-ES"/>
              </w:rPr>
              <w:t xml:space="preserve"> </w:t>
            </w:r>
            <w:r>
              <w:rPr>
                <w:lang w:val="es-ES"/>
              </w:rPr>
              <w:t>no proporcionado por</w:t>
            </w:r>
            <w:r w:rsidRPr="000D2717">
              <w:rPr>
                <w:lang w:val="es-ES"/>
              </w:rPr>
              <w:t xml:space="preserve"> no </w:t>
            </w:r>
            <w:r>
              <w:rPr>
                <w:lang w:val="es-ES"/>
              </w:rPr>
              <w:t>existir ninguna AFCP</w:t>
            </w:r>
            <w:r w:rsidRPr="000D2717">
              <w:rPr>
                <w:lang w:val="es-ES"/>
              </w:rPr>
              <w:t xml:space="preserve">, </w:t>
            </w:r>
            <w:r>
              <w:rPr>
                <w:lang w:val="es-ES"/>
              </w:rPr>
              <w:t>puesto</w:t>
            </w:r>
            <w:r w:rsidRPr="000D2717">
              <w:rPr>
                <w:lang w:val="es-ES"/>
              </w:rPr>
              <w:t xml:space="preserve"> que este punto del orden del día </w:t>
            </w:r>
            <w:r>
              <w:rPr>
                <w:lang w:val="es-ES"/>
              </w:rPr>
              <w:t xml:space="preserve">se excluye </w:t>
            </w:r>
            <w:r w:rsidRPr="000D2717">
              <w:rPr>
                <w:lang w:val="es-ES"/>
              </w:rPr>
              <w:t>de las propuestas comunes)</w:t>
            </w:r>
          </w:p>
        </w:tc>
      </w:tr>
      <w:tr w:rsidR="00B20F1E" w:rsidRPr="000D2717" w14:paraId="3E9F2A74" w14:textId="77777777" w:rsidTr="00DB48C6">
        <w:tc>
          <w:tcPr>
            <w:tcW w:w="3681" w:type="dxa"/>
          </w:tcPr>
          <w:p w14:paraId="6C2CA4B8" w14:textId="77777777" w:rsidR="00B20F1E" w:rsidRPr="000D2717" w:rsidRDefault="00B20F1E" w:rsidP="0029737E">
            <w:pPr>
              <w:pStyle w:val="Tabletext"/>
              <w:jc w:val="center"/>
              <w:rPr>
                <w:lang w:val="es-ES"/>
              </w:rPr>
            </w:pPr>
            <w:r w:rsidRPr="000D2717">
              <w:rPr>
                <w:lang w:val="es-ES"/>
              </w:rPr>
              <w:t>9.1</w:t>
            </w:r>
            <w:r>
              <w:rPr>
                <w:lang w:val="es-ES"/>
              </w:rPr>
              <w:t>,</w:t>
            </w:r>
            <w:r w:rsidRPr="000D2717">
              <w:rPr>
                <w:lang w:val="es-ES"/>
              </w:rPr>
              <w:t xml:space="preserve"> Tema A</w:t>
            </w:r>
          </w:p>
        </w:tc>
        <w:tc>
          <w:tcPr>
            <w:tcW w:w="5948" w:type="dxa"/>
          </w:tcPr>
          <w:p w14:paraId="07B8263A"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 1 </w:t>
            </w:r>
            <w:r>
              <w:rPr>
                <w:lang w:val="es-ES"/>
              </w:rPr>
              <w:t>al</w:t>
            </w:r>
            <w:r w:rsidRPr="000D2717">
              <w:rPr>
                <w:lang w:val="es-ES"/>
              </w:rPr>
              <w:t xml:space="preserve"> </w:t>
            </w:r>
            <w:r>
              <w:rPr>
                <w:lang w:val="es-ES"/>
              </w:rPr>
              <w:t xml:space="preserve">Addéndum </w:t>
            </w:r>
            <w:r w:rsidRPr="000D2717">
              <w:rPr>
                <w:lang w:val="es-ES"/>
              </w:rPr>
              <w:t>24</w:t>
            </w:r>
          </w:p>
        </w:tc>
      </w:tr>
      <w:tr w:rsidR="00B20F1E" w:rsidRPr="000D2717" w14:paraId="43F8C283" w14:textId="77777777" w:rsidTr="00DB48C6">
        <w:tc>
          <w:tcPr>
            <w:tcW w:w="3681" w:type="dxa"/>
          </w:tcPr>
          <w:p w14:paraId="7B2C847F" w14:textId="77777777" w:rsidR="00B20F1E" w:rsidRPr="000D2717" w:rsidRDefault="00B20F1E" w:rsidP="0029737E">
            <w:pPr>
              <w:pStyle w:val="Tabletext"/>
              <w:jc w:val="center"/>
              <w:rPr>
                <w:lang w:val="es-ES"/>
              </w:rPr>
            </w:pPr>
            <w:r w:rsidRPr="000D2717">
              <w:rPr>
                <w:lang w:val="es-ES"/>
              </w:rPr>
              <w:t>9.1</w:t>
            </w:r>
            <w:r>
              <w:rPr>
                <w:lang w:val="es-ES"/>
              </w:rPr>
              <w:t>,</w:t>
            </w:r>
            <w:r w:rsidRPr="000D2717">
              <w:rPr>
                <w:lang w:val="es-ES"/>
              </w:rPr>
              <w:t xml:space="preserve"> Tema B</w:t>
            </w:r>
          </w:p>
        </w:tc>
        <w:tc>
          <w:tcPr>
            <w:tcW w:w="5948" w:type="dxa"/>
          </w:tcPr>
          <w:p w14:paraId="75E3EC9A"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2 </w:t>
            </w:r>
            <w:r>
              <w:rPr>
                <w:lang w:val="es-ES"/>
              </w:rPr>
              <w:t xml:space="preserve">al Addéndum </w:t>
            </w:r>
            <w:r w:rsidRPr="000D2717">
              <w:rPr>
                <w:lang w:val="es-ES"/>
              </w:rPr>
              <w:t xml:space="preserve"> 24</w:t>
            </w:r>
          </w:p>
        </w:tc>
      </w:tr>
      <w:tr w:rsidR="00B20F1E" w:rsidRPr="000D2717" w14:paraId="79FE6154" w14:textId="77777777" w:rsidTr="00DB48C6">
        <w:tc>
          <w:tcPr>
            <w:tcW w:w="3681" w:type="dxa"/>
          </w:tcPr>
          <w:p w14:paraId="394AEB17" w14:textId="77777777" w:rsidR="00B20F1E" w:rsidRPr="000D2717" w:rsidRDefault="00B20F1E" w:rsidP="0029737E">
            <w:pPr>
              <w:pStyle w:val="Tabletext"/>
              <w:jc w:val="center"/>
              <w:rPr>
                <w:lang w:val="es-ES"/>
              </w:rPr>
            </w:pPr>
            <w:r w:rsidRPr="000D2717">
              <w:rPr>
                <w:lang w:val="es-ES"/>
              </w:rPr>
              <w:t>9.1</w:t>
            </w:r>
            <w:r>
              <w:rPr>
                <w:lang w:val="es-ES"/>
              </w:rPr>
              <w:t>,</w:t>
            </w:r>
            <w:r w:rsidRPr="000D2717">
              <w:rPr>
                <w:lang w:val="es-ES"/>
              </w:rPr>
              <w:t xml:space="preserve"> Tema C</w:t>
            </w:r>
          </w:p>
        </w:tc>
        <w:tc>
          <w:tcPr>
            <w:tcW w:w="5948" w:type="dxa"/>
          </w:tcPr>
          <w:p w14:paraId="0A29A07C"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3 </w:t>
            </w:r>
            <w:r>
              <w:rPr>
                <w:lang w:val="es-ES"/>
              </w:rPr>
              <w:t>al Addéndum</w:t>
            </w:r>
            <w:r w:rsidRPr="000D2717">
              <w:rPr>
                <w:lang w:val="es-ES"/>
              </w:rPr>
              <w:t xml:space="preserve"> 24</w:t>
            </w:r>
          </w:p>
        </w:tc>
      </w:tr>
      <w:tr w:rsidR="00B20F1E" w:rsidRPr="000D2717" w14:paraId="2BA7A27F" w14:textId="77777777" w:rsidTr="00DB48C6">
        <w:tc>
          <w:tcPr>
            <w:tcW w:w="3681" w:type="dxa"/>
          </w:tcPr>
          <w:p w14:paraId="2EE8BAC5" w14:textId="77777777" w:rsidR="00B20F1E" w:rsidRPr="000D2717" w:rsidRDefault="00B20F1E" w:rsidP="0029737E">
            <w:pPr>
              <w:pStyle w:val="Tabletext"/>
              <w:jc w:val="center"/>
              <w:rPr>
                <w:lang w:val="es-ES"/>
              </w:rPr>
            </w:pPr>
            <w:r w:rsidRPr="000D2717">
              <w:rPr>
                <w:lang w:val="es-ES"/>
              </w:rPr>
              <w:t>9.1</w:t>
            </w:r>
            <w:r>
              <w:rPr>
                <w:lang w:val="es-ES"/>
              </w:rPr>
              <w:t>,</w:t>
            </w:r>
            <w:r w:rsidRPr="000D2717">
              <w:rPr>
                <w:lang w:val="es-ES"/>
              </w:rPr>
              <w:t xml:space="preserve"> Tema D</w:t>
            </w:r>
          </w:p>
        </w:tc>
        <w:tc>
          <w:tcPr>
            <w:tcW w:w="5948" w:type="dxa"/>
          </w:tcPr>
          <w:p w14:paraId="3151D6BB" w14:textId="77777777" w:rsidR="00B20F1E" w:rsidRPr="000D2717" w:rsidRDefault="00B20F1E" w:rsidP="0029737E">
            <w:pPr>
              <w:pStyle w:val="Tabletext"/>
              <w:jc w:val="center"/>
              <w:rPr>
                <w:lang w:val="es-ES"/>
              </w:rPr>
            </w:pPr>
            <w:r>
              <w:rPr>
                <w:lang w:val="es-ES"/>
              </w:rPr>
              <w:t xml:space="preserve">Addéndum </w:t>
            </w:r>
            <w:r w:rsidRPr="000D2717">
              <w:rPr>
                <w:lang w:val="es-ES"/>
              </w:rPr>
              <w:t xml:space="preserve">4 </w:t>
            </w:r>
            <w:r>
              <w:rPr>
                <w:lang w:val="es-ES"/>
              </w:rPr>
              <w:t xml:space="preserve">al Addéndum </w:t>
            </w:r>
            <w:r w:rsidRPr="000D2717">
              <w:rPr>
                <w:lang w:val="es-ES"/>
              </w:rPr>
              <w:t>24</w:t>
            </w:r>
          </w:p>
        </w:tc>
      </w:tr>
      <w:tr w:rsidR="00B20F1E" w:rsidRPr="000D2717" w14:paraId="45AFBD3E" w14:textId="77777777" w:rsidTr="00DB48C6">
        <w:tc>
          <w:tcPr>
            <w:tcW w:w="3681" w:type="dxa"/>
          </w:tcPr>
          <w:p w14:paraId="59119E74" w14:textId="77777777" w:rsidR="00B20F1E" w:rsidRPr="000D2717" w:rsidRDefault="00B20F1E" w:rsidP="0029737E">
            <w:pPr>
              <w:pStyle w:val="Tabletext"/>
              <w:jc w:val="center"/>
              <w:rPr>
                <w:lang w:val="es-ES"/>
              </w:rPr>
            </w:pPr>
            <w:r w:rsidRPr="000D2717">
              <w:rPr>
                <w:lang w:val="es-ES"/>
              </w:rPr>
              <w:t>9.2</w:t>
            </w:r>
          </w:p>
        </w:tc>
        <w:tc>
          <w:tcPr>
            <w:tcW w:w="5948" w:type="dxa"/>
          </w:tcPr>
          <w:p w14:paraId="13F8AA73" w14:textId="77777777" w:rsidR="00B20F1E" w:rsidRPr="000D2717" w:rsidRDefault="00B20F1E" w:rsidP="0029737E">
            <w:pPr>
              <w:pStyle w:val="Tabletext"/>
              <w:jc w:val="center"/>
              <w:rPr>
                <w:lang w:val="es-ES"/>
              </w:rPr>
            </w:pPr>
            <w:r>
              <w:rPr>
                <w:lang w:val="es-ES"/>
              </w:rPr>
              <w:t xml:space="preserve">Addéndum </w:t>
            </w:r>
            <w:r w:rsidRPr="000D2717">
              <w:rPr>
                <w:lang w:val="es-ES"/>
              </w:rPr>
              <w:t>25</w:t>
            </w:r>
          </w:p>
        </w:tc>
      </w:tr>
      <w:tr w:rsidR="00B20F1E" w:rsidRPr="000D2717" w14:paraId="295B9A51" w14:textId="77777777" w:rsidTr="00DB48C6">
        <w:tc>
          <w:tcPr>
            <w:tcW w:w="3681" w:type="dxa"/>
          </w:tcPr>
          <w:p w14:paraId="01FBC799" w14:textId="77777777" w:rsidR="00B20F1E" w:rsidRPr="000D2717" w:rsidRDefault="00B20F1E" w:rsidP="0029737E">
            <w:pPr>
              <w:pStyle w:val="Tabletext"/>
              <w:jc w:val="center"/>
              <w:rPr>
                <w:lang w:val="es-ES"/>
              </w:rPr>
            </w:pPr>
            <w:r w:rsidRPr="000D2717">
              <w:rPr>
                <w:lang w:val="es-ES"/>
              </w:rPr>
              <w:t>9.3</w:t>
            </w:r>
          </w:p>
        </w:tc>
        <w:tc>
          <w:tcPr>
            <w:tcW w:w="5948" w:type="dxa"/>
          </w:tcPr>
          <w:p w14:paraId="3324E46B" w14:textId="77777777" w:rsidR="00B20F1E" w:rsidRPr="000D2717" w:rsidRDefault="00B20F1E" w:rsidP="0029737E">
            <w:pPr>
              <w:pStyle w:val="Tabletext"/>
              <w:jc w:val="center"/>
              <w:rPr>
                <w:lang w:val="es-ES"/>
              </w:rPr>
            </w:pPr>
            <w:r>
              <w:rPr>
                <w:lang w:val="es-ES"/>
              </w:rPr>
              <w:t xml:space="preserve">Addéndum </w:t>
            </w:r>
            <w:r w:rsidRPr="000D2717">
              <w:rPr>
                <w:lang w:val="es-ES"/>
              </w:rPr>
              <w:t>26</w:t>
            </w:r>
          </w:p>
        </w:tc>
      </w:tr>
      <w:tr w:rsidR="00B20F1E" w:rsidRPr="000D2717" w14:paraId="482E3CBD" w14:textId="77777777" w:rsidTr="00DB48C6">
        <w:tc>
          <w:tcPr>
            <w:tcW w:w="3681" w:type="dxa"/>
          </w:tcPr>
          <w:p w14:paraId="3A3BDDCF" w14:textId="77777777" w:rsidR="00B20F1E" w:rsidRPr="000D2717" w:rsidRDefault="00B20F1E" w:rsidP="0029737E">
            <w:pPr>
              <w:pStyle w:val="Tabletext"/>
              <w:jc w:val="center"/>
              <w:rPr>
                <w:lang w:val="es-ES"/>
              </w:rPr>
            </w:pPr>
            <w:r w:rsidRPr="000D2717">
              <w:rPr>
                <w:lang w:val="es-ES"/>
              </w:rPr>
              <w:t>10</w:t>
            </w:r>
          </w:p>
        </w:tc>
        <w:tc>
          <w:tcPr>
            <w:tcW w:w="5948" w:type="dxa"/>
          </w:tcPr>
          <w:p w14:paraId="25B91383" w14:textId="77777777" w:rsidR="00B20F1E" w:rsidRPr="000D2717" w:rsidRDefault="00B20F1E" w:rsidP="0029737E">
            <w:pPr>
              <w:pStyle w:val="Tabletext"/>
              <w:jc w:val="center"/>
              <w:rPr>
                <w:lang w:val="es-ES"/>
              </w:rPr>
            </w:pPr>
            <w:r>
              <w:rPr>
                <w:lang w:val="es-ES"/>
              </w:rPr>
              <w:t xml:space="preserve">Addéndum </w:t>
            </w:r>
            <w:r w:rsidRPr="000D2717">
              <w:rPr>
                <w:lang w:val="es-ES"/>
              </w:rPr>
              <w:t>27</w:t>
            </w:r>
          </w:p>
        </w:tc>
      </w:tr>
    </w:tbl>
    <w:p w14:paraId="5D90BC2B" w14:textId="77777777" w:rsidR="002E5F5C" w:rsidRDefault="002E5F5C" w:rsidP="00B20F1E">
      <w:pPr>
        <w:overflowPunct/>
        <w:autoSpaceDE/>
        <w:autoSpaceDN/>
        <w:adjustRightInd/>
        <w:textAlignment w:val="auto"/>
        <w:rPr>
          <w:lang w:val="es-ES"/>
        </w:rPr>
      </w:pPr>
    </w:p>
    <w:p w14:paraId="2AA2FC3D" w14:textId="75FF4897" w:rsidR="00B20F1E" w:rsidRPr="000D2717" w:rsidRDefault="00B20F1E" w:rsidP="00B20F1E">
      <w:pPr>
        <w:overflowPunct/>
        <w:autoSpaceDE/>
        <w:autoSpaceDN/>
        <w:adjustRightInd/>
        <w:textAlignment w:val="auto"/>
        <w:rPr>
          <w:caps/>
          <w:sz w:val="28"/>
          <w:lang w:val="es-ES"/>
        </w:rPr>
      </w:pPr>
      <w:r w:rsidRPr="000D2717">
        <w:rPr>
          <w:lang w:val="es-ES"/>
        </w:rPr>
        <w:br w:type="page"/>
      </w:r>
    </w:p>
    <w:p w14:paraId="49B381C2" w14:textId="77777777" w:rsidR="00B20F1E" w:rsidRPr="000D2717" w:rsidRDefault="00B20F1E" w:rsidP="00B20F1E">
      <w:pPr>
        <w:pStyle w:val="AnnexNo"/>
        <w:rPr>
          <w:lang w:val="es-ES"/>
        </w:rPr>
      </w:pPr>
      <w:r w:rsidRPr="000D2717">
        <w:rPr>
          <w:lang w:val="es-ES"/>
        </w:rPr>
        <w:lastRenderedPageBreak/>
        <w:t>Anexo 3</w:t>
      </w:r>
    </w:p>
    <w:p w14:paraId="0685C1E7" w14:textId="77777777" w:rsidR="00B20F1E" w:rsidRPr="000D2717" w:rsidRDefault="00B20F1E" w:rsidP="00B20F1E">
      <w:pPr>
        <w:pStyle w:val="Annextitle"/>
        <w:rPr>
          <w:lang w:val="es-ES"/>
        </w:rPr>
      </w:pPr>
      <w:r>
        <w:rPr>
          <w:lang w:val="es-ES"/>
        </w:rPr>
        <w:t>L</w:t>
      </w:r>
      <w:r w:rsidRPr="009608DF">
        <w:rPr>
          <w:lang w:val="es-ES"/>
        </w:rPr>
        <w:t xml:space="preserve">ista de países que </w:t>
      </w:r>
      <w:r>
        <w:rPr>
          <w:lang w:val="es-ES"/>
        </w:rPr>
        <w:t>no apoyan tácitamente alguna AFCP</w:t>
      </w:r>
    </w:p>
    <w:p w14:paraId="546C66E6" w14:textId="2DF330D4" w:rsidR="00B20F1E" w:rsidRPr="0029737E" w:rsidRDefault="0029737E" w:rsidP="0029737E">
      <w:pPr>
        <w:pStyle w:val="enumlev1"/>
      </w:pPr>
      <w:r>
        <w:t>1)</w:t>
      </w:r>
      <w:r>
        <w:tab/>
      </w:r>
      <w:r w:rsidR="00B20F1E" w:rsidRPr="0029737E">
        <w:rPr>
          <w:b/>
          <w:bCs/>
        </w:rPr>
        <w:t>Egipto, Namibia, Nigeria, Tanzania:</w:t>
      </w:r>
      <w:r w:rsidR="00B20F1E" w:rsidRPr="0029737E">
        <w:t xml:space="preserve"> no apoyan la AFCP relativa al punto 1.5 del orden del día</w:t>
      </w:r>
    </w:p>
    <w:p w14:paraId="5DB4774B" w14:textId="4752162D" w:rsidR="00B20F1E" w:rsidRPr="0029737E" w:rsidRDefault="0029737E" w:rsidP="0029737E">
      <w:pPr>
        <w:pStyle w:val="enumlev1"/>
      </w:pPr>
      <w:r>
        <w:t>2)</w:t>
      </w:r>
      <w:r>
        <w:tab/>
      </w:r>
      <w:r w:rsidR="00B20F1E" w:rsidRPr="0029737E">
        <w:rPr>
          <w:b/>
          <w:bCs/>
        </w:rPr>
        <w:t>Egipto:</w:t>
      </w:r>
      <w:r w:rsidR="00B20F1E" w:rsidRPr="0029737E">
        <w:t xml:space="preserve"> no apoya la AFCP relativa al punto 9.1 del orden del día </w:t>
      </w:r>
      <w:r w:rsidR="00B20F1E" w:rsidRPr="0029737E">
        <w:rPr>
          <w:rFonts w:eastAsia="SimSun"/>
        </w:rPr>
        <w:t>(Tema C)</w:t>
      </w:r>
    </w:p>
    <w:p w14:paraId="6F516E1B" w14:textId="5E3BA509" w:rsidR="00B20F1E" w:rsidRPr="0029737E" w:rsidRDefault="0029737E" w:rsidP="0029737E">
      <w:pPr>
        <w:pStyle w:val="enumlev1"/>
      </w:pPr>
      <w:r>
        <w:t>3)</w:t>
      </w:r>
      <w:r>
        <w:tab/>
      </w:r>
      <w:r w:rsidR="00B20F1E" w:rsidRPr="0029737E">
        <w:rPr>
          <w:b/>
          <w:bCs/>
        </w:rPr>
        <w:t>Túnez</w:t>
      </w:r>
      <w:r w:rsidR="00B20F1E" w:rsidRPr="0029737E">
        <w:t xml:space="preserve"> no apoya la AFCP relativa a los puntos 1.12 y 1.13 del orden del día.</w:t>
      </w:r>
    </w:p>
    <w:p w14:paraId="21F9F74C" w14:textId="77777777" w:rsidR="00B20F1E" w:rsidRPr="000D2717" w:rsidRDefault="00B20F1E" w:rsidP="00B20F1E">
      <w:pPr>
        <w:overflowPunct/>
        <w:autoSpaceDE/>
        <w:autoSpaceDN/>
        <w:adjustRightInd/>
        <w:textAlignment w:val="auto"/>
        <w:rPr>
          <w:caps/>
          <w:sz w:val="28"/>
          <w:lang w:val="es-ES"/>
        </w:rPr>
      </w:pPr>
      <w:r w:rsidRPr="000D2717">
        <w:rPr>
          <w:lang w:val="es-ES"/>
        </w:rPr>
        <w:br w:type="page"/>
      </w:r>
    </w:p>
    <w:p w14:paraId="0D90F142" w14:textId="77777777" w:rsidR="00B20F1E" w:rsidRPr="000D2717" w:rsidRDefault="00B20F1E" w:rsidP="00B20F1E">
      <w:pPr>
        <w:pStyle w:val="AnnexNo"/>
        <w:rPr>
          <w:lang w:val="es-ES"/>
        </w:rPr>
      </w:pPr>
      <w:r w:rsidRPr="000D2717">
        <w:rPr>
          <w:lang w:val="es-ES"/>
        </w:rPr>
        <w:lastRenderedPageBreak/>
        <w:t>Anexo 4</w:t>
      </w:r>
    </w:p>
    <w:p w14:paraId="4679D0AA" w14:textId="1DEFE819" w:rsidR="00B20F1E" w:rsidRPr="000D2717" w:rsidRDefault="00B20F1E" w:rsidP="0029737E">
      <w:pPr>
        <w:pStyle w:val="Annextitle"/>
        <w:rPr>
          <w:lang w:val="es-ES"/>
        </w:rPr>
      </w:pPr>
      <w:r w:rsidRPr="000D2717">
        <w:rPr>
          <w:lang w:val="es-ES"/>
        </w:rPr>
        <w:t xml:space="preserve">Lista de </w:t>
      </w:r>
      <w:r>
        <w:rPr>
          <w:lang w:val="es-ES"/>
        </w:rPr>
        <w:t>AFCP</w:t>
      </w:r>
      <w:r w:rsidRPr="000D2717">
        <w:rPr>
          <w:lang w:val="es-ES"/>
        </w:rPr>
        <w:t xml:space="preserve"> apoyad</w:t>
      </w:r>
      <w:r>
        <w:rPr>
          <w:lang w:val="es-ES"/>
        </w:rPr>
        <w:t>a</w:t>
      </w:r>
      <w:r w:rsidRPr="000D2717">
        <w:rPr>
          <w:lang w:val="es-ES"/>
        </w:rPr>
        <w:t>s por Marruecos</w:t>
      </w:r>
    </w:p>
    <w:tbl>
      <w:tblPr>
        <w:tblW w:w="96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3"/>
        <w:gridCol w:w="8221"/>
      </w:tblGrid>
      <w:tr w:rsidR="00B20F1E" w:rsidRPr="00B707C8" w14:paraId="1B34A62A" w14:textId="77777777" w:rsidTr="00DB48C6">
        <w:trPr>
          <w:cantSplit/>
          <w:tblHeader/>
        </w:trPr>
        <w:tc>
          <w:tcPr>
            <w:tcW w:w="9634" w:type="dxa"/>
            <w:gridSpan w:val="2"/>
            <w:tcBorders>
              <w:top w:val="single" w:sz="4" w:space="0" w:color="auto"/>
              <w:left w:val="single" w:sz="4" w:space="0" w:color="auto"/>
              <w:bottom w:val="single" w:sz="6" w:space="0" w:color="auto"/>
            </w:tcBorders>
            <w:shd w:val="pct25" w:color="auto" w:fill="auto"/>
            <w:vAlign w:val="center"/>
          </w:tcPr>
          <w:p w14:paraId="4A46DA61" w14:textId="77777777" w:rsidR="00B20F1E" w:rsidRPr="0029737E" w:rsidRDefault="00B20F1E" w:rsidP="0029737E">
            <w:pPr>
              <w:pStyle w:val="Tablehead"/>
            </w:pPr>
            <w:r w:rsidRPr="0029737E">
              <w:t>Apoyo de Marruecos a las AFCP relativas a los siguientes puntos del orden del día de la CMR-23</w:t>
            </w:r>
          </w:p>
        </w:tc>
      </w:tr>
      <w:tr w:rsidR="00B20F1E" w:rsidRPr="007D7EC9" w14:paraId="321F3339" w14:textId="77777777" w:rsidTr="00DB48C6">
        <w:trPr>
          <w:cantSplit/>
        </w:trPr>
        <w:tc>
          <w:tcPr>
            <w:tcW w:w="1413" w:type="dxa"/>
            <w:tcBorders>
              <w:top w:val="single" w:sz="6" w:space="0" w:color="auto"/>
              <w:left w:val="single" w:sz="4" w:space="0" w:color="auto"/>
              <w:bottom w:val="single" w:sz="6" w:space="0" w:color="auto"/>
            </w:tcBorders>
            <w:vAlign w:val="center"/>
          </w:tcPr>
          <w:p w14:paraId="4DD75473" w14:textId="77777777" w:rsidR="00B20F1E" w:rsidRPr="0029737E" w:rsidRDefault="00B20F1E" w:rsidP="0029737E">
            <w:pPr>
              <w:pStyle w:val="Tabletext"/>
            </w:pPr>
            <w:r w:rsidRPr="0029737E">
              <w:t>1.1</w:t>
            </w:r>
          </w:p>
        </w:tc>
        <w:tc>
          <w:tcPr>
            <w:tcW w:w="8221" w:type="dxa"/>
            <w:tcBorders>
              <w:top w:val="single" w:sz="6" w:space="0" w:color="auto"/>
              <w:bottom w:val="single" w:sz="6" w:space="0" w:color="auto"/>
            </w:tcBorders>
            <w:vAlign w:val="center"/>
          </w:tcPr>
          <w:p w14:paraId="58CFACA6" w14:textId="4581AE42" w:rsidR="00B20F1E" w:rsidRPr="007D7EC9" w:rsidRDefault="007D7EC9" w:rsidP="0029737E">
            <w:pPr>
              <w:pStyle w:val="Tabletext"/>
              <w:rPr>
                <w:lang w:val="es-ES"/>
              </w:rPr>
            </w:pPr>
            <w:r w:rsidRPr="00FE5D4F">
              <w:t xml:space="preserve">considerar, basándose en los resultados de los estudios del UIT-R para la banda de frecuencias 4 800-4 990 MHz, posibles medidas de protección de las estaciones del servicio móvil aeronáutico y marítimo situadas en aguas internacionales y en el espacio aéreo internacional contra otras estaciones situadas en territorios nacionales, y revisar los criterios de densidad de flujo de potencia del número </w:t>
            </w:r>
            <w:r w:rsidRPr="00FE5D4F">
              <w:rPr>
                <w:b/>
                <w:bCs/>
              </w:rPr>
              <w:t>5.441B</w:t>
            </w:r>
            <w:r w:rsidRPr="00FE5D4F">
              <w:t xml:space="preserve">, de conformidad con la Resolución </w:t>
            </w:r>
            <w:r w:rsidRPr="00FE5D4F">
              <w:rPr>
                <w:b/>
                <w:bCs/>
              </w:rPr>
              <w:t>223</w:t>
            </w:r>
            <w:r w:rsidRPr="00FE5D4F">
              <w:rPr>
                <w:b/>
              </w:rPr>
              <w:t xml:space="preserve"> (Rev.CMR-19)</w:t>
            </w:r>
            <w:r w:rsidR="00B20F1E" w:rsidRPr="007D7EC9">
              <w:rPr>
                <w:lang w:val="es-ES"/>
              </w:rPr>
              <w:t>;</w:t>
            </w:r>
          </w:p>
        </w:tc>
      </w:tr>
      <w:tr w:rsidR="00B20F1E" w:rsidRPr="007D7EC9" w14:paraId="0EF4FA91" w14:textId="77777777" w:rsidTr="00DB48C6">
        <w:trPr>
          <w:cantSplit/>
        </w:trPr>
        <w:tc>
          <w:tcPr>
            <w:tcW w:w="1413" w:type="dxa"/>
            <w:tcBorders>
              <w:top w:val="single" w:sz="6" w:space="0" w:color="auto"/>
              <w:left w:val="single" w:sz="4" w:space="0" w:color="auto"/>
              <w:bottom w:val="single" w:sz="6" w:space="0" w:color="auto"/>
            </w:tcBorders>
            <w:vAlign w:val="center"/>
          </w:tcPr>
          <w:p w14:paraId="71FCE027" w14:textId="77777777" w:rsidR="00B20F1E" w:rsidRPr="0029737E" w:rsidRDefault="00B20F1E" w:rsidP="0029737E">
            <w:pPr>
              <w:pStyle w:val="Tabletext"/>
            </w:pPr>
            <w:r w:rsidRPr="0029737E">
              <w:t>1.3</w:t>
            </w:r>
          </w:p>
        </w:tc>
        <w:tc>
          <w:tcPr>
            <w:tcW w:w="8221" w:type="dxa"/>
            <w:tcBorders>
              <w:top w:val="single" w:sz="6" w:space="0" w:color="auto"/>
              <w:bottom w:val="single" w:sz="6" w:space="0" w:color="auto"/>
            </w:tcBorders>
            <w:vAlign w:val="center"/>
          </w:tcPr>
          <w:p w14:paraId="0D303F31" w14:textId="57001695" w:rsidR="00B20F1E" w:rsidRPr="007D7EC9" w:rsidRDefault="007D7EC9" w:rsidP="0029737E">
            <w:pPr>
              <w:pStyle w:val="Tabletext"/>
              <w:rPr>
                <w:lang w:val="es-ES"/>
              </w:rPr>
            </w:pPr>
            <w:r w:rsidRPr="00FE5D4F">
              <w:rPr>
                <w:bCs/>
              </w:rPr>
              <w:t xml:space="preserve">considerar la atribución a título primario de la banda de frecuencias 3 600-3 800 MHz al servicio móvil en la Región 1 y la adopción de las medidas reglamentarias convenientes, de conformidad con la Resolución </w:t>
            </w:r>
            <w:r w:rsidRPr="00FE5D4F">
              <w:rPr>
                <w:b/>
              </w:rPr>
              <w:t>246 (CMR-19)</w:t>
            </w:r>
            <w:r w:rsidRPr="00FE5D4F">
              <w:rPr>
                <w:bCs/>
              </w:rPr>
              <w:t>;</w:t>
            </w:r>
          </w:p>
        </w:tc>
      </w:tr>
      <w:tr w:rsidR="007D7EC9" w:rsidRPr="007D7EC9" w14:paraId="5085BC3D" w14:textId="77777777" w:rsidTr="00DB48C6">
        <w:trPr>
          <w:cantSplit/>
        </w:trPr>
        <w:tc>
          <w:tcPr>
            <w:tcW w:w="1413" w:type="dxa"/>
            <w:tcBorders>
              <w:top w:val="single" w:sz="6" w:space="0" w:color="auto"/>
              <w:left w:val="single" w:sz="4" w:space="0" w:color="auto"/>
              <w:bottom w:val="single" w:sz="6" w:space="0" w:color="auto"/>
            </w:tcBorders>
            <w:vAlign w:val="center"/>
          </w:tcPr>
          <w:p w14:paraId="673D5641" w14:textId="77777777" w:rsidR="007D7EC9" w:rsidRPr="0029737E" w:rsidRDefault="007D7EC9" w:rsidP="007D7EC9">
            <w:pPr>
              <w:pStyle w:val="Tabletext"/>
            </w:pPr>
            <w:r w:rsidRPr="0029737E">
              <w:t>1.4</w:t>
            </w:r>
          </w:p>
        </w:tc>
        <w:tc>
          <w:tcPr>
            <w:tcW w:w="8221" w:type="dxa"/>
            <w:tcBorders>
              <w:top w:val="single" w:sz="6" w:space="0" w:color="auto"/>
              <w:bottom w:val="single" w:sz="6" w:space="0" w:color="auto"/>
            </w:tcBorders>
            <w:vAlign w:val="center"/>
          </w:tcPr>
          <w:p w14:paraId="3722E3B1" w14:textId="068B3DE0" w:rsidR="007D7EC9" w:rsidRPr="007D7EC9" w:rsidRDefault="007D7EC9" w:rsidP="007D7EC9">
            <w:pPr>
              <w:pStyle w:val="Tabletext"/>
              <w:rPr>
                <w:lang w:val="es-ES"/>
              </w:rPr>
            </w:pPr>
            <w:r w:rsidRPr="00FE5D4F">
              <w:t>considerar, de conformidad con la Resolución </w:t>
            </w:r>
            <w:r w:rsidRPr="00FE5D4F">
              <w:rPr>
                <w:b/>
                <w:bCs/>
              </w:rPr>
              <w:t xml:space="preserve">247 </w:t>
            </w:r>
            <w:r w:rsidRPr="00FE5D4F">
              <w:rPr>
                <w:b/>
              </w:rPr>
              <w:t>(CMR-19)</w:t>
            </w:r>
            <w:r w:rsidRPr="00FE5D4F">
              <w:t xml:space="preserve">, la utilización de estaciones en plataformas a gran altitud como estaciones de base IMT (HIBS) del servicio móvil en ciertas bandas </w:t>
            </w:r>
            <w:r w:rsidRPr="00FE5D4F">
              <w:rPr>
                <w:bCs/>
              </w:rPr>
              <w:t xml:space="preserve">de frecuencias </w:t>
            </w:r>
            <w:r w:rsidRPr="00FE5D4F">
              <w:t>por debajo de 2,7 GHz ya identificadas para las IMT, a nivel mundial o regional;</w:t>
            </w:r>
          </w:p>
        </w:tc>
      </w:tr>
      <w:tr w:rsidR="007D7EC9" w:rsidRPr="007D7EC9" w14:paraId="5B861682" w14:textId="77777777" w:rsidTr="00DB48C6">
        <w:trPr>
          <w:cantSplit/>
        </w:trPr>
        <w:tc>
          <w:tcPr>
            <w:tcW w:w="1413" w:type="dxa"/>
            <w:tcBorders>
              <w:top w:val="single" w:sz="6" w:space="0" w:color="auto"/>
              <w:left w:val="single" w:sz="4" w:space="0" w:color="auto"/>
              <w:bottom w:val="single" w:sz="6" w:space="0" w:color="auto"/>
            </w:tcBorders>
            <w:vAlign w:val="center"/>
          </w:tcPr>
          <w:p w14:paraId="3593602E" w14:textId="77777777" w:rsidR="007D7EC9" w:rsidRPr="0029737E" w:rsidRDefault="007D7EC9" w:rsidP="007D7EC9">
            <w:pPr>
              <w:pStyle w:val="Tabletext"/>
            </w:pPr>
            <w:r w:rsidRPr="0029737E">
              <w:t>1.5</w:t>
            </w:r>
          </w:p>
        </w:tc>
        <w:tc>
          <w:tcPr>
            <w:tcW w:w="8221" w:type="dxa"/>
            <w:tcBorders>
              <w:top w:val="single" w:sz="6" w:space="0" w:color="auto"/>
              <w:bottom w:val="single" w:sz="6" w:space="0" w:color="auto"/>
            </w:tcBorders>
            <w:vAlign w:val="center"/>
          </w:tcPr>
          <w:p w14:paraId="71DD8D63" w14:textId="5E7EE5BD" w:rsidR="007D7EC9" w:rsidRPr="007D7EC9" w:rsidRDefault="007D7EC9" w:rsidP="007D7EC9">
            <w:pPr>
              <w:pStyle w:val="Tabletext"/>
              <w:rPr>
                <w:lang w:val="es-ES"/>
              </w:rPr>
            </w:pPr>
            <w:r w:rsidRPr="00FE5D4F">
              <w:t>examinar la utilización del espectro y las necesidades de espectro de los servicios existentes en la banda de frecuencias 470-960 MHz en la Región 1 y considerar posibles medidas reglamentarias para la banda de frecuencias 470</w:t>
            </w:r>
            <w:r w:rsidRPr="00FE5D4F">
              <w:noBreakHyphen/>
              <w:t>694 MHz en la Región 1 a partir del examen previsto en la Resolución </w:t>
            </w:r>
            <w:r w:rsidRPr="00FE5D4F">
              <w:rPr>
                <w:b/>
                <w:bCs/>
              </w:rPr>
              <w:t>235</w:t>
            </w:r>
            <w:r w:rsidRPr="00FE5D4F">
              <w:t xml:space="preserve"> </w:t>
            </w:r>
            <w:r w:rsidRPr="00FE5D4F">
              <w:rPr>
                <w:b/>
                <w:bCs/>
              </w:rPr>
              <w:t>(CMR</w:t>
            </w:r>
            <w:r w:rsidRPr="00FE5D4F">
              <w:rPr>
                <w:b/>
                <w:bCs/>
              </w:rPr>
              <w:noBreakHyphen/>
              <w:t>15</w:t>
            </w:r>
            <w:r w:rsidRPr="00FE5D4F">
              <w:rPr>
                <w:b/>
              </w:rPr>
              <w:t>)</w:t>
            </w:r>
            <w:r w:rsidRPr="00FE5D4F">
              <w:t>;</w:t>
            </w:r>
          </w:p>
        </w:tc>
      </w:tr>
      <w:tr w:rsidR="00B20F1E" w:rsidRPr="00B707C8" w14:paraId="11933D34" w14:textId="77777777" w:rsidTr="00DB48C6">
        <w:trPr>
          <w:cantSplit/>
        </w:trPr>
        <w:tc>
          <w:tcPr>
            <w:tcW w:w="1413" w:type="dxa"/>
            <w:tcBorders>
              <w:top w:val="single" w:sz="6" w:space="0" w:color="auto"/>
              <w:left w:val="single" w:sz="4" w:space="0" w:color="auto"/>
              <w:bottom w:val="single" w:sz="6" w:space="0" w:color="auto"/>
            </w:tcBorders>
            <w:vAlign w:val="center"/>
          </w:tcPr>
          <w:p w14:paraId="421A69B2" w14:textId="77777777" w:rsidR="00B20F1E" w:rsidRPr="0029737E" w:rsidRDefault="00B20F1E" w:rsidP="0029737E">
            <w:pPr>
              <w:pStyle w:val="Tabletext"/>
            </w:pPr>
            <w:r w:rsidRPr="0029737E">
              <w:t>1.6</w:t>
            </w:r>
          </w:p>
        </w:tc>
        <w:tc>
          <w:tcPr>
            <w:tcW w:w="8221" w:type="dxa"/>
            <w:tcBorders>
              <w:top w:val="single" w:sz="6" w:space="0" w:color="auto"/>
              <w:bottom w:val="single" w:sz="6" w:space="0" w:color="auto"/>
            </w:tcBorders>
            <w:vAlign w:val="center"/>
          </w:tcPr>
          <w:p w14:paraId="0A559DCB" w14:textId="77777777" w:rsidR="00B20F1E" w:rsidRPr="0029737E" w:rsidRDefault="00B20F1E" w:rsidP="0029737E">
            <w:pPr>
              <w:pStyle w:val="Tabletext"/>
            </w:pPr>
            <w:r w:rsidRPr="0029737E">
              <w:t xml:space="preserve">considerar, de conformidad con la Resolución </w:t>
            </w:r>
            <w:r w:rsidRPr="004F2768">
              <w:rPr>
                <w:b/>
                <w:bCs/>
              </w:rPr>
              <w:t>772 (CMR-19)</w:t>
            </w:r>
            <w:r w:rsidRPr="0029737E">
              <w:t>, disposiciones reglamentarias destinadas a facilitar las radiocomunicaciones para vehículos suborbitales;</w:t>
            </w:r>
          </w:p>
        </w:tc>
      </w:tr>
      <w:tr w:rsidR="007D7EC9" w:rsidRPr="007D7EC9" w14:paraId="13EC457E" w14:textId="77777777" w:rsidTr="00DB48C6">
        <w:trPr>
          <w:cantSplit/>
        </w:trPr>
        <w:tc>
          <w:tcPr>
            <w:tcW w:w="1413" w:type="dxa"/>
            <w:tcBorders>
              <w:top w:val="single" w:sz="6" w:space="0" w:color="auto"/>
              <w:left w:val="single" w:sz="4" w:space="0" w:color="auto"/>
              <w:bottom w:val="single" w:sz="6" w:space="0" w:color="auto"/>
            </w:tcBorders>
            <w:vAlign w:val="center"/>
          </w:tcPr>
          <w:p w14:paraId="589FC02B" w14:textId="77777777" w:rsidR="007D7EC9" w:rsidRPr="0029737E" w:rsidRDefault="007D7EC9" w:rsidP="007D7EC9">
            <w:pPr>
              <w:pStyle w:val="Tabletext"/>
            </w:pPr>
            <w:r w:rsidRPr="0029737E">
              <w:t>1.7</w:t>
            </w:r>
          </w:p>
        </w:tc>
        <w:tc>
          <w:tcPr>
            <w:tcW w:w="8221" w:type="dxa"/>
            <w:tcBorders>
              <w:top w:val="single" w:sz="6" w:space="0" w:color="auto"/>
              <w:bottom w:val="single" w:sz="6" w:space="0" w:color="auto"/>
            </w:tcBorders>
            <w:vAlign w:val="center"/>
          </w:tcPr>
          <w:p w14:paraId="039C0804" w14:textId="32081325" w:rsidR="007D7EC9" w:rsidRPr="007D7EC9" w:rsidRDefault="007D7EC9" w:rsidP="007D7EC9">
            <w:pPr>
              <w:pStyle w:val="Tabletext"/>
              <w:rPr>
                <w:lang w:val="es-ES"/>
              </w:rPr>
            </w:pPr>
            <w:r w:rsidRPr="00FE5D4F">
              <w:t>considerar la posibilidad de efectuar una nueva atribución al servicio móvil aeronáutico (R) por satélite de conformidad con la Resolución </w:t>
            </w:r>
            <w:r w:rsidRPr="00FE5D4F">
              <w:rPr>
                <w:b/>
              </w:rPr>
              <w:t>428</w:t>
            </w:r>
            <w:r w:rsidRPr="00FE5D4F">
              <w:t xml:space="preserve"> </w:t>
            </w:r>
            <w:r w:rsidRPr="00FE5D4F">
              <w:rPr>
                <w:b/>
                <w:bCs/>
              </w:rPr>
              <w:t>(CMR-19)</w:t>
            </w:r>
            <w:r w:rsidRPr="00FE5D4F">
              <w:t>, tanto para el sentido Tierra-espacio como espacio-Tierra, de las comunicaciones aeronáuticas en ondas métricas en toda la banda de frecuencias 117,975-137 MHz, o en parte de la misma, sin imponer restricciones indebidas a los sistemas en ondas métricas existentes del servicio móvil aeronáutico (R), el servicio de radionavegación aeronáutica y en bandas adyacentes;</w:t>
            </w:r>
          </w:p>
        </w:tc>
      </w:tr>
      <w:tr w:rsidR="007D7EC9" w:rsidRPr="007D7EC9" w14:paraId="642F710F" w14:textId="77777777" w:rsidTr="00DB48C6">
        <w:trPr>
          <w:cantSplit/>
        </w:trPr>
        <w:tc>
          <w:tcPr>
            <w:tcW w:w="1413" w:type="dxa"/>
            <w:tcBorders>
              <w:top w:val="single" w:sz="6" w:space="0" w:color="auto"/>
              <w:left w:val="single" w:sz="4" w:space="0" w:color="auto"/>
              <w:bottom w:val="nil"/>
            </w:tcBorders>
            <w:vAlign w:val="center"/>
          </w:tcPr>
          <w:p w14:paraId="6A32A38D" w14:textId="77777777" w:rsidR="007D7EC9" w:rsidRPr="0029737E" w:rsidRDefault="007D7EC9" w:rsidP="007D7EC9">
            <w:pPr>
              <w:pStyle w:val="Tabletext"/>
            </w:pPr>
            <w:r w:rsidRPr="0029737E">
              <w:t>1.9</w:t>
            </w:r>
          </w:p>
        </w:tc>
        <w:tc>
          <w:tcPr>
            <w:tcW w:w="8221" w:type="dxa"/>
            <w:tcBorders>
              <w:top w:val="single" w:sz="6" w:space="0" w:color="auto"/>
              <w:bottom w:val="single" w:sz="6" w:space="0" w:color="auto"/>
              <w:right w:val="single" w:sz="6" w:space="0" w:color="auto"/>
            </w:tcBorders>
            <w:vAlign w:val="center"/>
          </w:tcPr>
          <w:p w14:paraId="33B93B94" w14:textId="72B90203" w:rsidR="007D7EC9" w:rsidRPr="007D7EC9" w:rsidRDefault="007D7EC9" w:rsidP="007D7EC9">
            <w:pPr>
              <w:pStyle w:val="Tabletext"/>
              <w:rPr>
                <w:lang w:val="es-ES"/>
              </w:rPr>
            </w:pPr>
            <w:r w:rsidRPr="00FE5D4F">
              <w:t>revisar el Apéndice </w:t>
            </w:r>
            <w:r w:rsidRPr="00FE5D4F">
              <w:rPr>
                <w:b/>
                <w:bCs/>
              </w:rPr>
              <w:t>27</w:t>
            </w:r>
            <w:r w:rsidRPr="00FE5D4F">
              <w:t xml:space="preserve"> del Reglamento de Radiocomunicaciones y considerar las medidas reglamentarias y actualizaciones adecuadas basadas en los estudios del UIT-R, a fin de incorporar las tecnologías digitales para aplicaciones relacionadas con la seguridad de la vida en la aviación comercial en las actuales bandas de ondas decamétricas atribuidas al servicio móvil aeronáutico (R) y garantizar la coexistencia de los actuales sistemas de ondas decamétricas con los sistemas de ondas decamétricas modernos, de conformidad con la Resolución</w:t>
            </w:r>
            <w:r w:rsidRPr="00FE5D4F">
              <w:rPr>
                <w:b/>
              </w:rPr>
              <w:t xml:space="preserve"> 429 (CMR</w:t>
            </w:r>
            <w:r w:rsidRPr="00FE5D4F">
              <w:rPr>
                <w:b/>
              </w:rPr>
              <w:noBreakHyphen/>
              <w:t>19)</w:t>
            </w:r>
            <w:r w:rsidRPr="00FE5D4F">
              <w:rPr>
                <w:bCs/>
              </w:rPr>
              <w:t>;</w:t>
            </w:r>
          </w:p>
        </w:tc>
      </w:tr>
      <w:tr w:rsidR="00B20F1E" w:rsidRPr="00B707C8" w14:paraId="7175759F" w14:textId="77777777" w:rsidTr="00DB48C6">
        <w:trPr>
          <w:cantSplit/>
        </w:trPr>
        <w:tc>
          <w:tcPr>
            <w:tcW w:w="1413" w:type="dxa"/>
            <w:tcBorders>
              <w:top w:val="single" w:sz="6" w:space="0" w:color="auto"/>
              <w:left w:val="single" w:sz="4" w:space="0" w:color="auto"/>
              <w:bottom w:val="nil"/>
            </w:tcBorders>
            <w:vAlign w:val="center"/>
          </w:tcPr>
          <w:p w14:paraId="0B11338E" w14:textId="77777777" w:rsidR="00B20F1E" w:rsidRPr="0029737E" w:rsidRDefault="00B20F1E" w:rsidP="0029737E">
            <w:pPr>
              <w:pStyle w:val="Tabletext"/>
            </w:pPr>
            <w:r w:rsidRPr="0029737E">
              <w:t>1.10</w:t>
            </w:r>
          </w:p>
        </w:tc>
        <w:tc>
          <w:tcPr>
            <w:tcW w:w="8221" w:type="dxa"/>
            <w:tcBorders>
              <w:top w:val="single" w:sz="6" w:space="0" w:color="auto"/>
              <w:bottom w:val="single" w:sz="6" w:space="0" w:color="auto"/>
              <w:right w:val="single" w:sz="6" w:space="0" w:color="auto"/>
            </w:tcBorders>
            <w:vAlign w:val="center"/>
          </w:tcPr>
          <w:p w14:paraId="2DF37FAA" w14:textId="77777777" w:rsidR="00B20F1E" w:rsidRPr="0029737E" w:rsidRDefault="00B20F1E" w:rsidP="0029737E">
            <w:pPr>
              <w:pStyle w:val="Tabletext"/>
            </w:pPr>
            <w:r w:rsidRPr="0029737E">
              <w:t xml:space="preserve">realizar estudios sobre las necesidades de espectro, la coexistencia con los servicios de radiocomunicaciones y las medidas reglamentarias para posibles nuevas atribuciones al servicio móvil aeronáutico para la utilización de aplicaciones móviles aeronáuticas no relacionadas con la seguridad, de conformidad con la Resolución </w:t>
            </w:r>
            <w:r w:rsidRPr="004F2768">
              <w:rPr>
                <w:b/>
                <w:bCs/>
              </w:rPr>
              <w:t>430 (CMR-19)</w:t>
            </w:r>
            <w:r w:rsidRPr="0029737E">
              <w:t>;</w:t>
            </w:r>
          </w:p>
        </w:tc>
      </w:tr>
      <w:tr w:rsidR="007D7EC9" w:rsidRPr="007D7EC9" w14:paraId="135DE1D4" w14:textId="77777777" w:rsidTr="00DB48C6">
        <w:trPr>
          <w:cantSplit/>
        </w:trPr>
        <w:tc>
          <w:tcPr>
            <w:tcW w:w="1413" w:type="dxa"/>
            <w:tcBorders>
              <w:top w:val="single" w:sz="6" w:space="0" w:color="auto"/>
              <w:left w:val="single" w:sz="4" w:space="0" w:color="auto"/>
              <w:bottom w:val="single" w:sz="6" w:space="0" w:color="auto"/>
            </w:tcBorders>
            <w:vAlign w:val="center"/>
          </w:tcPr>
          <w:p w14:paraId="422E3EEF" w14:textId="77777777" w:rsidR="007D7EC9" w:rsidRPr="0029737E" w:rsidRDefault="007D7EC9" w:rsidP="007D7EC9">
            <w:pPr>
              <w:pStyle w:val="Tabletext"/>
            </w:pPr>
            <w:r w:rsidRPr="0029737E">
              <w:t>1.11</w:t>
            </w:r>
          </w:p>
        </w:tc>
        <w:tc>
          <w:tcPr>
            <w:tcW w:w="8221" w:type="dxa"/>
            <w:tcBorders>
              <w:top w:val="single" w:sz="6" w:space="0" w:color="auto"/>
              <w:bottom w:val="single" w:sz="6" w:space="0" w:color="auto"/>
            </w:tcBorders>
            <w:vAlign w:val="center"/>
          </w:tcPr>
          <w:p w14:paraId="03313F81" w14:textId="5F2E1EF3" w:rsidR="007D7EC9" w:rsidRPr="007D7EC9" w:rsidRDefault="007D7EC9" w:rsidP="007D7EC9">
            <w:pPr>
              <w:pStyle w:val="Tabletext"/>
              <w:rPr>
                <w:lang w:val="es-ES"/>
              </w:rPr>
            </w:pPr>
            <w:r w:rsidRPr="00FE5D4F">
              <w:t>considerar las posibles medidas reglamentarias para facilitar la modernización del Sistema Mundial de Socorro y Seguridad Marítimos y la implementación de la navegación electrónica, de conformidad con la Resolución </w:t>
            </w:r>
            <w:r w:rsidRPr="00FE5D4F">
              <w:rPr>
                <w:b/>
                <w:bCs/>
              </w:rPr>
              <w:t>361 (Rev.CMR-19)</w:t>
            </w:r>
            <w:r w:rsidRPr="00FE5D4F">
              <w:t>;</w:t>
            </w:r>
          </w:p>
        </w:tc>
      </w:tr>
      <w:tr w:rsidR="007D7EC9" w:rsidRPr="007D7EC9" w14:paraId="042A7AD9" w14:textId="77777777" w:rsidTr="00DB48C6">
        <w:trPr>
          <w:cantSplit/>
        </w:trPr>
        <w:tc>
          <w:tcPr>
            <w:tcW w:w="1413" w:type="dxa"/>
            <w:tcBorders>
              <w:top w:val="single" w:sz="6" w:space="0" w:color="auto"/>
              <w:left w:val="single" w:sz="4" w:space="0" w:color="auto"/>
              <w:bottom w:val="single" w:sz="6" w:space="0" w:color="auto"/>
            </w:tcBorders>
            <w:vAlign w:val="center"/>
          </w:tcPr>
          <w:p w14:paraId="13AD2AB5" w14:textId="77777777" w:rsidR="007D7EC9" w:rsidRPr="0029737E" w:rsidRDefault="007D7EC9" w:rsidP="007D7EC9">
            <w:pPr>
              <w:pStyle w:val="Tabletext"/>
            </w:pPr>
            <w:r w:rsidRPr="0029737E">
              <w:t>1.13</w:t>
            </w:r>
          </w:p>
        </w:tc>
        <w:tc>
          <w:tcPr>
            <w:tcW w:w="8221" w:type="dxa"/>
            <w:tcBorders>
              <w:top w:val="single" w:sz="6" w:space="0" w:color="auto"/>
              <w:bottom w:val="single" w:sz="6" w:space="0" w:color="auto"/>
            </w:tcBorders>
            <w:vAlign w:val="center"/>
          </w:tcPr>
          <w:p w14:paraId="754C1E11" w14:textId="63F5FC37" w:rsidR="007D7EC9" w:rsidRPr="007D7EC9" w:rsidRDefault="007D7EC9" w:rsidP="007D7EC9">
            <w:pPr>
              <w:pStyle w:val="Tabletext"/>
              <w:rPr>
                <w:lang w:val="es-ES"/>
              </w:rPr>
            </w:pPr>
            <w:r w:rsidRPr="00FE5D4F">
              <w:t xml:space="preserve">considerar la posible elevación de la categoría de la atribución al servicio de investigación espacial en la banda </w:t>
            </w:r>
            <w:r w:rsidRPr="00FE5D4F">
              <w:rPr>
                <w:bCs/>
              </w:rPr>
              <w:t xml:space="preserve">de frecuencias </w:t>
            </w:r>
            <w:r w:rsidRPr="00FE5D4F">
              <w:t>14,8-15,35 GHz, de conformidad con la Resolución </w:t>
            </w:r>
            <w:r w:rsidRPr="00FE5D4F">
              <w:rPr>
                <w:b/>
                <w:bCs/>
              </w:rPr>
              <w:t>661 (CMR</w:t>
            </w:r>
            <w:r w:rsidRPr="00FE5D4F">
              <w:rPr>
                <w:b/>
                <w:bCs/>
              </w:rPr>
              <w:noBreakHyphen/>
              <w:t>19</w:t>
            </w:r>
            <w:r w:rsidRPr="00FE5D4F">
              <w:rPr>
                <w:b/>
              </w:rPr>
              <w:t>)</w:t>
            </w:r>
            <w:r w:rsidRPr="00FE5D4F">
              <w:t>;</w:t>
            </w:r>
          </w:p>
        </w:tc>
      </w:tr>
      <w:tr w:rsidR="007D7EC9" w:rsidRPr="007D7EC9" w14:paraId="5AFFA68E" w14:textId="77777777" w:rsidTr="00DB48C6">
        <w:trPr>
          <w:cantSplit/>
        </w:trPr>
        <w:tc>
          <w:tcPr>
            <w:tcW w:w="1413" w:type="dxa"/>
            <w:tcBorders>
              <w:top w:val="single" w:sz="6" w:space="0" w:color="auto"/>
              <w:left w:val="single" w:sz="4" w:space="0" w:color="auto"/>
              <w:bottom w:val="single" w:sz="6" w:space="0" w:color="auto"/>
            </w:tcBorders>
            <w:vAlign w:val="center"/>
          </w:tcPr>
          <w:p w14:paraId="6CB7964B" w14:textId="77777777" w:rsidR="007D7EC9" w:rsidRPr="0029737E" w:rsidRDefault="007D7EC9" w:rsidP="007D7EC9">
            <w:pPr>
              <w:pStyle w:val="Tabletext"/>
            </w:pPr>
            <w:r w:rsidRPr="0029737E">
              <w:t>1.14</w:t>
            </w:r>
          </w:p>
        </w:tc>
        <w:tc>
          <w:tcPr>
            <w:tcW w:w="8221" w:type="dxa"/>
            <w:tcBorders>
              <w:top w:val="single" w:sz="6" w:space="0" w:color="auto"/>
              <w:bottom w:val="single" w:sz="6" w:space="0" w:color="auto"/>
            </w:tcBorders>
          </w:tcPr>
          <w:p w14:paraId="5A0DB5AD" w14:textId="7A33E71E" w:rsidR="007D7EC9" w:rsidRPr="007D7EC9" w:rsidRDefault="007D7EC9" w:rsidP="007D7EC9">
            <w:pPr>
              <w:pStyle w:val="Tabletext"/>
              <w:rPr>
                <w:lang w:val="es-ES"/>
              </w:rPr>
            </w:pPr>
            <w:r w:rsidRPr="00FE5D4F">
              <w:t xml:space="preserve">examinar y considerar posibles ajustes de las atribuciones de frecuencias existentes o posibles nuevas atribuciones de frecuencias a título primario al servicio de exploración de la Tierra por satélite (pasivo) en la gama de frecuencias 231,5-252 GHz, con el fin de garantizar la armonización de los requisitos más recientes para la observación por teledetección, de conformidad con la Resolución </w:t>
            </w:r>
            <w:r w:rsidRPr="00FE5D4F">
              <w:rPr>
                <w:b/>
                <w:bCs/>
              </w:rPr>
              <w:t>662 (CMR-19)</w:t>
            </w:r>
            <w:r w:rsidRPr="00FE5D4F">
              <w:t>;</w:t>
            </w:r>
          </w:p>
        </w:tc>
      </w:tr>
      <w:tr w:rsidR="007D7EC9" w:rsidRPr="007D7EC9" w14:paraId="240D7594" w14:textId="77777777" w:rsidTr="00DB48C6">
        <w:trPr>
          <w:cantSplit/>
        </w:trPr>
        <w:tc>
          <w:tcPr>
            <w:tcW w:w="1413" w:type="dxa"/>
            <w:tcBorders>
              <w:top w:val="single" w:sz="6" w:space="0" w:color="auto"/>
              <w:left w:val="single" w:sz="4" w:space="0" w:color="auto"/>
              <w:bottom w:val="single" w:sz="6" w:space="0" w:color="auto"/>
            </w:tcBorders>
            <w:vAlign w:val="center"/>
          </w:tcPr>
          <w:p w14:paraId="1CA58754" w14:textId="77777777" w:rsidR="007D7EC9" w:rsidRPr="0029737E" w:rsidRDefault="007D7EC9" w:rsidP="007D7EC9">
            <w:pPr>
              <w:pStyle w:val="Tabletext"/>
            </w:pPr>
            <w:r w:rsidRPr="0029737E">
              <w:t>1.15</w:t>
            </w:r>
          </w:p>
        </w:tc>
        <w:tc>
          <w:tcPr>
            <w:tcW w:w="8221" w:type="dxa"/>
            <w:tcBorders>
              <w:top w:val="single" w:sz="6" w:space="0" w:color="auto"/>
              <w:bottom w:val="single" w:sz="6" w:space="0" w:color="auto"/>
            </w:tcBorders>
            <w:vAlign w:val="center"/>
          </w:tcPr>
          <w:p w14:paraId="15457104" w14:textId="4391AF6A" w:rsidR="007D7EC9" w:rsidRPr="007D7EC9" w:rsidRDefault="007D7EC9" w:rsidP="007D7EC9">
            <w:pPr>
              <w:pStyle w:val="Tabletext"/>
              <w:rPr>
                <w:lang w:val="es-ES"/>
              </w:rPr>
            </w:pPr>
            <w:r w:rsidRPr="00FE5D4F">
              <w:t>armonizar a escala mundial la utilización de la banda de frecuencias 12,75</w:t>
            </w:r>
            <w:r w:rsidRPr="00FE5D4F">
              <w:noBreakHyphen/>
              <w:t>13,25 GHz (Tierra-espacio) por las estaciones terrenas a bordo de aeronaves y barcos que se comunican con estaciones espaciales geoestacionarias del servicio fijo por satélite, de conformidad con la Resolución </w:t>
            </w:r>
            <w:r w:rsidRPr="00FE5D4F">
              <w:rPr>
                <w:b/>
              </w:rPr>
              <w:t>172 (CMR-19)</w:t>
            </w:r>
            <w:r w:rsidRPr="00FE5D4F">
              <w:t>;</w:t>
            </w:r>
          </w:p>
        </w:tc>
      </w:tr>
      <w:tr w:rsidR="007D7EC9" w:rsidRPr="007D7EC9" w14:paraId="00DB8813" w14:textId="77777777" w:rsidTr="00DB48C6">
        <w:trPr>
          <w:cantSplit/>
        </w:trPr>
        <w:tc>
          <w:tcPr>
            <w:tcW w:w="1413" w:type="dxa"/>
            <w:tcBorders>
              <w:top w:val="single" w:sz="6" w:space="0" w:color="auto"/>
              <w:left w:val="single" w:sz="4" w:space="0" w:color="auto"/>
              <w:bottom w:val="single" w:sz="6" w:space="0" w:color="auto"/>
            </w:tcBorders>
            <w:vAlign w:val="center"/>
          </w:tcPr>
          <w:p w14:paraId="3364816A" w14:textId="77777777" w:rsidR="007D7EC9" w:rsidRPr="0029737E" w:rsidRDefault="007D7EC9" w:rsidP="007D7EC9">
            <w:pPr>
              <w:pStyle w:val="Tabletext"/>
            </w:pPr>
            <w:r w:rsidRPr="0029737E">
              <w:lastRenderedPageBreak/>
              <w:t>1.16</w:t>
            </w:r>
          </w:p>
        </w:tc>
        <w:tc>
          <w:tcPr>
            <w:tcW w:w="8221" w:type="dxa"/>
            <w:tcBorders>
              <w:top w:val="single" w:sz="6" w:space="0" w:color="auto"/>
              <w:bottom w:val="single" w:sz="6" w:space="0" w:color="auto"/>
            </w:tcBorders>
          </w:tcPr>
          <w:p w14:paraId="31C58066" w14:textId="17E3D306" w:rsidR="007D7EC9" w:rsidRPr="007D7EC9" w:rsidRDefault="007D7EC9" w:rsidP="007D7EC9">
            <w:pPr>
              <w:pStyle w:val="Tabletext"/>
              <w:rPr>
                <w:lang w:val="es-ES"/>
              </w:rPr>
            </w:pPr>
            <w:r w:rsidRPr="00FE5D4F">
              <w:t>estudiar y desarrollar medidas técnicas, operativas y reglamentarias, según proceda, para facilitar la utilización de las bandas de frecuencias 17,7</w:t>
            </w:r>
            <w:r w:rsidRPr="00FE5D4F">
              <w:noBreakHyphen/>
              <w:t>18,6 GHz y 18,8</w:t>
            </w:r>
            <w:r w:rsidRPr="00FE5D4F">
              <w:noBreakHyphen/>
              <w:t>19,3 GHz y 19,7</w:t>
            </w:r>
            <w:r w:rsidRPr="00FE5D4F">
              <w:noBreakHyphen/>
              <w:t>20,2 GHz (espacio</w:t>
            </w:r>
            <w:r w:rsidRPr="00FE5D4F">
              <w:noBreakHyphen/>
              <w:t>Tierra) y 27,5</w:t>
            </w:r>
            <w:r w:rsidRPr="00FE5D4F">
              <w:noBreakHyphen/>
              <w:t>29,1 GHz y 29,5</w:t>
            </w:r>
            <w:r w:rsidRPr="00FE5D4F">
              <w:noBreakHyphen/>
              <w:t>30 GHz (Tierra-espacio) por las estaciones terrenas en movimiento no geoestacionarias del servicio fijo por satélite, garantizando a su vez la debida protección de los servicios existentes en dichas bandas de frecuencias, de conformidad con la Resolución </w:t>
            </w:r>
            <w:r w:rsidRPr="00FE5D4F">
              <w:rPr>
                <w:b/>
                <w:bCs/>
              </w:rPr>
              <w:t>173 (CMR</w:t>
            </w:r>
            <w:r w:rsidRPr="00FE5D4F">
              <w:rPr>
                <w:b/>
                <w:bCs/>
              </w:rPr>
              <w:noBreakHyphen/>
              <w:t>19)</w:t>
            </w:r>
            <w:r w:rsidRPr="00FE5D4F">
              <w:t>;</w:t>
            </w:r>
          </w:p>
        </w:tc>
      </w:tr>
      <w:tr w:rsidR="007D7EC9" w:rsidRPr="007D7EC9" w14:paraId="53C134FB" w14:textId="77777777" w:rsidTr="00DB48C6">
        <w:trPr>
          <w:cantSplit/>
        </w:trPr>
        <w:tc>
          <w:tcPr>
            <w:tcW w:w="1413" w:type="dxa"/>
            <w:tcBorders>
              <w:top w:val="single" w:sz="6" w:space="0" w:color="auto"/>
              <w:left w:val="single" w:sz="4" w:space="0" w:color="auto"/>
              <w:bottom w:val="single" w:sz="6" w:space="0" w:color="auto"/>
            </w:tcBorders>
            <w:vAlign w:val="center"/>
          </w:tcPr>
          <w:p w14:paraId="00FFEB2B" w14:textId="77777777" w:rsidR="007D7EC9" w:rsidRPr="0029737E" w:rsidRDefault="007D7EC9" w:rsidP="007D7EC9">
            <w:pPr>
              <w:pStyle w:val="Tabletext"/>
            </w:pPr>
            <w:r w:rsidRPr="0029737E">
              <w:t>1.17</w:t>
            </w:r>
          </w:p>
        </w:tc>
        <w:tc>
          <w:tcPr>
            <w:tcW w:w="8221" w:type="dxa"/>
            <w:tcBorders>
              <w:top w:val="single" w:sz="6" w:space="0" w:color="auto"/>
              <w:bottom w:val="single" w:sz="6" w:space="0" w:color="auto"/>
            </w:tcBorders>
          </w:tcPr>
          <w:p w14:paraId="74ED6ED1" w14:textId="658A8983" w:rsidR="007D7EC9" w:rsidRPr="007D7EC9" w:rsidRDefault="007D7EC9" w:rsidP="007D7EC9">
            <w:pPr>
              <w:pStyle w:val="Tabletext"/>
              <w:rPr>
                <w:lang w:val="es-ES"/>
              </w:rPr>
            </w:pPr>
            <w:r w:rsidRPr="00FE5D4F">
              <w:t>determinar y tomar, basándose en los estudios del UIT-R previstos en la Resolución </w:t>
            </w:r>
            <w:r w:rsidRPr="00FE5D4F">
              <w:rPr>
                <w:b/>
              </w:rPr>
              <w:t>773 (CMR</w:t>
            </w:r>
            <w:r>
              <w:rPr>
                <w:b/>
              </w:rPr>
              <w:noBreakHyphen/>
            </w:r>
            <w:r w:rsidRPr="00FE5D4F">
              <w:rPr>
                <w:b/>
              </w:rPr>
              <w:t>19)</w:t>
            </w:r>
            <w:r w:rsidRPr="00FE5D4F">
              <w:t>,</w:t>
            </w:r>
            <w:r w:rsidRPr="00FE5D4F">
              <w:rPr>
                <w:b/>
              </w:rPr>
              <w:t xml:space="preserve"> </w:t>
            </w:r>
            <w:r w:rsidRPr="00FE5D4F">
              <w:t>las medidas reglamentarias apropiadas para el establecimiento de enlaces entre satélites en bandas de frecuencias específicas o partes de las mismas, mediante una nueva atribución al servicio entre satélites donde corresponda;</w:t>
            </w:r>
          </w:p>
        </w:tc>
      </w:tr>
      <w:tr w:rsidR="007D7EC9" w:rsidRPr="007D7EC9" w14:paraId="54CF02D7" w14:textId="77777777" w:rsidTr="00DB48C6">
        <w:trPr>
          <w:cantSplit/>
        </w:trPr>
        <w:tc>
          <w:tcPr>
            <w:tcW w:w="1413" w:type="dxa"/>
            <w:tcBorders>
              <w:top w:val="single" w:sz="6" w:space="0" w:color="auto"/>
              <w:left w:val="single" w:sz="4" w:space="0" w:color="auto"/>
              <w:bottom w:val="single" w:sz="6" w:space="0" w:color="auto"/>
            </w:tcBorders>
            <w:vAlign w:val="center"/>
          </w:tcPr>
          <w:p w14:paraId="361A65D0" w14:textId="77777777" w:rsidR="007D7EC9" w:rsidRPr="0029737E" w:rsidRDefault="007D7EC9" w:rsidP="007D7EC9">
            <w:pPr>
              <w:pStyle w:val="Tabletext"/>
            </w:pPr>
            <w:r w:rsidRPr="0029737E">
              <w:t>1.18</w:t>
            </w:r>
          </w:p>
        </w:tc>
        <w:tc>
          <w:tcPr>
            <w:tcW w:w="8221" w:type="dxa"/>
            <w:tcBorders>
              <w:top w:val="single" w:sz="6" w:space="0" w:color="auto"/>
              <w:bottom w:val="single" w:sz="6" w:space="0" w:color="auto"/>
            </w:tcBorders>
          </w:tcPr>
          <w:p w14:paraId="2DC0B43B" w14:textId="726FA32D" w:rsidR="007D7EC9" w:rsidRPr="007D7EC9" w:rsidRDefault="007D7EC9" w:rsidP="007D7EC9">
            <w:pPr>
              <w:pStyle w:val="Tabletext"/>
              <w:rPr>
                <w:lang w:val="es-ES"/>
              </w:rPr>
            </w:pPr>
            <w:r w:rsidRPr="00FE5D4F">
              <w:rPr>
                <w:bCs/>
              </w:rPr>
              <w:t>considerar la posibilidad de realizar estudios relativos a las necesidades de espectro del servicio móvil por satélite, así como la posibilidad de otorgarle nuevas atribuciones, para el desarrollo futuro de sistemas móviles por satélite de banda estrecha, de conformidad con la Resolución </w:t>
            </w:r>
            <w:r w:rsidRPr="00FE5D4F">
              <w:rPr>
                <w:b/>
                <w:bCs/>
              </w:rPr>
              <w:t>248 (CMR-19)</w:t>
            </w:r>
            <w:r w:rsidRPr="00FE5D4F">
              <w:rPr>
                <w:bCs/>
              </w:rPr>
              <w:t>;</w:t>
            </w:r>
          </w:p>
        </w:tc>
      </w:tr>
      <w:tr w:rsidR="007D7EC9" w:rsidRPr="007D7EC9" w14:paraId="6C344416" w14:textId="77777777" w:rsidTr="00DB48C6">
        <w:trPr>
          <w:cantSplit/>
        </w:trPr>
        <w:tc>
          <w:tcPr>
            <w:tcW w:w="1413" w:type="dxa"/>
            <w:tcBorders>
              <w:top w:val="single" w:sz="6" w:space="0" w:color="auto"/>
              <w:left w:val="single" w:sz="4" w:space="0" w:color="auto"/>
              <w:bottom w:val="single" w:sz="6" w:space="0" w:color="auto"/>
            </w:tcBorders>
            <w:vAlign w:val="center"/>
          </w:tcPr>
          <w:p w14:paraId="24ACCFEB" w14:textId="77777777" w:rsidR="007D7EC9" w:rsidRPr="0029737E" w:rsidRDefault="007D7EC9" w:rsidP="007D7EC9">
            <w:pPr>
              <w:pStyle w:val="Tabletext"/>
            </w:pPr>
            <w:r w:rsidRPr="0029737E">
              <w:t>1.19</w:t>
            </w:r>
          </w:p>
        </w:tc>
        <w:tc>
          <w:tcPr>
            <w:tcW w:w="8221" w:type="dxa"/>
            <w:tcBorders>
              <w:top w:val="single" w:sz="6" w:space="0" w:color="auto"/>
              <w:bottom w:val="single" w:sz="6" w:space="0" w:color="auto"/>
            </w:tcBorders>
          </w:tcPr>
          <w:p w14:paraId="14B12DBC" w14:textId="2AA7E74D" w:rsidR="007D7EC9" w:rsidRPr="007D7EC9" w:rsidRDefault="007D7EC9" w:rsidP="007D7EC9">
            <w:pPr>
              <w:pStyle w:val="Tabletext"/>
              <w:rPr>
                <w:lang w:val="es-ES"/>
              </w:rPr>
            </w:pPr>
            <w:r w:rsidRPr="00FE5D4F">
              <w:rPr>
                <w:bCs/>
              </w:rPr>
              <w:t>considerar una nueva atribución a título primario al servicio fijo por satélite en el sentido espacio-Tierra en la banda de frecuencias 17,3-17,7 GHz en la Región 2, protegiendo a su vez los servicios primarios existentes en la banda, de conformidad con la Resolución </w:t>
            </w:r>
            <w:r w:rsidRPr="00FE5D4F">
              <w:rPr>
                <w:b/>
                <w:bCs/>
              </w:rPr>
              <w:t>174 (CMR</w:t>
            </w:r>
            <w:r w:rsidRPr="00FE5D4F">
              <w:rPr>
                <w:b/>
                <w:bCs/>
              </w:rPr>
              <w:noBreakHyphen/>
              <w:t>19)</w:t>
            </w:r>
            <w:r w:rsidRPr="00FE5D4F">
              <w:rPr>
                <w:bCs/>
              </w:rPr>
              <w:t>;</w:t>
            </w:r>
          </w:p>
        </w:tc>
      </w:tr>
      <w:tr w:rsidR="007D7EC9" w:rsidRPr="007D7EC9" w14:paraId="44C535F5" w14:textId="77777777" w:rsidTr="00DB48C6">
        <w:trPr>
          <w:cantSplit/>
        </w:trPr>
        <w:tc>
          <w:tcPr>
            <w:tcW w:w="1413" w:type="dxa"/>
            <w:tcBorders>
              <w:top w:val="single" w:sz="6" w:space="0" w:color="auto"/>
              <w:left w:val="single" w:sz="4" w:space="0" w:color="auto"/>
              <w:bottom w:val="nil"/>
            </w:tcBorders>
            <w:vAlign w:val="center"/>
          </w:tcPr>
          <w:p w14:paraId="2C24E213" w14:textId="77777777" w:rsidR="007D7EC9" w:rsidRPr="0029737E" w:rsidRDefault="007D7EC9" w:rsidP="007D7EC9">
            <w:pPr>
              <w:pStyle w:val="Tabletext"/>
            </w:pPr>
            <w:r w:rsidRPr="0029737E">
              <w:t>7</w:t>
            </w:r>
          </w:p>
        </w:tc>
        <w:tc>
          <w:tcPr>
            <w:tcW w:w="8221" w:type="dxa"/>
            <w:tcBorders>
              <w:top w:val="single" w:sz="6" w:space="0" w:color="auto"/>
              <w:bottom w:val="single" w:sz="6" w:space="0" w:color="auto"/>
            </w:tcBorders>
            <w:vAlign w:val="center"/>
          </w:tcPr>
          <w:p w14:paraId="1E01C3E7" w14:textId="48F28773" w:rsidR="007D7EC9" w:rsidRPr="007D7EC9" w:rsidRDefault="007D7EC9" w:rsidP="007D7EC9">
            <w:pPr>
              <w:pStyle w:val="Tabletext"/>
              <w:rPr>
                <w:lang w:val="es-ES"/>
              </w:rPr>
            </w:pPr>
            <w:r w:rsidRPr="00FE5D4F">
              <w:t xml:space="preserve">considerar posibles modificaciones y otras opciones para responder a lo dispuesto en la Resolución </w:t>
            </w:r>
            <w:r w:rsidRPr="007D7EC9">
              <w:rPr>
                <w:b/>
                <w:bCs/>
              </w:rPr>
              <w:t>86</w:t>
            </w:r>
            <w:r w:rsidRPr="00FE5D4F">
              <w:t xml:space="preserve"> (Rev. Marrakech, 2002) de la Conferencia de Plenipotenciarios: «Procedimientos de publicación anticipada, de coordinación, de notificación y de inscripción de asignaciones de frecuencias de redes de satélite» de conformidad con la Resolución </w:t>
            </w:r>
            <w:r w:rsidRPr="00FE5D4F">
              <w:rPr>
                <w:b/>
                <w:bCs/>
              </w:rPr>
              <w:t>86 (Rev.CMR-07</w:t>
            </w:r>
            <w:r w:rsidRPr="00FE5D4F">
              <w:rPr>
                <w:b/>
              </w:rPr>
              <w:t xml:space="preserve">) </w:t>
            </w:r>
            <w:r w:rsidRPr="00FE5D4F">
              <w:rPr>
                <w:bCs/>
              </w:rPr>
              <w:t>para facilitar el uso racional, eficiente y económico de las radiofrecuencias y órbitas asociadas, incluida la órbita de los satélites geoestacionarios</w:t>
            </w:r>
            <w:r w:rsidRPr="00FE5D4F">
              <w:t>;</w:t>
            </w:r>
          </w:p>
        </w:tc>
      </w:tr>
      <w:tr w:rsidR="00B20F1E" w:rsidRPr="00B707C8" w14:paraId="11C9A247" w14:textId="77777777" w:rsidTr="00DB48C6">
        <w:trPr>
          <w:cantSplit/>
        </w:trPr>
        <w:tc>
          <w:tcPr>
            <w:tcW w:w="1413" w:type="dxa"/>
            <w:tcBorders>
              <w:top w:val="nil"/>
              <w:left w:val="single" w:sz="4" w:space="0" w:color="auto"/>
              <w:bottom w:val="nil"/>
            </w:tcBorders>
            <w:vAlign w:val="center"/>
          </w:tcPr>
          <w:p w14:paraId="5CB3C4F4" w14:textId="77777777" w:rsidR="00B20F1E" w:rsidRPr="0029737E" w:rsidRDefault="00B20F1E" w:rsidP="0029737E">
            <w:pPr>
              <w:pStyle w:val="Tabletext"/>
            </w:pPr>
            <w:r w:rsidRPr="0029737E">
              <w:t>Tema A</w:t>
            </w:r>
          </w:p>
        </w:tc>
        <w:tc>
          <w:tcPr>
            <w:tcW w:w="8221" w:type="dxa"/>
            <w:tcBorders>
              <w:top w:val="single" w:sz="6" w:space="0" w:color="auto"/>
              <w:bottom w:val="single" w:sz="6" w:space="0" w:color="auto"/>
            </w:tcBorders>
            <w:vAlign w:val="center"/>
          </w:tcPr>
          <w:p w14:paraId="7797B362" w14:textId="77777777" w:rsidR="00B20F1E" w:rsidRPr="0029737E" w:rsidRDefault="00B20F1E" w:rsidP="0029737E">
            <w:pPr>
              <w:pStyle w:val="Tabletext"/>
            </w:pPr>
            <w:r w:rsidRPr="0029737E">
              <w:t>Tolerancias para determinadas características orbitales de las estaciones espaciales no OSG en el SFS, SRS o SMS.</w:t>
            </w:r>
          </w:p>
        </w:tc>
      </w:tr>
      <w:tr w:rsidR="00B20F1E" w:rsidRPr="00B707C8" w14:paraId="00514FF6" w14:textId="77777777" w:rsidTr="00DB48C6">
        <w:trPr>
          <w:cantSplit/>
        </w:trPr>
        <w:tc>
          <w:tcPr>
            <w:tcW w:w="1413" w:type="dxa"/>
            <w:tcBorders>
              <w:top w:val="nil"/>
              <w:left w:val="single" w:sz="4" w:space="0" w:color="auto"/>
              <w:bottom w:val="nil"/>
            </w:tcBorders>
            <w:vAlign w:val="center"/>
          </w:tcPr>
          <w:p w14:paraId="7F633204" w14:textId="77777777" w:rsidR="00B20F1E" w:rsidRPr="0029737E" w:rsidRDefault="00B20F1E" w:rsidP="0029737E">
            <w:pPr>
              <w:pStyle w:val="Tabletext"/>
            </w:pPr>
            <w:r w:rsidRPr="0029737E">
              <w:t>Tema D</w:t>
            </w:r>
          </w:p>
        </w:tc>
        <w:tc>
          <w:tcPr>
            <w:tcW w:w="8221" w:type="dxa"/>
            <w:tcBorders>
              <w:top w:val="single" w:sz="6" w:space="0" w:color="auto"/>
              <w:bottom w:val="single" w:sz="6" w:space="0" w:color="auto"/>
            </w:tcBorders>
            <w:vAlign w:val="center"/>
          </w:tcPr>
          <w:p w14:paraId="1B82B473" w14:textId="77777777" w:rsidR="00B20F1E" w:rsidRPr="0029737E" w:rsidRDefault="00B20F1E" w:rsidP="0029737E">
            <w:pPr>
              <w:pStyle w:val="Tabletext"/>
            </w:pPr>
            <w:r w:rsidRPr="0029737E">
              <w:t xml:space="preserve">Modificaciones del Apéndice 1 al Anexo </w:t>
            </w:r>
            <w:r w:rsidRPr="004F2768">
              <w:rPr>
                <w:b/>
                <w:bCs/>
              </w:rPr>
              <w:t>4</w:t>
            </w:r>
            <w:r w:rsidRPr="0029737E">
              <w:t xml:space="preserve"> del Apéndice </w:t>
            </w:r>
            <w:r w:rsidRPr="004F2768">
              <w:rPr>
                <w:b/>
                <w:bCs/>
              </w:rPr>
              <w:t>30B</w:t>
            </w:r>
            <w:r w:rsidRPr="0029737E">
              <w:t>.</w:t>
            </w:r>
          </w:p>
        </w:tc>
      </w:tr>
      <w:tr w:rsidR="00B20F1E" w:rsidRPr="00B707C8" w14:paraId="7A43E955" w14:textId="77777777" w:rsidTr="00DB48C6">
        <w:trPr>
          <w:cantSplit/>
        </w:trPr>
        <w:tc>
          <w:tcPr>
            <w:tcW w:w="1413" w:type="dxa"/>
            <w:tcBorders>
              <w:top w:val="nil"/>
              <w:left w:val="single" w:sz="4" w:space="0" w:color="auto"/>
              <w:bottom w:val="nil"/>
            </w:tcBorders>
            <w:vAlign w:val="center"/>
          </w:tcPr>
          <w:p w14:paraId="4A753BFA" w14:textId="77777777" w:rsidR="00B20F1E" w:rsidRPr="0029737E" w:rsidRDefault="00B20F1E" w:rsidP="0029737E">
            <w:pPr>
              <w:pStyle w:val="Tabletext"/>
            </w:pPr>
            <w:r w:rsidRPr="0029737E">
              <w:t>Tema E</w:t>
            </w:r>
          </w:p>
        </w:tc>
        <w:tc>
          <w:tcPr>
            <w:tcW w:w="8221" w:type="dxa"/>
            <w:tcBorders>
              <w:top w:val="single" w:sz="6" w:space="0" w:color="auto"/>
              <w:bottom w:val="single" w:sz="6" w:space="0" w:color="auto"/>
            </w:tcBorders>
            <w:vAlign w:val="center"/>
          </w:tcPr>
          <w:p w14:paraId="0E8AB4BA" w14:textId="77777777" w:rsidR="00B20F1E" w:rsidRPr="0029737E" w:rsidRDefault="00B20F1E" w:rsidP="0029737E">
            <w:pPr>
              <w:pStyle w:val="Tabletext"/>
            </w:pPr>
            <w:r w:rsidRPr="0029737E">
              <w:t xml:space="preserve">Mejora de los procedimientos del Apéndice </w:t>
            </w:r>
            <w:r w:rsidRPr="004F2768">
              <w:rPr>
                <w:b/>
                <w:bCs/>
              </w:rPr>
              <w:t>30B</w:t>
            </w:r>
            <w:r w:rsidRPr="0029737E">
              <w:t xml:space="preserve"> del RR en relación con los nuevos Estados miembros de la UIT.</w:t>
            </w:r>
          </w:p>
        </w:tc>
      </w:tr>
      <w:tr w:rsidR="00B20F1E" w:rsidRPr="00B707C8" w14:paraId="25DBF99A" w14:textId="77777777" w:rsidTr="00DB48C6">
        <w:trPr>
          <w:cantSplit/>
        </w:trPr>
        <w:tc>
          <w:tcPr>
            <w:tcW w:w="1413" w:type="dxa"/>
            <w:tcBorders>
              <w:top w:val="nil"/>
              <w:left w:val="single" w:sz="4" w:space="0" w:color="auto"/>
              <w:bottom w:val="nil"/>
            </w:tcBorders>
            <w:vAlign w:val="center"/>
          </w:tcPr>
          <w:p w14:paraId="1A5B50B3" w14:textId="77777777" w:rsidR="00B20F1E" w:rsidRPr="0029737E" w:rsidRDefault="00B20F1E" w:rsidP="0029737E">
            <w:pPr>
              <w:pStyle w:val="Tabletext"/>
            </w:pPr>
            <w:r w:rsidRPr="0029737E">
              <w:t>Tema G</w:t>
            </w:r>
          </w:p>
        </w:tc>
        <w:tc>
          <w:tcPr>
            <w:tcW w:w="8221" w:type="dxa"/>
            <w:tcBorders>
              <w:top w:val="single" w:sz="6" w:space="0" w:color="auto"/>
              <w:bottom w:val="single" w:sz="6" w:space="0" w:color="auto"/>
            </w:tcBorders>
            <w:vAlign w:val="center"/>
          </w:tcPr>
          <w:p w14:paraId="3C33AF61" w14:textId="77777777" w:rsidR="00B20F1E" w:rsidRPr="0029737E" w:rsidRDefault="00B20F1E" w:rsidP="0029737E">
            <w:pPr>
              <w:pStyle w:val="Tabletext"/>
            </w:pPr>
            <w:r w:rsidRPr="0029737E">
              <w:t xml:space="preserve">Revisiones de la Resolución </w:t>
            </w:r>
            <w:r w:rsidRPr="004F2768">
              <w:rPr>
                <w:b/>
                <w:bCs/>
              </w:rPr>
              <w:t>770 (CMR-19)</w:t>
            </w:r>
            <w:r w:rsidRPr="0029737E">
              <w:t xml:space="preserve"> para permitir su aplicación.</w:t>
            </w:r>
          </w:p>
        </w:tc>
      </w:tr>
      <w:tr w:rsidR="00B20F1E" w:rsidRPr="00B707C8" w14:paraId="49376386" w14:textId="77777777" w:rsidTr="00DB48C6">
        <w:trPr>
          <w:cantSplit/>
        </w:trPr>
        <w:tc>
          <w:tcPr>
            <w:tcW w:w="1413" w:type="dxa"/>
            <w:tcBorders>
              <w:top w:val="nil"/>
              <w:left w:val="single" w:sz="4" w:space="0" w:color="auto"/>
              <w:bottom w:val="nil"/>
            </w:tcBorders>
            <w:vAlign w:val="center"/>
          </w:tcPr>
          <w:p w14:paraId="030348DD" w14:textId="77777777" w:rsidR="00B20F1E" w:rsidRPr="0029737E" w:rsidRDefault="00B20F1E" w:rsidP="0029737E">
            <w:pPr>
              <w:pStyle w:val="Tabletext"/>
            </w:pPr>
            <w:r w:rsidRPr="0029737E">
              <w:t>Tema H</w:t>
            </w:r>
          </w:p>
        </w:tc>
        <w:tc>
          <w:tcPr>
            <w:tcW w:w="8221" w:type="dxa"/>
            <w:tcBorders>
              <w:top w:val="single" w:sz="6" w:space="0" w:color="auto"/>
              <w:bottom w:val="single" w:sz="6" w:space="0" w:color="auto"/>
            </w:tcBorders>
            <w:vAlign w:val="center"/>
          </w:tcPr>
          <w:p w14:paraId="300EF770" w14:textId="77777777" w:rsidR="00B20F1E" w:rsidRPr="0029737E" w:rsidRDefault="00B20F1E" w:rsidP="0029737E">
            <w:pPr>
              <w:pStyle w:val="Tabletext"/>
            </w:pPr>
            <w:r w:rsidRPr="0029737E">
              <w:t xml:space="preserve">Mejora de la protección en el marco de los Apéndices </w:t>
            </w:r>
            <w:r w:rsidRPr="004F2768">
              <w:rPr>
                <w:b/>
                <w:bCs/>
              </w:rPr>
              <w:t>30</w:t>
            </w:r>
            <w:r w:rsidRPr="0029737E">
              <w:t>/</w:t>
            </w:r>
            <w:r w:rsidRPr="004F2768">
              <w:rPr>
                <w:b/>
                <w:bCs/>
              </w:rPr>
              <w:t>30A</w:t>
            </w:r>
            <w:r w:rsidRPr="0029737E">
              <w:t xml:space="preserve"> del RR en las Regiones 1 y 3 y del Apéndice </w:t>
            </w:r>
            <w:r w:rsidRPr="004F2768">
              <w:rPr>
                <w:b/>
                <w:bCs/>
              </w:rPr>
              <w:t>30B</w:t>
            </w:r>
            <w:r w:rsidRPr="0029737E">
              <w:t xml:space="preserve"> del RR.</w:t>
            </w:r>
          </w:p>
        </w:tc>
      </w:tr>
      <w:tr w:rsidR="00B20F1E" w:rsidRPr="00B707C8" w14:paraId="35E293E5" w14:textId="77777777" w:rsidTr="00DB48C6">
        <w:trPr>
          <w:cantSplit/>
        </w:trPr>
        <w:tc>
          <w:tcPr>
            <w:tcW w:w="1413" w:type="dxa"/>
            <w:tcBorders>
              <w:top w:val="nil"/>
              <w:left w:val="single" w:sz="4" w:space="0" w:color="auto"/>
              <w:bottom w:val="nil"/>
            </w:tcBorders>
            <w:vAlign w:val="center"/>
          </w:tcPr>
          <w:p w14:paraId="6CF1E25F" w14:textId="77777777" w:rsidR="00B20F1E" w:rsidRPr="0029737E" w:rsidRDefault="00B20F1E" w:rsidP="0029737E">
            <w:pPr>
              <w:pStyle w:val="Tabletext"/>
            </w:pPr>
            <w:r w:rsidRPr="0029737E">
              <w:t>Tema I</w:t>
            </w:r>
          </w:p>
        </w:tc>
        <w:tc>
          <w:tcPr>
            <w:tcW w:w="8221" w:type="dxa"/>
            <w:tcBorders>
              <w:top w:val="single" w:sz="6" w:space="0" w:color="auto"/>
              <w:bottom w:val="single" w:sz="6" w:space="0" w:color="auto"/>
            </w:tcBorders>
            <w:vAlign w:val="center"/>
          </w:tcPr>
          <w:p w14:paraId="1686366C" w14:textId="77777777" w:rsidR="00B20F1E" w:rsidRPr="0029737E" w:rsidRDefault="00B20F1E" w:rsidP="0029737E">
            <w:pPr>
              <w:pStyle w:val="Tabletext"/>
            </w:pPr>
            <w:r w:rsidRPr="0029737E">
              <w:t xml:space="preserve">Acuerdos especiales con arreglo al Apéndice </w:t>
            </w:r>
            <w:r w:rsidRPr="004F2768">
              <w:rPr>
                <w:b/>
                <w:bCs/>
              </w:rPr>
              <w:t>30B</w:t>
            </w:r>
            <w:r w:rsidRPr="0029737E">
              <w:t xml:space="preserve"> del RR.</w:t>
            </w:r>
          </w:p>
        </w:tc>
      </w:tr>
      <w:tr w:rsidR="00B20F1E" w:rsidRPr="00B707C8" w14:paraId="427A2310" w14:textId="77777777" w:rsidTr="00DB48C6">
        <w:trPr>
          <w:cantSplit/>
        </w:trPr>
        <w:tc>
          <w:tcPr>
            <w:tcW w:w="1413" w:type="dxa"/>
            <w:tcBorders>
              <w:top w:val="nil"/>
              <w:left w:val="single" w:sz="4" w:space="0" w:color="auto"/>
              <w:bottom w:val="nil"/>
            </w:tcBorders>
            <w:vAlign w:val="center"/>
          </w:tcPr>
          <w:p w14:paraId="505076AE" w14:textId="77777777" w:rsidR="00B20F1E" w:rsidRPr="0029737E" w:rsidRDefault="00B20F1E" w:rsidP="0029737E">
            <w:pPr>
              <w:pStyle w:val="Tabletext"/>
            </w:pPr>
            <w:r w:rsidRPr="0029737E">
              <w:t>Tema J</w:t>
            </w:r>
          </w:p>
        </w:tc>
        <w:tc>
          <w:tcPr>
            <w:tcW w:w="8221" w:type="dxa"/>
            <w:tcBorders>
              <w:top w:val="single" w:sz="6" w:space="0" w:color="auto"/>
              <w:bottom w:val="single" w:sz="6" w:space="0" w:color="auto"/>
            </w:tcBorders>
            <w:vAlign w:val="center"/>
          </w:tcPr>
          <w:p w14:paraId="39E5DDC8" w14:textId="77777777" w:rsidR="00B20F1E" w:rsidRPr="0029737E" w:rsidRDefault="00B20F1E" w:rsidP="0029737E">
            <w:pPr>
              <w:pStyle w:val="Tabletext"/>
            </w:pPr>
            <w:r w:rsidRPr="0029737E">
              <w:t xml:space="preserve">Modificación de la Resolución </w:t>
            </w:r>
            <w:r w:rsidRPr="004F2768">
              <w:rPr>
                <w:b/>
                <w:bCs/>
              </w:rPr>
              <w:t>76 (Rev. CMR-15)</w:t>
            </w:r>
            <w:r w:rsidRPr="0029737E">
              <w:t>.</w:t>
            </w:r>
          </w:p>
        </w:tc>
      </w:tr>
      <w:tr w:rsidR="00B20F1E" w:rsidRPr="00B707C8" w14:paraId="72D3A18F" w14:textId="77777777" w:rsidTr="00DB48C6">
        <w:trPr>
          <w:cantSplit/>
        </w:trPr>
        <w:tc>
          <w:tcPr>
            <w:tcW w:w="1413" w:type="dxa"/>
            <w:tcBorders>
              <w:top w:val="nil"/>
              <w:left w:val="single" w:sz="4" w:space="0" w:color="auto"/>
              <w:bottom w:val="single" w:sz="6" w:space="0" w:color="auto"/>
            </w:tcBorders>
            <w:vAlign w:val="center"/>
          </w:tcPr>
          <w:p w14:paraId="629FFBBF" w14:textId="77777777" w:rsidR="00B20F1E" w:rsidRPr="0029737E" w:rsidRDefault="00B20F1E" w:rsidP="0029737E">
            <w:pPr>
              <w:pStyle w:val="Tabletext"/>
            </w:pPr>
            <w:r w:rsidRPr="0029737E">
              <w:t>Tema K</w:t>
            </w:r>
          </w:p>
        </w:tc>
        <w:tc>
          <w:tcPr>
            <w:tcW w:w="8221" w:type="dxa"/>
            <w:tcBorders>
              <w:top w:val="single" w:sz="6" w:space="0" w:color="auto"/>
              <w:bottom w:val="single" w:sz="6" w:space="0" w:color="auto"/>
            </w:tcBorders>
            <w:vAlign w:val="center"/>
          </w:tcPr>
          <w:p w14:paraId="2E89AD8C" w14:textId="77777777" w:rsidR="00B20F1E" w:rsidRPr="0029737E" w:rsidRDefault="00B20F1E" w:rsidP="0029737E">
            <w:pPr>
              <w:pStyle w:val="Tabletext"/>
            </w:pPr>
            <w:r w:rsidRPr="0029737E">
              <w:t xml:space="preserve">Modificación de la Resolución </w:t>
            </w:r>
            <w:r w:rsidRPr="004F2768">
              <w:rPr>
                <w:b/>
                <w:bCs/>
              </w:rPr>
              <w:t>553 (Rev.CMR-15)</w:t>
            </w:r>
            <w:r w:rsidRPr="0029737E">
              <w:t xml:space="preserve"> para garantizar un acceso equitativo a la banda de frecuencias de 21,4-22 GHz.</w:t>
            </w:r>
          </w:p>
        </w:tc>
      </w:tr>
      <w:tr w:rsidR="007D7EC9" w:rsidRPr="007D7EC9" w14:paraId="6C41B73F" w14:textId="77777777" w:rsidTr="00DB48C6">
        <w:trPr>
          <w:cantSplit/>
        </w:trPr>
        <w:tc>
          <w:tcPr>
            <w:tcW w:w="1413" w:type="dxa"/>
            <w:tcBorders>
              <w:top w:val="single" w:sz="6" w:space="0" w:color="auto"/>
              <w:left w:val="single" w:sz="6" w:space="0" w:color="auto"/>
              <w:bottom w:val="single" w:sz="6" w:space="0" w:color="auto"/>
            </w:tcBorders>
            <w:vAlign w:val="center"/>
          </w:tcPr>
          <w:p w14:paraId="3BE9D2A7" w14:textId="77777777" w:rsidR="007D7EC9" w:rsidRPr="0029737E" w:rsidRDefault="007D7EC9" w:rsidP="007D7EC9">
            <w:pPr>
              <w:pStyle w:val="Tabletext"/>
            </w:pPr>
            <w:r w:rsidRPr="0029737E">
              <w:t>9</w:t>
            </w:r>
          </w:p>
        </w:tc>
        <w:tc>
          <w:tcPr>
            <w:tcW w:w="8221" w:type="dxa"/>
            <w:tcBorders>
              <w:top w:val="single" w:sz="6" w:space="0" w:color="auto"/>
              <w:bottom w:val="single" w:sz="6" w:space="0" w:color="auto"/>
            </w:tcBorders>
            <w:vAlign w:val="center"/>
          </w:tcPr>
          <w:p w14:paraId="14431322" w14:textId="3A50EAB4" w:rsidR="007D7EC9" w:rsidRPr="007D7EC9" w:rsidRDefault="007D7EC9" w:rsidP="007D7EC9">
            <w:pPr>
              <w:pStyle w:val="Tabletext"/>
              <w:rPr>
                <w:lang w:val="es-ES"/>
              </w:rPr>
            </w:pPr>
            <w:r w:rsidRPr="00FE5D4F">
              <w:t>examinar y aprobar el Informe del Director de la Oficina de Radiocomunicaciones, de conformidad con el Artículo 7 del Convenio de la UIT:</w:t>
            </w:r>
          </w:p>
        </w:tc>
      </w:tr>
      <w:tr w:rsidR="007D7EC9" w:rsidRPr="007D7EC9" w14:paraId="5E80B593" w14:textId="77777777" w:rsidTr="00DB48C6">
        <w:trPr>
          <w:cantSplit/>
        </w:trPr>
        <w:tc>
          <w:tcPr>
            <w:tcW w:w="1413" w:type="dxa"/>
            <w:tcBorders>
              <w:top w:val="single" w:sz="6" w:space="0" w:color="auto"/>
              <w:left w:val="single" w:sz="6" w:space="0" w:color="auto"/>
              <w:bottom w:val="single" w:sz="6" w:space="0" w:color="auto"/>
            </w:tcBorders>
            <w:vAlign w:val="center"/>
          </w:tcPr>
          <w:p w14:paraId="301FD90F" w14:textId="77777777" w:rsidR="007D7EC9" w:rsidRPr="0029737E" w:rsidRDefault="007D7EC9" w:rsidP="007D7EC9">
            <w:pPr>
              <w:pStyle w:val="Tabletext"/>
            </w:pPr>
            <w:r w:rsidRPr="0029737E">
              <w:t>9.1</w:t>
            </w:r>
          </w:p>
        </w:tc>
        <w:tc>
          <w:tcPr>
            <w:tcW w:w="8221" w:type="dxa"/>
            <w:tcBorders>
              <w:top w:val="single" w:sz="6" w:space="0" w:color="auto"/>
              <w:bottom w:val="single" w:sz="6" w:space="0" w:color="auto"/>
            </w:tcBorders>
            <w:vAlign w:val="center"/>
          </w:tcPr>
          <w:p w14:paraId="50D6E0F3" w14:textId="50EBDB4C" w:rsidR="007D7EC9" w:rsidRPr="007D7EC9" w:rsidRDefault="007D7EC9" w:rsidP="007D7EC9">
            <w:pPr>
              <w:pStyle w:val="Tabletext"/>
              <w:rPr>
                <w:lang w:val="es-ES"/>
              </w:rPr>
            </w:pPr>
            <w:r w:rsidRPr="00FE5D4F">
              <w:t>sobre las actividades del Sector de Radiocomunicaciones desde la CMR</w:t>
            </w:r>
            <w:r w:rsidRPr="00FE5D4F">
              <w:noBreakHyphen/>
              <w:t>19:</w:t>
            </w:r>
          </w:p>
        </w:tc>
      </w:tr>
      <w:tr w:rsidR="007D7EC9" w:rsidRPr="007D7EC9" w14:paraId="5C16DF6E" w14:textId="77777777" w:rsidTr="00DB48C6">
        <w:trPr>
          <w:cantSplit/>
        </w:trPr>
        <w:tc>
          <w:tcPr>
            <w:tcW w:w="1413" w:type="dxa"/>
            <w:tcBorders>
              <w:top w:val="single" w:sz="6" w:space="0" w:color="auto"/>
              <w:left w:val="single" w:sz="6" w:space="0" w:color="auto"/>
              <w:bottom w:val="single" w:sz="6" w:space="0" w:color="auto"/>
            </w:tcBorders>
            <w:vAlign w:val="center"/>
          </w:tcPr>
          <w:p w14:paraId="0AC2A671" w14:textId="77777777" w:rsidR="007D7EC9" w:rsidRPr="0029737E" w:rsidRDefault="007D7EC9" w:rsidP="007D7EC9">
            <w:pPr>
              <w:pStyle w:val="Tabletext"/>
            </w:pPr>
            <w:r w:rsidRPr="0029737E">
              <w:t xml:space="preserve">9.1-a) </w:t>
            </w:r>
          </w:p>
        </w:tc>
        <w:tc>
          <w:tcPr>
            <w:tcW w:w="8221" w:type="dxa"/>
            <w:tcBorders>
              <w:top w:val="single" w:sz="6" w:space="0" w:color="auto"/>
              <w:bottom w:val="single" w:sz="6" w:space="0" w:color="auto"/>
            </w:tcBorders>
            <w:vAlign w:val="center"/>
          </w:tcPr>
          <w:p w14:paraId="6877EEF3" w14:textId="706DB51C" w:rsidR="007D7EC9" w:rsidRPr="007D7EC9" w:rsidRDefault="007D7EC9" w:rsidP="007D7EC9">
            <w:pPr>
              <w:pStyle w:val="Tabletext"/>
              <w:ind w:left="284" w:hanging="284"/>
              <w:rPr>
                <w:lang w:val="es-ES"/>
              </w:rPr>
            </w:pPr>
            <w:r w:rsidRPr="00FE5D4F">
              <w:rPr>
                <w:color w:val="000000"/>
              </w:rPr>
              <w:t>–</w:t>
            </w:r>
            <w:r w:rsidRPr="00FE5D4F">
              <w:rPr>
                <w:color w:val="000000"/>
              </w:rPr>
              <w:tab/>
            </w:r>
            <w:r w:rsidRPr="00FE5D4F">
              <w:t>examinar, de conformidad con la Resolución </w:t>
            </w:r>
            <w:r w:rsidRPr="00FE5D4F">
              <w:rPr>
                <w:b/>
                <w:bCs/>
              </w:rPr>
              <w:t>657 (Rev.CMR-19)</w:t>
            </w:r>
            <w:r w:rsidRPr="00FE5D4F">
              <w:t>, los resultados de los estudios relativos a las características técnicas y operativas, las necesidades de espectro y las adecuadas designaciones de servicio radioeléctrico para los sensores meteorológicos espaciales, con el fin de proporcionar el reconocimiento y protección adecuados en el Reglamento de Radiocomunicaciones, sin imponer restricciones adicionales a los servicios existentes;</w:t>
            </w:r>
          </w:p>
        </w:tc>
      </w:tr>
      <w:tr w:rsidR="007D7EC9" w:rsidRPr="007D7EC9" w14:paraId="1D34533E" w14:textId="77777777" w:rsidTr="00DB48C6">
        <w:trPr>
          <w:cantSplit/>
          <w:trHeight w:val="1000"/>
        </w:trPr>
        <w:tc>
          <w:tcPr>
            <w:tcW w:w="1413" w:type="dxa"/>
            <w:tcBorders>
              <w:top w:val="single" w:sz="6" w:space="0" w:color="auto"/>
              <w:left w:val="single" w:sz="6" w:space="0" w:color="auto"/>
            </w:tcBorders>
            <w:vAlign w:val="center"/>
          </w:tcPr>
          <w:p w14:paraId="7486622A" w14:textId="77777777" w:rsidR="007D7EC9" w:rsidRPr="0029737E" w:rsidRDefault="007D7EC9" w:rsidP="007D7EC9">
            <w:pPr>
              <w:pStyle w:val="Tabletext"/>
            </w:pPr>
            <w:r w:rsidRPr="0029737E">
              <w:t xml:space="preserve">9.1-b) </w:t>
            </w:r>
          </w:p>
        </w:tc>
        <w:tc>
          <w:tcPr>
            <w:tcW w:w="8221" w:type="dxa"/>
            <w:tcBorders>
              <w:top w:val="single" w:sz="6" w:space="0" w:color="auto"/>
            </w:tcBorders>
            <w:vAlign w:val="center"/>
          </w:tcPr>
          <w:p w14:paraId="6270D1FA" w14:textId="57CDB0E5" w:rsidR="007D7EC9" w:rsidRPr="007D7EC9" w:rsidRDefault="007D7EC9" w:rsidP="007D7EC9">
            <w:pPr>
              <w:pStyle w:val="Tabletext"/>
              <w:ind w:left="284" w:hanging="284"/>
              <w:rPr>
                <w:lang w:val="es-ES"/>
              </w:rPr>
            </w:pPr>
            <w:r w:rsidRPr="00FE5D4F">
              <w:rPr>
                <w:color w:val="000000"/>
              </w:rPr>
              <w:t>–</w:t>
            </w:r>
            <w:r w:rsidRPr="00FE5D4F">
              <w:rPr>
                <w:color w:val="000000"/>
              </w:rPr>
              <w:tab/>
              <w:t>revisar las atribuciones al servicio de aficionados y al servicio de aficionados por satélite en la banda de frecuencias 1 240</w:t>
            </w:r>
            <w:r w:rsidRPr="00FE5D4F">
              <w:rPr>
                <w:color w:val="000000"/>
              </w:rPr>
              <w:noBreakHyphen/>
              <w:t xml:space="preserve">1 300 MHz con el fin de determinar si son necesarias medidas adicionales para garantizar la protección del servicio de radionavegación por satélite (espacio-Tierra) que funciona en la misma banda, de conformidad con la Resolución </w:t>
            </w:r>
            <w:r w:rsidRPr="00FE5D4F">
              <w:rPr>
                <w:b/>
                <w:color w:val="000000"/>
              </w:rPr>
              <w:t>774 (CMR-19)</w:t>
            </w:r>
            <w:r w:rsidRPr="00FE5D4F">
              <w:rPr>
                <w:color w:val="000000"/>
              </w:rPr>
              <w:t>;</w:t>
            </w:r>
          </w:p>
        </w:tc>
      </w:tr>
      <w:tr w:rsidR="007D7EC9" w:rsidRPr="007D7EC9" w14:paraId="2C83B260" w14:textId="77777777" w:rsidTr="00DB48C6">
        <w:trPr>
          <w:cantSplit/>
          <w:trHeight w:val="355"/>
        </w:trPr>
        <w:tc>
          <w:tcPr>
            <w:tcW w:w="1413" w:type="dxa"/>
            <w:tcBorders>
              <w:top w:val="single" w:sz="6" w:space="0" w:color="auto"/>
              <w:left w:val="single" w:sz="6" w:space="0" w:color="auto"/>
            </w:tcBorders>
            <w:vAlign w:val="center"/>
          </w:tcPr>
          <w:p w14:paraId="7B6A28D1" w14:textId="77777777" w:rsidR="007D7EC9" w:rsidRPr="0029737E" w:rsidRDefault="007D7EC9" w:rsidP="007D7EC9">
            <w:pPr>
              <w:pStyle w:val="Tabletext"/>
            </w:pPr>
            <w:r w:rsidRPr="0029737E">
              <w:t xml:space="preserve">9.1-d) </w:t>
            </w:r>
          </w:p>
        </w:tc>
        <w:tc>
          <w:tcPr>
            <w:tcW w:w="8221" w:type="dxa"/>
            <w:tcBorders>
              <w:top w:val="single" w:sz="6" w:space="0" w:color="auto"/>
            </w:tcBorders>
            <w:vAlign w:val="center"/>
          </w:tcPr>
          <w:p w14:paraId="32ACDC14" w14:textId="3AC1A337" w:rsidR="007D7EC9" w:rsidRPr="007D7EC9" w:rsidRDefault="007D7EC9" w:rsidP="007D7EC9">
            <w:pPr>
              <w:pStyle w:val="Tabletext"/>
              <w:ind w:left="284" w:hanging="284"/>
              <w:rPr>
                <w:lang w:val="es-ES"/>
              </w:rPr>
            </w:pPr>
            <w:r w:rsidRPr="00FE5D4F">
              <w:rPr>
                <w:color w:val="000000"/>
              </w:rPr>
              <w:t>–</w:t>
            </w:r>
            <w:r w:rsidRPr="00FE5D4F">
              <w:rPr>
                <w:color w:val="000000"/>
              </w:rPr>
              <w:tab/>
            </w:r>
            <w:r w:rsidRPr="00FE5D4F">
              <w:rPr>
                <w:lang w:eastAsia="nl-NL"/>
              </w:rPr>
              <w:t>protección del SETS (pasivo) en la banda de frecuencias 36-37 GHz contra las estaciones espaciales del SFS no OSG;</w:t>
            </w:r>
            <w:r w:rsidRPr="00FE5D4F">
              <w:t>**</w:t>
            </w:r>
          </w:p>
        </w:tc>
      </w:tr>
      <w:tr w:rsidR="007D7EC9" w:rsidRPr="007D7EC9" w14:paraId="2777DA70" w14:textId="77777777" w:rsidTr="00DB48C6">
        <w:trPr>
          <w:cantSplit/>
        </w:trPr>
        <w:tc>
          <w:tcPr>
            <w:tcW w:w="1413" w:type="dxa"/>
            <w:tcBorders>
              <w:top w:val="single" w:sz="6" w:space="0" w:color="auto"/>
              <w:left w:val="single" w:sz="4" w:space="0" w:color="auto"/>
              <w:bottom w:val="nil"/>
            </w:tcBorders>
            <w:vAlign w:val="center"/>
          </w:tcPr>
          <w:p w14:paraId="535ECED0" w14:textId="77777777" w:rsidR="007D7EC9" w:rsidRPr="0029737E" w:rsidRDefault="007D7EC9" w:rsidP="007D7EC9">
            <w:pPr>
              <w:pStyle w:val="Tabletext"/>
            </w:pPr>
            <w:r w:rsidRPr="0029737E">
              <w:lastRenderedPageBreak/>
              <w:t>10</w:t>
            </w:r>
          </w:p>
        </w:tc>
        <w:tc>
          <w:tcPr>
            <w:tcW w:w="8221" w:type="dxa"/>
            <w:tcBorders>
              <w:top w:val="single" w:sz="6" w:space="0" w:color="auto"/>
              <w:bottom w:val="single" w:sz="6" w:space="0" w:color="auto"/>
            </w:tcBorders>
            <w:vAlign w:val="center"/>
          </w:tcPr>
          <w:p w14:paraId="7730D567" w14:textId="0D3E566F" w:rsidR="007D7EC9" w:rsidRPr="007D7EC9" w:rsidRDefault="007D7EC9" w:rsidP="007D7EC9">
            <w:pPr>
              <w:pStyle w:val="Tabletext"/>
              <w:rPr>
                <w:lang w:val="es-ES"/>
              </w:rPr>
            </w:pPr>
            <w:r w:rsidRPr="00FE5D4F">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FE5D4F">
              <w:rPr>
                <w:b/>
                <w:bCs/>
              </w:rPr>
              <w:t>804 (Rev.CMR-19)</w:t>
            </w:r>
            <w:r w:rsidRPr="00FE5D4F">
              <w:t>,</w:t>
            </w:r>
          </w:p>
        </w:tc>
      </w:tr>
      <w:tr w:rsidR="00B20F1E" w:rsidRPr="00B707C8" w14:paraId="2A27650D" w14:textId="77777777" w:rsidTr="00DB48C6">
        <w:trPr>
          <w:cantSplit/>
        </w:trPr>
        <w:tc>
          <w:tcPr>
            <w:tcW w:w="1413" w:type="dxa"/>
            <w:tcBorders>
              <w:top w:val="nil"/>
              <w:left w:val="single" w:sz="4" w:space="0" w:color="auto"/>
              <w:bottom w:val="nil"/>
            </w:tcBorders>
            <w:vAlign w:val="center"/>
          </w:tcPr>
          <w:p w14:paraId="3C03C4A4" w14:textId="77777777" w:rsidR="00B20F1E" w:rsidRPr="0029737E" w:rsidRDefault="00B20F1E" w:rsidP="0029737E">
            <w:pPr>
              <w:pStyle w:val="Tabletext"/>
            </w:pPr>
            <w:r w:rsidRPr="0029737E">
              <w:t>Tema 2</w:t>
            </w:r>
          </w:p>
        </w:tc>
        <w:tc>
          <w:tcPr>
            <w:tcW w:w="8221" w:type="dxa"/>
            <w:tcBorders>
              <w:top w:val="single" w:sz="6" w:space="0" w:color="auto"/>
              <w:bottom w:val="single" w:sz="6" w:space="0" w:color="auto"/>
            </w:tcBorders>
            <w:vAlign w:val="center"/>
          </w:tcPr>
          <w:p w14:paraId="779BAC21" w14:textId="77777777" w:rsidR="00B20F1E" w:rsidRPr="0029737E" w:rsidRDefault="00B20F1E" w:rsidP="0029737E">
            <w:pPr>
              <w:pStyle w:val="Tabletext"/>
            </w:pPr>
            <w:r w:rsidRPr="0029737E">
              <w:t>Atribución de espectro y disposiciones reglamentarias conexas para facilitar la utilización de la banda de frecuencias 51,4-52,4 GHz del servicio fijo por satélite (Tierra-espacio) para las estaciones terrenas de pasarela que funcionan con sistemas del SFS de órbita no geoestacionaria.</w:t>
            </w:r>
          </w:p>
        </w:tc>
      </w:tr>
      <w:tr w:rsidR="00B20F1E" w:rsidRPr="00B707C8" w14:paraId="7153DBB5" w14:textId="77777777" w:rsidTr="00DB48C6">
        <w:trPr>
          <w:cantSplit/>
        </w:trPr>
        <w:tc>
          <w:tcPr>
            <w:tcW w:w="1413" w:type="dxa"/>
            <w:tcBorders>
              <w:top w:val="nil"/>
              <w:left w:val="single" w:sz="4" w:space="0" w:color="auto"/>
              <w:bottom w:val="single" w:sz="6" w:space="0" w:color="auto"/>
            </w:tcBorders>
            <w:vAlign w:val="center"/>
          </w:tcPr>
          <w:p w14:paraId="445C6F53" w14:textId="77777777" w:rsidR="00B20F1E" w:rsidRPr="0029737E" w:rsidRDefault="00B20F1E" w:rsidP="0029737E">
            <w:pPr>
              <w:pStyle w:val="Tabletext"/>
            </w:pPr>
            <w:r w:rsidRPr="0029737E">
              <w:t>Tema 5</w:t>
            </w:r>
          </w:p>
        </w:tc>
        <w:tc>
          <w:tcPr>
            <w:tcW w:w="8221" w:type="dxa"/>
            <w:tcBorders>
              <w:top w:val="single" w:sz="6" w:space="0" w:color="auto"/>
              <w:bottom w:val="single" w:sz="6" w:space="0" w:color="auto"/>
            </w:tcBorders>
            <w:vAlign w:val="center"/>
          </w:tcPr>
          <w:p w14:paraId="2927A78F" w14:textId="77777777" w:rsidR="00B20F1E" w:rsidRPr="0029737E" w:rsidRDefault="00B20F1E" w:rsidP="0029737E">
            <w:pPr>
              <w:pStyle w:val="Tabletext"/>
            </w:pPr>
            <w:r w:rsidRPr="0029737E">
              <w:t>Posibles nuevas atribuciones de frecuencias a título primario al Servicio Móvil por Satélite en las bandas de frecuencias propuestas siguientes: 2 010-2 025 MHz (T-e) y 2 200-2 215 MHz (e-T).</w:t>
            </w:r>
          </w:p>
        </w:tc>
      </w:tr>
    </w:tbl>
    <w:p w14:paraId="3920A8E3" w14:textId="77777777" w:rsidR="00B20F1E" w:rsidRPr="000D2717" w:rsidRDefault="00B20F1E" w:rsidP="004F2768">
      <w:pPr>
        <w:pStyle w:val="Reasons"/>
        <w:rPr>
          <w:lang w:val="es-ES"/>
        </w:rPr>
      </w:pPr>
    </w:p>
    <w:p w14:paraId="278522F7" w14:textId="46E50E66" w:rsidR="006775FB" w:rsidRPr="004F2768" w:rsidRDefault="00B20F1E" w:rsidP="004F2768">
      <w:pPr>
        <w:jc w:val="center"/>
        <w:rPr>
          <w:lang w:val="es-ES"/>
        </w:rPr>
      </w:pPr>
      <w:r w:rsidRPr="000D2717">
        <w:rPr>
          <w:lang w:val="es-ES"/>
        </w:rPr>
        <w:t>_____________</w:t>
      </w:r>
    </w:p>
    <w:sectPr w:rsidR="006775FB" w:rsidRPr="004F2768">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B065" w14:textId="77777777" w:rsidR="00B20F1E" w:rsidRDefault="00B20F1E">
      <w:r>
        <w:separator/>
      </w:r>
    </w:p>
  </w:endnote>
  <w:endnote w:type="continuationSeparator" w:id="0">
    <w:p w14:paraId="7B9D77D0" w14:textId="77777777" w:rsidR="00B20F1E" w:rsidRDefault="00B2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D15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645465" w14:textId="7B94EA51" w:rsidR="0077084A" w:rsidRDefault="0077084A">
    <w:pPr>
      <w:ind w:right="360"/>
      <w:rPr>
        <w:lang w:val="en-US"/>
      </w:rPr>
    </w:pPr>
    <w:r>
      <w:fldChar w:fldCharType="begin"/>
    </w:r>
    <w:r>
      <w:rPr>
        <w:lang w:val="en-US"/>
      </w:rPr>
      <w:instrText xml:space="preserve"> FILENAME \p  \* MERGEFORMAT </w:instrText>
    </w:r>
    <w:r>
      <w:fldChar w:fldCharType="separate"/>
    </w:r>
    <w:r w:rsidR="00B20F1E">
      <w:rPr>
        <w:noProof/>
        <w:lang w:val="en-US"/>
      </w:rPr>
      <w:t>Document79</w:t>
    </w:r>
    <w:r>
      <w:fldChar w:fldCharType="end"/>
    </w:r>
    <w:r>
      <w:rPr>
        <w:lang w:val="en-US"/>
      </w:rPr>
      <w:tab/>
    </w:r>
    <w:r>
      <w:fldChar w:fldCharType="begin"/>
    </w:r>
    <w:r>
      <w:instrText xml:space="preserve"> SAVEDATE \@ DD.MM.YY </w:instrText>
    </w:r>
    <w:r>
      <w:fldChar w:fldCharType="separate"/>
    </w:r>
    <w:r w:rsidR="007D7EC9">
      <w:rPr>
        <w:noProof/>
      </w:rPr>
      <w:t>08.11.23</w:t>
    </w:r>
    <w:r>
      <w:fldChar w:fldCharType="end"/>
    </w:r>
    <w:r>
      <w:rPr>
        <w:lang w:val="en-US"/>
      </w:rPr>
      <w:tab/>
    </w:r>
    <w:r>
      <w:fldChar w:fldCharType="begin"/>
    </w:r>
    <w:r>
      <w:instrText xml:space="preserve"> PRINTDATE \@ DD.MM.YY </w:instrText>
    </w:r>
    <w:r>
      <w:fldChar w:fldCharType="separate"/>
    </w:r>
    <w:r w:rsidR="00B20F1E">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B102" w14:textId="647C507B" w:rsidR="0077084A" w:rsidRDefault="0077084A" w:rsidP="000E45E1">
    <w:pPr>
      <w:pStyle w:val="Footer"/>
      <w:ind w:right="360"/>
      <w:rPr>
        <w:lang w:val="en-US"/>
      </w:rPr>
    </w:pPr>
    <w:r>
      <w:fldChar w:fldCharType="begin"/>
    </w:r>
    <w:r>
      <w:rPr>
        <w:lang w:val="en-US"/>
      </w:rPr>
      <w:instrText xml:space="preserve"> FILENAME \p  \* MERGEFORMAT </w:instrText>
    </w:r>
    <w:r>
      <w:fldChar w:fldCharType="separate"/>
    </w:r>
    <w:r w:rsidR="00AF3246">
      <w:rPr>
        <w:lang w:val="en-US"/>
      </w:rPr>
      <w:t>P:\ESP\ITU-R\CONF-R\CMR23\000\087S.docx</w:t>
    </w:r>
    <w:r>
      <w:fldChar w:fldCharType="end"/>
    </w:r>
    <w:r w:rsidR="00CB3DB9">
      <w:t xml:space="preserve"> (529961)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0180" w14:textId="28FB272A" w:rsidR="0077084A" w:rsidRPr="00D62071" w:rsidRDefault="00D62071" w:rsidP="00D62071">
    <w:pPr>
      <w:pStyle w:val="Footer"/>
      <w:ind w:right="360"/>
      <w:rPr>
        <w:lang w:val="en-US"/>
      </w:rPr>
    </w:pPr>
    <w:r>
      <w:fldChar w:fldCharType="begin"/>
    </w:r>
    <w:r>
      <w:rPr>
        <w:lang w:val="en-US"/>
      </w:rPr>
      <w:instrText xml:space="preserve"> FILENAME \p  \* MERGEFORMAT </w:instrText>
    </w:r>
    <w:r>
      <w:fldChar w:fldCharType="separate"/>
    </w:r>
    <w:r w:rsidR="00AF3246">
      <w:rPr>
        <w:lang w:val="en-US"/>
      </w:rPr>
      <w:t>P:\ESP\ITU-R\CONF-R\CMR23\000\087S.docx</w:t>
    </w:r>
    <w:r>
      <w:fldChar w:fldCharType="end"/>
    </w:r>
    <w:r>
      <w:t xml:space="preserve"> (529961)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2D73" w14:textId="77777777" w:rsidR="00B20F1E" w:rsidRDefault="00B20F1E">
      <w:r>
        <w:rPr>
          <w:b/>
        </w:rPr>
        <w:t>_______________</w:t>
      </w:r>
    </w:p>
  </w:footnote>
  <w:footnote w:type="continuationSeparator" w:id="0">
    <w:p w14:paraId="688DFBF6" w14:textId="77777777" w:rsidR="00B20F1E" w:rsidRDefault="00B20F1E">
      <w:r>
        <w:continuationSeparator/>
      </w:r>
    </w:p>
  </w:footnote>
  <w:footnote w:id="1">
    <w:p w14:paraId="7DD681BD" w14:textId="0B9F240C" w:rsidR="00B20F1E" w:rsidRPr="002B0549" w:rsidRDefault="00B20F1E" w:rsidP="00B20F1E">
      <w:pPr>
        <w:pStyle w:val="FootnoteText"/>
        <w:rPr>
          <w:lang w:val="es-ES"/>
        </w:rPr>
      </w:pPr>
      <w:r>
        <w:rPr>
          <w:rStyle w:val="FootnoteReference"/>
        </w:rPr>
        <w:footnoteRef/>
      </w:r>
      <w:r w:rsidR="00FD0242">
        <w:rPr>
          <w:lang w:val="es-ES"/>
        </w:rPr>
        <w:tab/>
      </w:r>
      <w:r w:rsidRPr="004D592F">
        <w:rPr>
          <w:lang w:val="es-ES"/>
        </w:rPr>
        <w:t xml:space="preserve">Unión Africana de Telecomunicaciones </w:t>
      </w:r>
      <w:r w:rsidRPr="002B0549">
        <w:rPr>
          <w:lang w:val="es-ES"/>
        </w:rPr>
        <w:t>(</w:t>
      </w:r>
      <w:hyperlink r:id="rId1" w:history="1">
        <w:r w:rsidRPr="002B0549">
          <w:rPr>
            <w:rStyle w:val="Hyperlink"/>
            <w:lang w:val="es-ES"/>
          </w:rPr>
          <w:t>https://atuuat.africa/</w:t>
        </w:r>
      </w:hyperlink>
      <w:r w:rsidRPr="002B0549">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6A8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70A4E03C" w14:textId="01BE81D1" w:rsidR="0077084A" w:rsidRDefault="006775FB" w:rsidP="00A4450C">
    <w:pPr>
      <w:pStyle w:val="Header"/>
      <w:rPr>
        <w:lang w:val="en-US"/>
      </w:rPr>
    </w:pPr>
    <w:r>
      <w:rPr>
        <w:lang w:val="en-US"/>
      </w:rPr>
      <w:t>WRC</w:t>
    </w:r>
    <w:r w:rsidR="00C97A88">
      <w:rPr>
        <w:lang w:val="en-US"/>
      </w:rPr>
      <w:t>23</w:t>
    </w:r>
    <w:r w:rsidR="00C918CF">
      <w:rPr>
        <w:lang w:val="en-US"/>
      </w:rPr>
      <w:t>/</w:t>
    </w:r>
    <w:r w:rsidR="00CB3DB9">
      <w:rPr>
        <w:lang w:val="en-US"/>
      </w:rPr>
      <w:t>87</w:t>
    </w:r>
    <w:r w:rsidR="00C918CF">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17A"/>
    <w:multiLevelType w:val="multilevel"/>
    <w:tmpl w:val="C56AFFC8"/>
    <w:lvl w:ilvl="0">
      <w:start w:val="1"/>
      <w:numFmt w:val="decimal"/>
      <w:lvlText w:val="%1."/>
      <w:lvlJc w:val="left"/>
      <w:pPr>
        <w:ind w:left="718" w:hanging="360"/>
      </w:pPr>
      <w:rPr>
        <w:sz w:val="24"/>
        <w:szCs w:val="24"/>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034340D9"/>
    <w:multiLevelType w:val="multilevel"/>
    <w:tmpl w:val="28F6E900"/>
    <w:lvl w:ilvl="0">
      <w:start w:val="2"/>
      <w:numFmt w:val="decimal"/>
      <w:pStyle w:val="apm15-4"/>
      <w:lvlText w:val="%1."/>
      <w:lvlJc w:val="left"/>
      <w:pPr>
        <w:ind w:left="1080" w:hanging="360"/>
      </w:pPr>
      <w:rPr>
        <w:b w:val="0"/>
      </w:rPr>
    </w:lvl>
    <w:lvl w:ilvl="1">
      <w:start w:val="1"/>
      <w:numFmt w:val="decimal"/>
      <w:lvlText w:val="%1.%2"/>
      <w:lvlJc w:val="left"/>
      <w:pPr>
        <w:ind w:left="1494" w:hanging="360"/>
      </w:pPr>
      <w:rPr>
        <w:i w:val="0"/>
      </w:rPr>
    </w:lvl>
    <w:lvl w:ilvl="2">
      <w:start w:val="1"/>
      <w:numFmt w:val="decimal"/>
      <w:lvlText w:val="%1.%2.%3"/>
      <w:lvlJc w:val="left"/>
      <w:pPr>
        <w:ind w:left="2268" w:hanging="720"/>
      </w:pPr>
    </w:lvl>
    <w:lvl w:ilvl="3">
      <w:start w:val="1"/>
      <w:numFmt w:val="decimal"/>
      <w:lvlText w:val="%1.%2.%3.%4"/>
      <w:lvlJc w:val="left"/>
      <w:pPr>
        <w:ind w:left="2682" w:hanging="720"/>
      </w:pPr>
    </w:lvl>
    <w:lvl w:ilvl="4">
      <w:start w:val="1"/>
      <w:numFmt w:val="decimal"/>
      <w:lvlText w:val="%1.%2.%3.%4.%5"/>
      <w:lvlJc w:val="left"/>
      <w:pPr>
        <w:ind w:left="3456" w:hanging="1080"/>
      </w:pPr>
    </w:lvl>
    <w:lvl w:ilvl="5">
      <w:start w:val="1"/>
      <w:numFmt w:val="decimal"/>
      <w:lvlText w:val="%1.%2.%3.%4.%5.%6"/>
      <w:lvlJc w:val="left"/>
      <w:pPr>
        <w:ind w:left="3870" w:hanging="1080"/>
      </w:pPr>
    </w:lvl>
    <w:lvl w:ilvl="6">
      <w:start w:val="1"/>
      <w:numFmt w:val="decimal"/>
      <w:lvlText w:val="%1.%2.%3.%4.%5.%6.%7"/>
      <w:lvlJc w:val="left"/>
      <w:pPr>
        <w:ind w:left="4644" w:hanging="1440"/>
      </w:pPr>
    </w:lvl>
    <w:lvl w:ilvl="7">
      <w:start w:val="1"/>
      <w:numFmt w:val="decimal"/>
      <w:lvlText w:val="%1.%2.%3.%4.%5.%6.%7.%8"/>
      <w:lvlJc w:val="left"/>
      <w:pPr>
        <w:ind w:left="5058" w:hanging="1440"/>
      </w:pPr>
    </w:lvl>
    <w:lvl w:ilvl="8">
      <w:start w:val="1"/>
      <w:numFmt w:val="decimal"/>
      <w:lvlText w:val="%1.%2.%3.%4.%5.%6.%7.%8.%9"/>
      <w:lvlJc w:val="left"/>
      <w:pPr>
        <w:ind w:left="5472" w:hanging="1439"/>
      </w:pPr>
    </w:lvl>
  </w:abstractNum>
  <w:abstractNum w:abstractNumId="2" w15:restartNumberingAfterBreak="0">
    <w:nsid w:val="03CA1A08"/>
    <w:multiLevelType w:val="multilevel"/>
    <w:tmpl w:val="AE6CF58E"/>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082642F6"/>
    <w:multiLevelType w:val="multilevel"/>
    <w:tmpl w:val="22625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BB2879"/>
    <w:multiLevelType w:val="hybridMultilevel"/>
    <w:tmpl w:val="AFA288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C618E"/>
    <w:multiLevelType w:val="multilevel"/>
    <w:tmpl w:val="A2AAE4D8"/>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366328"/>
    <w:multiLevelType w:val="multilevel"/>
    <w:tmpl w:val="899A62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E26D26"/>
    <w:multiLevelType w:val="multilevel"/>
    <w:tmpl w:val="55260330"/>
    <w:lvl w:ilvl="0">
      <w:start w:val="1"/>
      <w:numFmt w:val="decimal"/>
      <w:lvlText w:val="%1."/>
      <w:lvlJc w:val="left"/>
      <w:pPr>
        <w:ind w:left="-764" w:hanging="360"/>
      </w:pPr>
    </w:lvl>
    <w:lvl w:ilvl="1">
      <w:start w:val="1"/>
      <w:numFmt w:val="bullet"/>
      <w:lvlText w:val="o"/>
      <w:lvlJc w:val="left"/>
      <w:pPr>
        <w:ind w:left="-44" w:hanging="360"/>
      </w:pPr>
      <w:rPr>
        <w:rFonts w:ascii="Courier New" w:eastAsia="Courier New" w:hAnsi="Courier New" w:cs="Courier New"/>
      </w:rPr>
    </w:lvl>
    <w:lvl w:ilvl="2">
      <w:start w:val="1"/>
      <w:numFmt w:val="bullet"/>
      <w:lvlText w:val="▪"/>
      <w:lvlJc w:val="left"/>
      <w:pPr>
        <w:ind w:left="676" w:hanging="360"/>
      </w:pPr>
      <w:rPr>
        <w:rFonts w:ascii="Noto Sans Symbols" w:eastAsia="Noto Sans Symbols" w:hAnsi="Noto Sans Symbols" w:cs="Noto Sans Symbols"/>
      </w:rPr>
    </w:lvl>
    <w:lvl w:ilvl="3">
      <w:start w:val="1"/>
      <w:numFmt w:val="bullet"/>
      <w:lvlText w:val="●"/>
      <w:lvlJc w:val="left"/>
      <w:pPr>
        <w:ind w:left="1396" w:hanging="360"/>
      </w:pPr>
      <w:rPr>
        <w:rFonts w:ascii="Noto Sans Symbols" w:eastAsia="Noto Sans Symbols" w:hAnsi="Noto Sans Symbols" w:cs="Noto Sans Symbols"/>
      </w:rPr>
    </w:lvl>
    <w:lvl w:ilvl="4">
      <w:start w:val="1"/>
      <w:numFmt w:val="bullet"/>
      <w:lvlText w:val="o"/>
      <w:lvlJc w:val="left"/>
      <w:pPr>
        <w:ind w:left="2116" w:hanging="360"/>
      </w:pPr>
      <w:rPr>
        <w:rFonts w:ascii="Courier New" w:eastAsia="Courier New" w:hAnsi="Courier New" w:cs="Courier New"/>
      </w:rPr>
    </w:lvl>
    <w:lvl w:ilvl="5">
      <w:start w:val="1"/>
      <w:numFmt w:val="bullet"/>
      <w:lvlText w:val="▪"/>
      <w:lvlJc w:val="left"/>
      <w:pPr>
        <w:ind w:left="2836" w:hanging="360"/>
      </w:pPr>
      <w:rPr>
        <w:rFonts w:ascii="Noto Sans Symbols" w:eastAsia="Noto Sans Symbols" w:hAnsi="Noto Sans Symbols" w:cs="Noto Sans Symbols"/>
      </w:rPr>
    </w:lvl>
    <w:lvl w:ilvl="6">
      <w:start w:val="1"/>
      <w:numFmt w:val="bullet"/>
      <w:lvlText w:val="●"/>
      <w:lvlJc w:val="left"/>
      <w:pPr>
        <w:ind w:left="3556" w:hanging="360"/>
      </w:pPr>
      <w:rPr>
        <w:rFonts w:ascii="Noto Sans Symbols" w:eastAsia="Noto Sans Symbols" w:hAnsi="Noto Sans Symbols" w:cs="Noto Sans Symbols"/>
      </w:rPr>
    </w:lvl>
    <w:lvl w:ilvl="7">
      <w:start w:val="1"/>
      <w:numFmt w:val="bullet"/>
      <w:lvlText w:val="o"/>
      <w:lvlJc w:val="left"/>
      <w:pPr>
        <w:ind w:left="4276" w:hanging="360"/>
      </w:pPr>
      <w:rPr>
        <w:rFonts w:ascii="Courier New" w:eastAsia="Courier New" w:hAnsi="Courier New" w:cs="Courier New"/>
      </w:rPr>
    </w:lvl>
    <w:lvl w:ilvl="8">
      <w:start w:val="1"/>
      <w:numFmt w:val="bullet"/>
      <w:lvlText w:val="▪"/>
      <w:lvlJc w:val="left"/>
      <w:pPr>
        <w:ind w:left="4996" w:hanging="360"/>
      </w:pPr>
      <w:rPr>
        <w:rFonts w:ascii="Noto Sans Symbols" w:eastAsia="Noto Sans Symbols" w:hAnsi="Noto Sans Symbols" w:cs="Noto Sans Symbols"/>
      </w:rPr>
    </w:lvl>
  </w:abstractNum>
  <w:abstractNum w:abstractNumId="8" w15:restartNumberingAfterBreak="0">
    <w:nsid w:val="15B45921"/>
    <w:multiLevelType w:val="multilevel"/>
    <w:tmpl w:val="176290EA"/>
    <w:lvl w:ilvl="0">
      <w:start w:val="1"/>
      <w:numFmt w:val="decimal"/>
      <w:lvlText w:val="%1."/>
      <w:lvlJc w:val="left"/>
      <w:pPr>
        <w:ind w:left="718" w:hanging="360"/>
      </w:pPr>
      <w:rPr>
        <w:sz w:val="24"/>
        <w:szCs w:val="24"/>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9" w15:restartNumberingAfterBreak="0">
    <w:nsid w:val="17BF2508"/>
    <w:multiLevelType w:val="multilevel"/>
    <w:tmpl w:val="B5A02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5819FA"/>
    <w:multiLevelType w:val="multilevel"/>
    <w:tmpl w:val="5DF608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83EE4"/>
    <w:multiLevelType w:val="multilevel"/>
    <w:tmpl w:val="D3EEE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C65FA4"/>
    <w:multiLevelType w:val="multilevel"/>
    <w:tmpl w:val="CAFA5326"/>
    <w:lvl w:ilvl="0">
      <w:start w:val="1"/>
      <w:numFmt w:val="decimal"/>
      <w:lvlText w:val="%1."/>
      <w:lvlJc w:val="left"/>
      <w:pPr>
        <w:ind w:left="-764" w:hanging="360"/>
      </w:pPr>
    </w:lvl>
    <w:lvl w:ilvl="1">
      <w:start w:val="1"/>
      <w:numFmt w:val="bullet"/>
      <w:lvlText w:val="o"/>
      <w:lvlJc w:val="left"/>
      <w:pPr>
        <w:ind w:left="-44" w:hanging="360"/>
      </w:pPr>
      <w:rPr>
        <w:rFonts w:ascii="Courier New" w:eastAsia="Courier New" w:hAnsi="Courier New" w:cs="Courier New"/>
      </w:rPr>
    </w:lvl>
    <w:lvl w:ilvl="2">
      <w:start w:val="1"/>
      <w:numFmt w:val="bullet"/>
      <w:lvlText w:val="▪"/>
      <w:lvlJc w:val="left"/>
      <w:pPr>
        <w:ind w:left="676" w:hanging="360"/>
      </w:pPr>
      <w:rPr>
        <w:rFonts w:ascii="Noto Sans Symbols" w:eastAsia="Noto Sans Symbols" w:hAnsi="Noto Sans Symbols" w:cs="Noto Sans Symbols"/>
      </w:rPr>
    </w:lvl>
    <w:lvl w:ilvl="3">
      <w:start w:val="1"/>
      <w:numFmt w:val="bullet"/>
      <w:lvlText w:val="●"/>
      <w:lvlJc w:val="left"/>
      <w:pPr>
        <w:ind w:left="1396" w:hanging="360"/>
      </w:pPr>
      <w:rPr>
        <w:rFonts w:ascii="Noto Sans Symbols" w:eastAsia="Noto Sans Symbols" w:hAnsi="Noto Sans Symbols" w:cs="Noto Sans Symbols"/>
      </w:rPr>
    </w:lvl>
    <w:lvl w:ilvl="4">
      <w:start w:val="1"/>
      <w:numFmt w:val="bullet"/>
      <w:lvlText w:val="o"/>
      <w:lvlJc w:val="left"/>
      <w:pPr>
        <w:ind w:left="2116" w:hanging="360"/>
      </w:pPr>
      <w:rPr>
        <w:rFonts w:ascii="Courier New" w:eastAsia="Courier New" w:hAnsi="Courier New" w:cs="Courier New"/>
      </w:rPr>
    </w:lvl>
    <w:lvl w:ilvl="5">
      <w:start w:val="1"/>
      <w:numFmt w:val="bullet"/>
      <w:lvlText w:val="▪"/>
      <w:lvlJc w:val="left"/>
      <w:pPr>
        <w:ind w:left="2836" w:hanging="360"/>
      </w:pPr>
      <w:rPr>
        <w:rFonts w:ascii="Noto Sans Symbols" w:eastAsia="Noto Sans Symbols" w:hAnsi="Noto Sans Symbols" w:cs="Noto Sans Symbols"/>
      </w:rPr>
    </w:lvl>
    <w:lvl w:ilvl="6">
      <w:start w:val="1"/>
      <w:numFmt w:val="bullet"/>
      <w:lvlText w:val="●"/>
      <w:lvlJc w:val="left"/>
      <w:pPr>
        <w:ind w:left="3556" w:hanging="360"/>
      </w:pPr>
      <w:rPr>
        <w:rFonts w:ascii="Noto Sans Symbols" w:eastAsia="Noto Sans Symbols" w:hAnsi="Noto Sans Symbols" w:cs="Noto Sans Symbols"/>
      </w:rPr>
    </w:lvl>
    <w:lvl w:ilvl="7">
      <w:start w:val="1"/>
      <w:numFmt w:val="bullet"/>
      <w:lvlText w:val="o"/>
      <w:lvlJc w:val="left"/>
      <w:pPr>
        <w:ind w:left="4276" w:hanging="360"/>
      </w:pPr>
      <w:rPr>
        <w:rFonts w:ascii="Courier New" w:eastAsia="Courier New" w:hAnsi="Courier New" w:cs="Courier New"/>
      </w:rPr>
    </w:lvl>
    <w:lvl w:ilvl="8">
      <w:start w:val="1"/>
      <w:numFmt w:val="bullet"/>
      <w:lvlText w:val="▪"/>
      <w:lvlJc w:val="left"/>
      <w:pPr>
        <w:ind w:left="4996" w:hanging="360"/>
      </w:pPr>
      <w:rPr>
        <w:rFonts w:ascii="Noto Sans Symbols" w:eastAsia="Noto Sans Symbols" w:hAnsi="Noto Sans Symbols" w:cs="Noto Sans Symbols"/>
      </w:rPr>
    </w:lvl>
  </w:abstractNum>
  <w:abstractNum w:abstractNumId="13" w15:restartNumberingAfterBreak="0">
    <w:nsid w:val="1E212007"/>
    <w:multiLevelType w:val="multilevel"/>
    <w:tmpl w:val="E8744ED6"/>
    <w:lvl w:ilvl="0">
      <w:start w:val="1"/>
      <w:numFmt w:val="decimal"/>
      <w:lvlText w:val="%1."/>
      <w:lvlJc w:val="left"/>
      <w:pPr>
        <w:ind w:left="720" w:hanging="360"/>
      </w:pPr>
    </w:lvl>
    <w:lvl w:ilvl="1">
      <w:start w:val="1"/>
      <w:numFmt w:val="lowerRoman"/>
      <w:lvlText w:val="%2."/>
      <w:lvlJc w:val="right"/>
      <w:pPr>
        <w:ind w:left="1440" w:hanging="360"/>
      </w:pPr>
    </w:lvl>
    <w:lvl w:ilvl="2">
      <w:numFmt w:val="bullet"/>
      <w:lvlText w:val="-"/>
      <w:lvlJc w:val="left"/>
      <w:pPr>
        <w:ind w:left="2340" w:hanging="360"/>
      </w:pPr>
      <w:rPr>
        <w:rFonts w:ascii="Calibri" w:eastAsia="Calibri" w:hAnsi="Calibri" w:cs="Calibri"/>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572D41"/>
    <w:multiLevelType w:val="multilevel"/>
    <w:tmpl w:val="A94083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8D24C93"/>
    <w:multiLevelType w:val="multilevel"/>
    <w:tmpl w:val="D424F2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96A0E79"/>
    <w:multiLevelType w:val="multilevel"/>
    <w:tmpl w:val="B6AED85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7" w15:restartNumberingAfterBreak="0">
    <w:nsid w:val="2A36220F"/>
    <w:multiLevelType w:val="multilevel"/>
    <w:tmpl w:val="8CC850BE"/>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E0E7AC0"/>
    <w:multiLevelType w:val="multilevel"/>
    <w:tmpl w:val="E2AA216C"/>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E5B0BE9"/>
    <w:multiLevelType w:val="multilevel"/>
    <w:tmpl w:val="24986880"/>
    <w:lvl w:ilvl="0">
      <w:start w:val="1"/>
      <w:numFmt w:val="decimal"/>
      <w:lvlText w:val="%1."/>
      <w:lvlJc w:val="left"/>
      <w:pPr>
        <w:ind w:left="360" w:hanging="360"/>
      </w:pPr>
      <w:rPr>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4810786"/>
    <w:multiLevelType w:val="multilevel"/>
    <w:tmpl w:val="8B5269FA"/>
    <w:lvl w:ilvl="0">
      <w:start w:val="1"/>
      <w:numFmt w:val="lowerLetter"/>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2624B4"/>
    <w:multiLevelType w:val="multilevel"/>
    <w:tmpl w:val="91222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653E12"/>
    <w:multiLevelType w:val="multilevel"/>
    <w:tmpl w:val="051C3EF6"/>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F946524"/>
    <w:multiLevelType w:val="multilevel"/>
    <w:tmpl w:val="E3C0B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9F7C17"/>
    <w:multiLevelType w:val="multilevel"/>
    <w:tmpl w:val="C7442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D26BF8"/>
    <w:multiLevelType w:val="multilevel"/>
    <w:tmpl w:val="BF7ED38A"/>
    <w:lvl w:ilvl="0">
      <w:start w:val="1"/>
      <w:numFmt w:val="decimal"/>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384631A"/>
    <w:multiLevelType w:val="multilevel"/>
    <w:tmpl w:val="6ADE4038"/>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7" w15:restartNumberingAfterBreak="0">
    <w:nsid w:val="444601EC"/>
    <w:multiLevelType w:val="hybridMultilevel"/>
    <w:tmpl w:val="F34C2F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4C45104"/>
    <w:multiLevelType w:val="multilevel"/>
    <w:tmpl w:val="9C40B0D0"/>
    <w:lvl w:ilvl="0">
      <w:start w:val="1"/>
      <w:numFmt w:val="decimal"/>
      <w:lvlText w:val="%1."/>
      <w:lvlJc w:val="left"/>
      <w:pPr>
        <w:ind w:left="360" w:hanging="360"/>
      </w:pPr>
      <w:rPr>
        <w:rFonts w:ascii="Noto Sans Symbols" w:eastAsia="Noto Sans Symbols" w:hAnsi="Noto Sans Symbols" w:cs="Noto Sans Symbols"/>
      </w:rPr>
    </w:lvl>
    <w:lvl w:ilvl="1">
      <w:start w:val="1"/>
      <w:numFmt w:val="lowerLetter"/>
      <w:lvlText w:val="%2."/>
      <w:lvlJc w:val="left"/>
      <w:pPr>
        <w:ind w:left="720" w:hanging="360"/>
      </w:pPr>
      <w:rPr>
        <w:rFonts w:ascii="Noto Sans Symbols" w:eastAsia="Noto Sans Symbols" w:hAnsi="Noto Sans Symbols" w:cs="Noto Sans Symbols"/>
      </w:rPr>
    </w:lvl>
    <w:lvl w:ilvl="2">
      <w:start w:val="1"/>
      <w:numFmt w:val="lowerRoman"/>
      <w:lvlText w:val="%3."/>
      <w:lvlJc w:val="right"/>
      <w:pPr>
        <w:ind w:left="1800" w:hanging="360"/>
      </w:pPr>
      <w:rPr>
        <w:rFonts w:ascii="Noto Sans Symbols" w:eastAsia="Noto Sans Symbols" w:hAnsi="Noto Sans Symbols" w:cs="Noto Sans Symbols"/>
      </w:rPr>
    </w:lvl>
    <w:lvl w:ilvl="3">
      <w:start w:val="1"/>
      <w:numFmt w:val="decimal"/>
      <w:lvlText w:val="%4."/>
      <w:lvlJc w:val="left"/>
      <w:pPr>
        <w:ind w:left="2520" w:hanging="360"/>
      </w:pPr>
      <w:rPr>
        <w:rFonts w:ascii="Noto Sans Symbols" w:eastAsia="Noto Sans Symbols" w:hAnsi="Noto Sans Symbols" w:cs="Noto Sans Symbols"/>
      </w:rPr>
    </w:lvl>
    <w:lvl w:ilvl="4">
      <w:start w:val="1"/>
      <w:numFmt w:val="lowerLetter"/>
      <w:lvlText w:val="%5."/>
      <w:lvlJc w:val="left"/>
      <w:pPr>
        <w:ind w:left="3240" w:hanging="360"/>
      </w:pPr>
      <w:rPr>
        <w:rFonts w:ascii="Courier New" w:eastAsia="Courier New" w:hAnsi="Courier New" w:cs="Courier New"/>
      </w:rPr>
    </w:lvl>
    <w:lvl w:ilvl="5">
      <w:start w:val="1"/>
      <w:numFmt w:val="lowerRoman"/>
      <w:lvlText w:val="%6."/>
      <w:lvlJc w:val="right"/>
      <w:pPr>
        <w:ind w:left="3960" w:hanging="360"/>
      </w:pPr>
      <w:rPr>
        <w:rFonts w:ascii="Noto Sans Symbols" w:eastAsia="Noto Sans Symbols" w:hAnsi="Noto Sans Symbols" w:cs="Noto Sans Symbols"/>
      </w:rPr>
    </w:lvl>
    <w:lvl w:ilvl="6">
      <w:start w:val="1"/>
      <w:numFmt w:val="decimal"/>
      <w:lvlText w:val="%7."/>
      <w:lvlJc w:val="left"/>
      <w:pPr>
        <w:ind w:left="4680" w:hanging="360"/>
      </w:pPr>
      <w:rPr>
        <w:rFonts w:ascii="Noto Sans Symbols" w:eastAsia="Noto Sans Symbols" w:hAnsi="Noto Sans Symbols" w:cs="Noto Sans Symbols"/>
      </w:rPr>
    </w:lvl>
    <w:lvl w:ilvl="7">
      <w:start w:val="1"/>
      <w:numFmt w:val="lowerLetter"/>
      <w:lvlText w:val="%8."/>
      <w:lvlJc w:val="left"/>
      <w:pPr>
        <w:ind w:left="5400" w:hanging="360"/>
      </w:pPr>
      <w:rPr>
        <w:rFonts w:ascii="Courier New" w:eastAsia="Courier New" w:hAnsi="Courier New" w:cs="Courier New"/>
      </w:rPr>
    </w:lvl>
    <w:lvl w:ilvl="8">
      <w:start w:val="1"/>
      <w:numFmt w:val="lowerRoman"/>
      <w:lvlText w:val="%9."/>
      <w:lvlJc w:val="right"/>
      <w:pPr>
        <w:ind w:left="6120" w:hanging="360"/>
      </w:pPr>
      <w:rPr>
        <w:rFonts w:ascii="Noto Sans Symbols" w:eastAsia="Noto Sans Symbols" w:hAnsi="Noto Sans Symbols" w:cs="Noto Sans Symbols"/>
      </w:rPr>
    </w:lvl>
  </w:abstractNum>
  <w:abstractNum w:abstractNumId="29" w15:restartNumberingAfterBreak="0">
    <w:nsid w:val="45B6217A"/>
    <w:multiLevelType w:val="multilevel"/>
    <w:tmpl w:val="E52C9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91794B"/>
    <w:multiLevelType w:val="multilevel"/>
    <w:tmpl w:val="1CB4B0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1120CB"/>
    <w:multiLevelType w:val="multilevel"/>
    <w:tmpl w:val="9A4AA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675A21"/>
    <w:multiLevelType w:val="multilevel"/>
    <w:tmpl w:val="E6F83BAC"/>
    <w:lvl w:ilvl="0">
      <w:start w:val="1"/>
      <w:numFmt w:val="decimal"/>
      <w:lvlText w:val="%1."/>
      <w:lvlJc w:val="left"/>
      <w:pPr>
        <w:ind w:left="-764" w:hanging="360"/>
      </w:pPr>
    </w:lvl>
    <w:lvl w:ilvl="1">
      <w:start w:val="1"/>
      <w:numFmt w:val="bullet"/>
      <w:lvlText w:val="o"/>
      <w:lvlJc w:val="left"/>
      <w:pPr>
        <w:ind w:left="-44" w:hanging="360"/>
      </w:pPr>
      <w:rPr>
        <w:rFonts w:ascii="Courier New" w:eastAsia="Courier New" w:hAnsi="Courier New" w:cs="Courier New"/>
      </w:rPr>
    </w:lvl>
    <w:lvl w:ilvl="2">
      <w:start w:val="1"/>
      <w:numFmt w:val="bullet"/>
      <w:lvlText w:val="▪"/>
      <w:lvlJc w:val="left"/>
      <w:pPr>
        <w:ind w:left="676" w:hanging="360"/>
      </w:pPr>
      <w:rPr>
        <w:rFonts w:ascii="Noto Sans Symbols" w:eastAsia="Noto Sans Symbols" w:hAnsi="Noto Sans Symbols" w:cs="Noto Sans Symbols"/>
      </w:rPr>
    </w:lvl>
    <w:lvl w:ilvl="3">
      <w:start w:val="1"/>
      <w:numFmt w:val="bullet"/>
      <w:lvlText w:val="●"/>
      <w:lvlJc w:val="left"/>
      <w:pPr>
        <w:ind w:left="1396" w:hanging="360"/>
      </w:pPr>
      <w:rPr>
        <w:rFonts w:ascii="Noto Sans Symbols" w:eastAsia="Noto Sans Symbols" w:hAnsi="Noto Sans Symbols" w:cs="Noto Sans Symbols"/>
      </w:rPr>
    </w:lvl>
    <w:lvl w:ilvl="4">
      <w:start w:val="1"/>
      <w:numFmt w:val="bullet"/>
      <w:lvlText w:val="o"/>
      <w:lvlJc w:val="left"/>
      <w:pPr>
        <w:ind w:left="2116" w:hanging="360"/>
      </w:pPr>
      <w:rPr>
        <w:rFonts w:ascii="Courier New" w:eastAsia="Courier New" w:hAnsi="Courier New" w:cs="Courier New"/>
      </w:rPr>
    </w:lvl>
    <w:lvl w:ilvl="5">
      <w:start w:val="1"/>
      <w:numFmt w:val="bullet"/>
      <w:lvlText w:val="▪"/>
      <w:lvlJc w:val="left"/>
      <w:pPr>
        <w:ind w:left="2836" w:hanging="360"/>
      </w:pPr>
      <w:rPr>
        <w:rFonts w:ascii="Noto Sans Symbols" w:eastAsia="Noto Sans Symbols" w:hAnsi="Noto Sans Symbols" w:cs="Noto Sans Symbols"/>
      </w:rPr>
    </w:lvl>
    <w:lvl w:ilvl="6">
      <w:start w:val="1"/>
      <w:numFmt w:val="bullet"/>
      <w:lvlText w:val="●"/>
      <w:lvlJc w:val="left"/>
      <w:pPr>
        <w:ind w:left="3556" w:hanging="360"/>
      </w:pPr>
      <w:rPr>
        <w:rFonts w:ascii="Noto Sans Symbols" w:eastAsia="Noto Sans Symbols" w:hAnsi="Noto Sans Symbols" w:cs="Noto Sans Symbols"/>
      </w:rPr>
    </w:lvl>
    <w:lvl w:ilvl="7">
      <w:start w:val="1"/>
      <w:numFmt w:val="bullet"/>
      <w:lvlText w:val="o"/>
      <w:lvlJc w:val="left"/>
      <w:pPr>
        <w:ind w:left="4276" w:hanging="360"/>
      </w:pPr>
      <w:rPr>
        <w:rFonts w:ascii="Courier New" w:eastAsia="Courier New" w:hAnsi="Courier New" w:cs="Courier New"/>
      </w:rPr>
    </w:lvl>
    <w:lvl w:ilvl="8">
      <w:start w:val="1"/>
      <w:numFmt w:val="bullet"/>
      <w:lvlText w:val="▪"/>
      <w:lvlJc w:val="left"/>
      <w:pPr>
        <w:ind w:left="4996" w:hanging="360"/>
      </w:pPr>
      <w:rPr>
        <w:rFonts w:ascii="Noto Sans Symbols" w:eastAsia="Noto Sans Symbols" w:hAnsi="Noto Sans Symbols" w:cs="Noto Sans Symbols"/>
      </w:rPr>
    </w:lvl>
  </w:abstractNum>
  <w:abstractNum w:abstractNumId="33" w15:restartNumberingAfterBreak="0">
    <w:nsid w:val="4D934872"/>
    <w:multiLevelType w:val="multilevel"/>
    <w:tmpl w:val="19926548"/>
    <w:lvl w:ilvl="0">
      <w:start w:val="1"/>
      <w:numFmt w:val="decimal"/>
      <w:pStyle w:val="ECCBulletsLv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8F55F0"/>
    <w:multiLevelType w:val="multilevel"/>
    <w:tmpl w:val="519EADFE"/>
    <w:lvl w:ilvl="0">
      <w:start w:val="1"/>
      <w:numFmt w:val="lowerLetter"/>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FC62771"/>
    <w:multiLevelType w:val="multilevel"/>
    <w:tmpl w:val="BA468CBA"/>
    <w:lvl w:ilvl="0">
      <w:start w:val="1"/>
      <w:numFmt w:val="decimal"/>
      <w:lvlText w:val="%1."/>
      <w:lvlJc w:val="left"/>
      <w:pPr>
        <w:ind w:left="2520" w:hanging="360"/>
      </w:pPr>
      <w:rPr>
        <w:sz w:val="22"/>
        <w:szCs w:val="22"/>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36" w15:restartNumberingAfterBreak="0">
    <w:nsid w:val="5388531C"/>
    <w:multiLevelType w:val="multilevel"/>
    <w:tmpl w:val="4628BC8C"/>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A123A2F"/>
    <w:multiLevelType w:val="multilevel"/>
    <w:tmpl w:val="DD42B7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AE3705B"/>
    <w:multiLevelType w:val="multilevel"/>
    <w:tmpl w:val="45DA0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B771CF1"/>
    <w:multiLevelType w:val="multilevel"/>
    <w:tmpl w:val="03481CE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C06027"/>
    <w:multiLevelType w:val="multilevel"/>
    <w:tmpl w:val="E84C61A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3A34F7"/>
    <w:multiLevelType w:val="multilevel"/>
    <w:tmpl w:val="44F60042"/>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622A2873"/>
    <w:multiLevelType w:val="multilevel"/>
    <w:tmpl w:val="1BB68824"/>
    <w:lvl w:ilvl="0">
      <w:start w:val="1"/>
      <w:numFmt w:val="decimal"/>
      <w:lvlText w:val="%1."/>
      <w:lvlJc w:val="left"/>
      <w:pPr>
        <w:ind w:left="-764" w:hanging="360"/>
      </w:pPr>
    </w:lvl>
    <w:lvl w:ilvl="1">
      <w:start w:val="1"/>
      <w:numFmt w:val="bullet"/>
      <w:lvlText w:val="o"/>
      <w:lvlJc w:val="left"/>
      <w:pPr>
        <w:ind w:left="-44" w:hanging="360"/>
      </w:pPr>
      <w:rPr>
        <w:rFonts w:ascii="Courier New" w:eastAsia="Courier New" w:hAnsi="Courier New" w:cs="Courier New"/>
      </w:rPr>
    </w:lvl>
    <w:lvl w:ilvl="2">
      <w:start w:val="1"/>
      <w:numFmt w:val="bullet"/>
      <w:lvlText w:val="▪"/>
      <w:lvlJc w:val="left"/>
      <w:pPr>
        <w:ind w:left="676" w:hanging="360"/>
      </w:pPr>
      <w:rPr>
        <w:rFonts w:ascii="Noto Sans Symbols" w:eastAsia="Noto Sans Symbols" w:hAnsi="Noto Sans Symbols" w:cs="Noto Sans Symbols"/>
      </w:rPr>
    </w:lvl>
    <w:lvl w:ilvl="3">
      <w:start w:val="1"/>
      <w:numFmt w:val="bullet"/>
      <w:lvlText w:val="●"/>
      <w:lvlJc w:val="left"/>
      <w:pPr>
        <w:ind w:left="1396" w:hanging="360"/>
      </w:pPr>
      <w:rPr>
        <w:rFonts w:ascii="Noto Sans Symbols" w:eastAsia="Noto Sans Symbols" w:hAnsi="Noto Sans Symbols" w:cs="Noto Sans Symbols"/>
      </w:rPr>
    </w:lvl>
    <w:lvl w:ilvl="4">
      <w:start w:val="1"/>
      <w:numFmt w:val="bullet"/>
      <w:lvlText w:val="o"/>
      <w:lvlJc w:val="left"/>
      <w:pPr>
        <w:ind w:left="2116" w:hanging="360"/>
      </w:pPr>
      <w:rPr>
        <w:rFonts w:ascii="Courier New" w:eastAsia="Courier New" w:hAnsi="Courier New" w:cs="Courier New"/>
      </w:rPr>
    </w:lvl>
    <w:lvl w:ilvl="5">
      <w:start w:val="1"/>
      <w:numFmt w:val="bullet"/>
      <w:lvlText w:val="▪"/>
      <w:lvlJc w:val="left"/>
      <w:pPr>
        <w:ind w:left="2836" w:hanging="360"/>
      </w:pPr>
      <w:rPr>
        <w:rFonts w:ascii="Noto Sans Symbols" w:eastAsia="Noto Sans Symbols" w:hAnsi="Noto Sans Symbols" w:cs="Noto Sans Symbols"/>
      </w:rPr>
    </w:lvl>
    <w:lvl w:ilvl="6">
      <w:start w:val="1"/>
      <w:numFmt w:val="bullet"/>
      <w:lvlText w:val="●"/>
      <w:lvlJc w:val="left"/>
      <w:pPr>
        <w:ind w:left="3556" w:hanging="360"/>
      </w:pPr>
      <w:rPr>
        <w:rFonts w:ascii="Noto Sans Symbols" w:eastAsia="Noto Sans Symbols" w:hAnsi="Noto Sans Symbols" w:cs="Noto Sans Symbols"/>
      </w:rPr>
    </w:lvl>
    <w:lvl w:ilvl="7">
      <w:start w:val="1"/>
      <w:numFmt w:val="bullet"/>
      <w:lvlText w:val="o"/>
      <w:lvlJc w:val="left"/>
      <w:pPr>
        <w:ind w:left="4276" w:hanging="360"/>
      </w:pPr>
      <w:rPr>
        <w:rFonts w:ascii="Courier New" w:eastAsia="Courier New" w:hAnsi="Courier New" w:cs="Courier New"/>
      </w:rPr>
    </w:lvl>
    <w:lvl w:ilvl="8">
      <w:start w:val="1"/>
      <w:numFmt w:val="bullet"/>
      <w:lvlText w:val="▪"/>
      <w:lvlJc w:val="left"/>
      <w:pPr>
        <w:ind w:left="4996" w:hanging="360"/>
      </w:pPr>
      <w:rPr>
        <w:rFonts w:ascii="Noto Sans Symbols" w:eastAsia="Noto Sans Symbols" w:hAnsi="Noto Sans Symbols" w:cs="Noto Sans Symbols"/>
      </w:rPr>
    </w:lvl>
  </w:abstractNum>
  <w:abstractNum w:abstractNumId="43" w15:restartNumberingAfterBreak="0">
    <w:nsid w:val="63FB5F11"/>
    <w:multiLevelType w:val="multilevel"/>
    <w:tmpl w:val="C8B69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154EEF"/>
    <w:multiLevelType w:val="multilevel"/>
    <w:tmpl w:val="D9E01B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9D97AD5"/>
    <w:multiLevelType w:val="multilevel"/>
    <w:tmpl w:val="3794A0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A15776B"/>
    <w:multiLevelType w:val="multilevel"/>
    <w:tmpl w:val="0AB2B280"/>
    <w:lvl w:ilvl="0">
      <w:start w:val="1"/>
      <w:numFmt w:val="lowerLetter"/>
      <w:lvlText w:val="%1)"/>
      <w:lvlJc w:val="left"/>
      <w:pPr>
        <w:ind w:left="1364" w:hanging="360"/>
      </w:pPr>
      <w:rPr>
        <w:b w:val="0"/>
        <w:i w:val="0"/>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47" w15:restartNumberingAfterBreak="0">
    <w:nsid w:val="6F3E5D36"/>
    <w:multiLevelType w:val="multilevel"/>
    <w:tmpl w:val="3D5A0FD0"/>
    <w:lvl w:ilvl="0">
      <w:start w:val="1"/>
      <w:numFmt w:val="decimal"/>
      <w:pStyle w:val="Tapm15-4"/>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0D60AB6"/>
    <w:multiLevelType w:val="multilevel"/>
    <w:tmpl w:val="414A46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1093E40"/>
    <w:multiLevelType w:val="multilevel"/>
    <w:tmpl w:val="D4FC5F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45E013D"/>
    <w:multiLevelType w:val="multilevel"/>
    <w:tmpl w:val="53B0ED40"/>
    <w:lvl w:ilvl="0">
      <w:start w:val="1"/>
      <w:numFmt w:val="decimal"/>
      <w:lvlText w:val="%1."/>
      <w:lvlJc w:val="left"/>
      <w:pPr>
        <w:ind w:left="1440" w:hanging="360"/>
      </w:pPr>
    </w:lvl>
    <w:lvl w:ilvl="1">
      <w:start w:val="1"/>
      <w:numFmt w:val="decimal"/>
      <w:lvlText w:val="%2."/>
      <w:lvlJc w:val="left"/>
      <w:pPr>
        <w:ind w:left="1440" w:hanging="360"/>
      </w:pPr>
      <w:rPr>
        <w:rFonts w:ascii="Calibri" w:eastAsia="Calibri" w:hAnsi="Calibri" w:cs="Calibri"/>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51" w15:restartNumberingAfterBreak="0">
    <w:nsid w:val="76B548E9"/>
    <w:multiLevelType w:val="multilevel"/>
    <w:tmpl w:val="CE1A403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77C282E"/>
    <w:multiLevelType w:val="multilevel"/>
    <w:tmpl w:val="44F2561C"/>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A084EF2"/>
    <w:multiLevelType w:val="multilevel"/>
    <w:tmpl w:val="C0B205A4"/>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7B2047E6"/>
    <w:multiLevelType w:val="multilevel"/>
    <w:tmpl w:val="072EC516"/>
    <w:lvl w:ilvl="0">
      <w:numFmt w:val="bullet"/>
      <w:lvlText w:val="❑"/>
      <w:lvlJc w:val="left"/>
      <w:pPr>
        <w:ind w:left="828" w:hanging="360"/>
      </w:pPr>
      <w:rPr>
        <w:rFonts w:ascii="Noto Sans Symbols" w:eastAsia="Noto Sans Symbols" w:hAnsi="Noto Sans Symbols" w:cs="Noto Sans Symbols"/>
        <w:sz w:val="20"/>
        <w:szCs w:val="20"/>
      </w:rPr>
    </w:lvl>
    <w:lvl w:ilvl="1">
      <w:numFmt w:val="bullet"/>
      <w:lvlText w:val="•"/>
      <w:lvlJc w:val="left"/>
      <w:pPr>
        <w:ind w:left="1548" w:hanging="360"/>
      </w:pPr>
      <w:rPr>
        <w:rFonts w:ascii="Arial" w:eastAsia="Arial" w:hAnsi="Arial" w:cs="Arial"/>
        <w:sz w:val="20"/>
        <w:szCs w:val="20"/>
      </w:rPr>
    </w:lvl>
    <w:lvl w:ilvl="2">
      <w:numFmt w:val="bullet"/>
      <w:lvlText w:val="•"/>
      <w:lvlJc w:val="left"/>
      <w:pPr>
        <w:ind w:left="2186" w:hanging="360"/>
      </w:pPr>
    </w:lvl>
    <w:lvl w:ilvl="3">
      <w:numFmt w:val="bullet"/>
      <w:lvlText w:val="•"/>
      <w:lvlJc w:val="left"/>
      <w:pPr>
        <w:ind w:left="2833" w:hanging="360"/>
      </w:pPr>
    </w:lvl>
    <w:lvl w:ilvl="4">
      <w:numFmt w:val="bullet"/>
      <w:lvlText w:val="•"/>
      <w:lvlJc w:val="left"/>
      <w:pPr>
        <w:ind w:left="3480" w:hanging="360"/>
      </w:pPr>
    </w:lvl>
    <w:lvl w:ilvl="5">
      <w:numFmt w:val="bullet"/>
      <w:lvlText w:val="•"/>
      <w:lvlJc w:val="left"/>
      <w:pPr>
        <w:ind w:left="4127" w:hanging="360"/>
      </w:pPr>
    </w:lvl>
    <w:lvl w:ilvl="6">
      <w:numFmt w:val="bullet"/>
      <w:lvlText w:val="•"/>
      <w:lvlJc w:val="left"/>
      <w:pPr>
        <w:ind w:left="4773" w:hanging="360"/>
      </w:pPr>
    </w:lvl>
    <w:lvl w:ilvl="7">
      <w:numFmt w:val="bullet"/>
      <w:lvlText w:val="•"/>
      <w:lvlJc w:val="left"/>
      <w:pPr>
        <w:ind w:left="5420" w:hanging="360"/>
      </w:pPr>
    </w:lvl>
    <w:lvl w:ilvl="8">
      <w:numFmt w:val="bullet"/>
      <w:lvlText w:val="•"/>
      <w:lvlJc w:val="left"/>
      <w:pPr>
        <w:ind w:left="6067" w:hanging="360"/>
      </w:pPr>
    </w:lvl>
  </w:abstractNum>
  <w:abstractNum w:abstractNumId="55" w15:restartNumberingAfterBreak="0">
    <w:nsid w:val="7B750B8F"/>
    <w:multiLevelType w:val="multilevel"/>
    <w:tmpl w:val="409052F6"/>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7B8161AF"/>
    <w:multiLevelType w:val="multilevel"/>
    <w:tmpl w:val="A858B580"/>
    <w:lvl w:ilvl="0">
      <w:start w:val="1"/>
      <w:numFmt w:val="decimal"/>
      <w:lvlText w:val="%1."/>
      <w:lvlJc w:val="left"/>
      <w:pPr>
        <w:ind w:left="718" w:hanging="360"/>
      </w:pPr>
      <w:rPr>
        <w:i w:val="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16cid:durableId="1875074057">
    <w:abstractNumId w:val="47"/>
  </w:num>
  <w:num w:numId="2" w16cid:durableId="487790674">
    <w:abstractNumId w:val="51"/>
  </w:num>
  <w:num w:numId="3" w16cid:durableId="790437200">
    <w:abstractNumId w:val="15"/>
  </w:num>
  <w:num w:numId="4" w16cid:durableId="963728459">
    <w:abstractNumId w:val="38"/>
  </w:num>
  <w:num w:numId="5" w16cid:durableId="147868125">
    <w:abstractNumId w:val="43"/>
  </w:num>
  <w:num w:numId="6" w16cid:durableId="1492525116">
    <w:abstractNumId w:val="44"/>
  </w:num>
  <w:num w:numId="7" w16cid:durableId="1325352864">
    <w:abstractNumId w:val="3"/>
  </w:num>
  <w:num w:numId="8" w16cid:durableId="130489725">
    <w:abstractNumId w:val="31"/>
  </w:num>
  <w:num w:numId="9" w16cid:durableId="2117093089">
    <w:abstractNumId w:val="21"/>
  </w:num>
  <w:num w:numId="10" w16cid:durableId="1940603249">
    <w:abstractNumId w:val="33"/>
  </w:num>
  <w:num w:numId="11" w16cid:durableId="1413619764">
    <w:abstractNumId w:val="10"/>
  </w:num>
  <w:num w:numId="12" w16cid:durableId="610892503">
    <w:abstractNumId w:val="5"/>
  </w:num>
  <w:num w:numId="13" w16cid:durableId="1843156577">
    <w:abstractNumId w:val="48"/>
  </w:num>
  <w:num w:numId="14" w16cid:durableId="132451081">
    <w:abstractNumId w:val="37"/>
  </w:num>
  <w:num w:numId="15" w16cid:durableId="472908611">
    <w:abstractNumId w:val="1"/>
  </w:num>
  <w:num w:numId="16" w16cid:durableId="1666398586">
    <w:abstractNumId w:val="18"/>
  </w:num>
  <w:num w:numId="17" w16cid:durableId="1136558051">
    <w:abstractNumId w:val="29"/>
  </w:num>
  <w:num w:numId="18" w16cid:durableId="1968855761">
    <w:abstractNumId w:val="41"/>
  </w:num>
  <w:num w:numId="19" w16cid:durableId="1589730675">
    <w:abstractNumId w:val="0"/>
  </w:num>
  <w:num w:numId="20" w16cid:durableId="1573195013">
    <w:abstractNumId w:val="8"/>
  </w:num>
  <w:num w:numId="21" w16cid:durableId="437795178">
    <w:abstractNumId w:val="52"/>
  </w:num>
  <w:num w:numId="22" w16cid:durableId="1165129097">
    <w:abstractNumId w:val="40"/>
  </w:num>
  <w:num w:numId="23" w16cid:durableId="1780370970">
    <w:abstractNumId w:val="53"/>
  </w:num>
  <w:num w:numId="24" w16cid:durableId="1994942349">
    <w:abstractNumId w:val="46"/>
  </w:num>
  <w:num w:numId="25" w16cid:durableId="1788356717">
    <w:abstractNumId w:val="24"/>
  </w:num>
  <w:num w:numId="26" w16cid:durableId="515772770">
    <w:abstractNumId w:val="39"/>
  </w:num>
  <w:num w:numId="27" w16cid:durableId="283276008">
    <w:abstractNumId w:val="6"/>
  </w:num>
  <w:num w:numId="28" w16cid:durableId="2054307937">
    <w:abstractNumId w:val="34"/>
  </w:num>
  <w:num w:numId="29" w16cid:durableId="428552767">
    <w:abstractNumId w:val="20"/>
  </w:num>
  <w:num w:numId="30" w16cid:durableId="1266963891">
    <w:abstractNumId w:val="7"/>
  </w:num>
  <w:num w:numId="31" w16cid:durableId="2059550914">
    <w:abstractNumId w:val="32"/>
  </w:num>
  <w:num w:numId="32" w16cid:durableId="75177165">
    <w:abstractNumId w:val="42"/>
  </w:num>
  <w:num w:numId="33" w16cid:durableId="485361544">
    <w:abstractNumId w:val="12"/>
  </w:num>
  <w:num w:numId="34" w16cid:durableId="497967008">
    <w:abstractNumId w:val="19"/>
  </w:num>
  <w:num w:numId="35" w16cid:durableId="1441334142">
    <w:abstractNumId w:val="17"/>
  </w:num>
  <w:num w:numId="36" w16cid:durableId="613950500">
    <w:abstractNumId w:val="50"/>
  </w:num>
  <w:num w:numId="37" w16cid:durableId="563684128">
    <w:abstractNumId w:val="22"/>
  </w:num>
  <w:num w:numId="38" w16cid:durableId="693576818">
    <w:abstractNumId w:val="55"/>
  </w:num>
  <w:num w:numId="39" w16cid:durableId="1525440160">
    <w:abstractNumId w:val="11"/>
  </w:num>
  <w:num w:numId="40" w16cid:durableId="1818718271">
    <w:abstractNumId w:val="28"/>
  </w:num>
  <w:num w:numId="41" w16cid:durableId="1803689635">
    <w:abstractNumId w:val="26"/>
  </w:num>
  <w:num w:numId="42" w16cid:durableId="76633122">
    <w:abstractNumId w:val="2"/>
  </w:num>
  <w:num w:numId="43" w16cid:durableId="1854419941">
    <w:abstractNumId w:val="45"/>
  </w:num>
  <w:num w:numId="44" w16cid:durableId="73550800">
    <w:abstractNumId w:val="30"/>
  </w:num>
  <w:num w:numId="45" w16cid:durableId="643311581">
    <w:abstractNumId w:val="23"/>
  </w:num>
  <w:num w:numId="46" w16cid:durableId="231045604">
    <w:abstractNumId w:val="9"/>
  </w:num>
  <w:num w:numId="47" w16cid:durableId="1971398565">
    <w:abstractNumId w:val="13"/>
  </w:num>
  <w:num w:numId="48" w16cid:durableId="748310243">
    <w:abstractNumId w:val="54"/>
  </w:num>
  <w:num w:numId="49" w16cid:durableId="391394240">
    <w:abstractNumId w:val="16"/>
  </w:num>
  <w:num w:numId="50" w16cid:durableId="324088266">
    <w:abstractNumId w:val="35"/>
  </w:num>
  <w:num w:numId="51" w16cid:durableId="1226257707">
    <w:abstractNumId w:val="14"/>
  </w:num>
  <w:num w:numId="52" w16cid:durableId="1947888760">
    <w:abstractNumId w:val="36"/>
  </w:num>
  <w:num w:numId="53" w16cid:durableId="386339778">
    <w:abstractNumId w:val="56"/>
  </w:num>
  <w:num w:numId="54" w16cid:durableId="1030954120">
    <w:abstractNumId w:val="25"/>
  </w:num>
  <w:num w:numId="55" w16cid:durableId="948704573">
    <w:abstractNumId w:val="49"/>
  </w:num>
  <w:num w:numId="56" w16cid:durableId="9645910">
    <w:abstractNumId w:val="27"/>
  </w:num>
  <w:num w:numId="57" w16cid:durableId="1118336077">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1E"/>
    <w:rsid w:val="000520C7"/>
    <w:rsid w:val="00087AE8"/>
    <w:rsid w:val="000D1059"/>
    <w:rsid w:val="000D2D05"/>
    <w:rsid w:val="000E45E1"/>
    <w:rsid w:val="000E5BF9"/>
    <w:rsid w:val="000F0E6D"/>
    <w:rsid w:val="001113C8"/>
    <w:rsid w:val="00121170"/>
    <w:rsid w:val="00123CC5"/>
    <w:rsid w:val="0015142D"/>
    <w:rsid w:val="001616DC"/>
    <w:rsid w:val="00163962"/>
    <w:rsid w:val="00191A97"/>
    <w:rsid w:val="00193D1C"/>
    <w:rsid w:val="001C41FA"/>
    <w:rsid w:val="001D3B8D"/>
    <w:rsid w:val="001E2B52"/>
    <w:rsid w:val="001E3F27"/>
    <w:rsid w:val="00236D2A"/>
    <w:rsid w:val="00255F12"/>
    <w:rsid w:val="00262C09"/>
    <w:rsid w:val="00267359"/>
    <w:rsid w:val="00280126"/>
    <w:rsid w:val="0029737E"/>
    <w:rsid w:val="002A7192"/>
    <w:rsid w:val="002A791F"/>
    <w:rsid w:val="002C1B26"/>
    <w:rsid w:val="002E5F5C"/>
    <w:rsid w:val="002E701F"/>
    <w:rsid w:val="0032680B"/>
    <w:rsid w:val="00363A65"/>
    <w:rsid w:val="00377704"/>
    <w:rsid w:val="003C2508"/>
    <w:rsid w:val="003D0AA3"/>
    <w:rsid w:val="003D4C4E"/>
    <w:rsid w:val="00413D41"/>
    <w:rsid w:val="00427A31"/>
    <w:rsid w:val="0043059C"/>
    <w:rsid w:val="0044541C"/>
    <w:rsid w:val="00446316"/>
    <w:rsid w:val="00454553"/>
    <w:rsid w:val="00462C9B"/>
    <w:rsid w:val="004B124A"/>
    <w:rsid w:val="004E1829"/>
    <w:rsid w:val="004F2768"/>
    <w:rsid w:val="00532097"/>
    <w:rsid w:val="0056026E"/>
    <w:rsid w:val="0056455E"/>
    <w:rsid w:val="0058350F"/>
    <w:rsid w:val="005F2605"/>
    <w:rsid w:val="00632D35"/>
    <w:rsid w:val="00662BA0"/>
    <w:rsid w:val="006775FB"/>
    <w:rsid w:val="00692AAE"/>
    <w:rsid w:val="006D6E67"/>
    <w:rsid w:val="00701C20"/>
    <w:rsid w:val="007354E9"/>
    <w:rsid w:val="007542C0"/>
    <w:rsid w:val="00762BBC"/>
    <w:rsid w:val="00765578"/>
    <w:rsid w:val="0077084A"/>
    <w:rsid w:val="007C2317"/>
    <w:rsid w:val="007D330A"/>
    <w:rsid w:val="007D7EC9"/>
    <w:rsid w:val="00806AFF"/>
    <w:rsid w:val="008153B4"/>
    <w:rsid w:val="00833ED5"/>
    <w:rsid w:val="00866AE6"/>
    <w:rsid w:val="008902B6"/>
    <w:rsid w:val="0094091F"/>
    <w:rsid w:val="009538D2"/>
    <w:rsid w:val="00973754"/>
    <w:rsid w:val="009A599E"/>
    <w:rsid w:val="009C0BED"/>
    <w:rsid w:val="009D15ED"/>
    <w:rsid w:val="009E11EC"/>
    <w:rsid w:val="009F6FD5"/>
    <w:rsid w:val="00A118DB"/>
    <w:rsid w:val="00A4450C"/>
    <w:rsid w:val="00AA5E6C"/>
    <w:rsid w:val="00AE5677"/>
    <w:rsid w:val="00AF2F78"/>
    <w:rsid w:val="00AF3246"/>
    <w:rsid w:val="00B033A8"/>
    <w:rsid w:val="00B20F1E"/>
    <w:rsid w:val="00B52D55"/>
    <w:rsid w:val="00B75820"/>
    <w:rsid w:val="00B95DD9"/>
    <w:rsid w:val="00B97EE3"/>
    <w:rsid w:val="00BE2E80"/>
    <w:rsid w:val="00BE5EDD"/>
    <w:rsid w:val="00BE6A1F"/>
    <w:rsid w:val="00BF0E9F"/>
    <w:rsid w:val="00C104EC"/>
    <w:rsid w:val="00C126C4"/>
    <w:rsid w:val="00C63EB5"/>
    <w:rsid w:val="00C8286D"/>
    <w:rsid w:val="00C918CF"/>
    <w:rsid w:val="00C97A88"/>
    <w:rsid w:val="00CB3DB9"/>
    <w:rsid w:val="00CC01E0"/>
    <w:rsid w:val="00CE60D2"/>
    <w:rsid w:val="00D0288A"/>
    <w:rsid w:val="00D04D3F"/>
    <w:rsid w:val="00D405F7"/>
    <w:rsid w:val="00D62071"/>
    <w:rsid w:val="00D72A5D"/>
    <w:rsid w:val="00DB1DF5"/>
    <w:rsid w:val="00DC629B"/>
    <w:rsid w:val="00E110D7"/>
    <w:rsid w:val="00E11D0F"/>
    <w:rsid w:val="00E167B8"/>
    <w:rsid w:val="00E262F1"/>
    <w:rsid w:val="00E6436F"/>
    <w:rsid w:val="00E71D14"/>
    <w:rsid w:val="00EA6236"/>
    <w:rsid w:val="00ED738F"/>
    <w:rsid w:val="00F37F92"/>
    <w:rsid w:val="00F8150C"/>
    <w:rsid w:val="00FD0242"/>
    <w:rsid w:val="00FE4574"/>
    <w:rsid w:val="00FE52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D7F55"/>
  <w15:docId w15:val="{99D74F48-3E7F-48AC-BADB-6068CC99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rsid w:val="00C8286D"/>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C8286D"/>
    <w:pPr>
      <w:spacing w:before="200"/>
      <w:outlineLvl w:val="1"/>
    </w:pPr>
    <w:rPr>
      <w:sz w:val="24"/>
    </w:rPr>
  </w:style>
  <w:style w:type="paragraph" w:styleId="Heading3">
    <w:name w:val="heading 3"/>
    <w:basedOn w:val="Heading1"/>
    <w:next w:val="Normal"/>
    <w:link w:val="Heading3Char"/>
    <w:uiPriority w:val="9"/>
    <w:qFormat/>
    <w:rsid w:val="00C8286D"/>
    <w:pPr>
      <w:tabs>
        <w:tab w:val="clear" w:pos="1134"/>
      </w:tabs>
      <w:spacing w:before="200"/>
      <w:outlineLvl w:val="2"/>
    </w:pPr>
    <w:rPr>
      <w:sz w:val="24"/>
    </w:rPr>
  </w:style>
  <w:style w:type="paragraph" w:styleId="Heading4">
    <w:name w:val="heading 4"/>
    <w:basedOn w:val="Heading3"/>
    <w:next w:val="Normal"/>
    <w:link w:val="Heading4Char"/>
    <w:uiPriority w:val="9"/>
    <w:qFormat/>
    <w:rsid w:val="00C8286D"/>
    <w:pPr>
      <w:outlineLvl w:val="3"/>
    </w:pPr>
  </w:style>
  <w:style w:type="paragraph" w:styleId="Heading5">
    <w:name w:val="heading 5"/>
    <w:basedOn w:val="Heading4"/>
    <w:next w:val="Normal"/>
    <w:link w:val="Heading5Char"/>
    <w:uiPriority w:val="9"/>
    <w:qFormat/>
    <w:rsid w:val="00C8286D"/>
    <w:pPr>
      <w:outlineLvl w:val="4"/>
    </w:pPr>
  </w:style>
  <w:style w:type="paragraph" w:styleId="Heading6">
    <w:name w:val="heading 6"/>
    <w:basedOn w:val="Heading4"/>
    <w:next w:val="Normal"/>
    <w:link w:val="Heading6Char"/>
    <w:uiPriority w:val="9"/>
    <w:qFormat/>
    <w:rsid w:val="00C8286D"/>
    <w:pPr>
      <w:outlineLvl w:val="5"/>
    </w:pPr>
  </w:style>
  <w:style w:type="paragraph" w:styleId="Heading7">
    <w:name w:val="heading 7"/>
    <w:basedOn w:val="Heading6"/>
    <w:next w:val="Normal"/>
    <w:link w:val="Heading7Char"/>
    <w:qFormat/>
    <w:rsid w:val="00C8286D"/>
    <w:pPr>
      <w:outlineLvl w:val="6"/>
    </w:pPr>
  </w:style>
  <w:style w:type="paragraph" w:styleId="Heading8">
    <w:name w:val="heading 8"/>
    <w:basedOn w:val="Heading6"/>
    <w:next w:val="Normal"/>
    <w:link w:val="Heading8Char"/>
    <w:qFormat/>
    <w:rsid w:val="00C8286D"/>
    <w:pPr>
      <w:outlineLvl w:val="7"/>
    </w:pPr>
  </w:style>
  <w:style w:type="paragraph" w:styleId="Heading9">
    <w:name w:val="heading 9"/>
    <w:basedOn w:val="Heading6"/>
    <w:next w:val="Normal"/>
    <w:link w:val="Heading9Char"/>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link w:val="CallChar"/>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C8286D"/>
    <w:rPr>
      <w:vertAlign w:val="superscript"/>
    </w:rPr>
  </w:style>
  <w:style w:type="paragraph" w:customStyle="1" w:styleId="enumlev1">
    <w:name w:val="enumlev1"/>
    <w:basedOn w:val="Normal"/>
    <w:link w:val="enumlev1Char"/>
    <w:qFormat/>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link w:val="FooterChar"/>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C8286D"/>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C8286D"/>
    <w:pPr>
      <w:keepLines/>
      <w:tabs>
        <w:tab w:val="left" w:pos="255"/>
      </w:tabs>
    </w:pPr>
  </w:style>
  <w:style w:type="paragraph" w:styleId="Header">
    <w:name w:val="header"/>
    <w:basedOn w:val="Normal"/>
    <w:link w:val="HeaderChar"/>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rsid w:val="00C8286D"/>
  </w:style>
  <w:style w:type="paragraph" w:styleId="Index2">
    <w:name w:val="index 2"/>
    <w:basedOn w:val="Normal"/>
    <w:next w:val="Normal"/>
    <w:rsid w:val="00C8286D"/>
    <w:pPr>
      <w:ind w:left="283"/>
    </w:pPr>
  </w:style>
  <w:style w:type="paragraph" w:styleId="Index3">
    <w:name w:val="index 3"/>
    <w:basedOn w:val="Normal"/>
    <w:next w:val="Normal"/>
    <w:rsid w:val="00C8286D"/>
    <w:pPr>
      <w:ind w:left="566"/>
    </w:pPr>
  </w:style>
  <w:style w:type="paragraph" w:styleId="Index4">
    <w:name w:val="index 4"/>
    <w:basedOn w:val="Normal"/>
    <w:next w:val="Normal"/>
    <w:rsid w:val="00C8286D"/>
    <w:pPr>
      <w:ind w:left="849"/>
    </w:pPr>
  </w:style>
  <w:style w:type="paragraph" w:styleId="Index5">
    <w:name w:val="index 5"/>
    <w:basedOn w:val="Normal"/>
    <w:next w:val="Normal"/>
    <w:rsid w:val="00C8286D"/>
    <w:pPr>
      <w:ind w:left="1132"/>
    </w:pPr>
  </w:style>
  <w:style w:type="paragraph" w:styleId="Index6">
    <w:name w:val="index 6"/>
    <w:basedOn w:val="Normal"/>
    <w:next w:val="Normal"/>
    <w:rsid w:val="00C8286D"/>
    <w:pPr>
      <w:ind w:left="1415"/>
    </w:pPr>
  </w:style>
  <w:style w:type="paragraph" w:styleId="Index7">
    <w:name w:val="index 7"/>
    <w:basedOn w:val="Normal"/>
    <w:next w:val="Normal"/>
    <w:rsid w:val="00C8286D"/>
    <w:pPr>
      <w:ind w:left="1698"/>
    </w:pPr>
  </w:style>
  <w:style w:type="paragraph" w:styleId="IndexHeading">
    <w:name w:val="index heading"/>
    <w:basedOn w:val="Normal"/>
    <w:next w:val="Index1"/>
    <w:rsid w:val="00C8286D"/>
  </w:style>
  <w:style w:type="character" w:styleId="LineNumber">
    <w:name w:val="line number"/>
    <w:basedOn w:val="DefaultParagraphFont"/>
    <w:rsid w:val="00C8286D"/>
  </w:style>
  <w:style w:type="paragraph" w:customStyle="1" w:styleId="Normalaftertitle">
    <w:name w:val="Normal after title"/>
    <w:basedOn w:val="Normal"/>
    <w:next w:val="Normal"/>
    <w:link w:val="NormalaftertitleChar"/>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uiPriority w:val="99"/>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link w:val="CommentTextChar2"/>
    <w:uiPriority w:val="99"/>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link w:val="TabletextChar"/>
    <w:qFormat/>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link w:val="RestitleChar"/>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table" w:customStyle="1" w:styleId="TableNormal1">
    <w:name w:val="Table Normal1"/>
    <w:rsid w:val="00B20F1E"/>
    <w:pPr>
      <w:tabs>
        <w:tab w:val="left" w:pos="1134"/>
        <w:tab w:val="left" w:pos="1871"/>
        <w:tab w:val="left" w:pos="2268"/>
      </w:tabs>
      <w:spacing w:before="120"/>
    </w:pPr>
    <w:rPr>
      <w:rFonts w:ascii="Times New Roman" w:hAnsi="Times New Roman"/>
      <w:sz w:val="24"/>
      <w:szCs w:val="24"/>
      <w:lang w:val="en-GB" w:eastAsia="fr-CM"/>
    </w:rPr>
    <w:tblPr>
      <w:tblCellMar>
        <w:top w:w="0" w:type="dxa"/>
        <w:left w:w="0" w:type="dxa"/>
        <w:bottom w:w="0" w:type="dxa"/>
        <w:right w:w="0" w:type="dxa"/>
      </w:tblCellMar>
    </w:tblPr>
  </w:style>
  <w:style w:type="paragraph" w:styleId="Title">
    <w:name w:val="Title"/>
    <w:basedOn w:val="Normal"/>
    <w:next w:val="Normal"/>
    <w:link w:val="TitleChar"/>
    <w:uiPriority w:val="10"/>
    <w:qFormat/>
    <w:rsid w:val="00B20F1E"/>
    <w:pPr>
      <w:keepNext/>
      <w:keepLines/>
      <w:spacing w:before="480" w:after="120"/>
    </w:pPr>
    <w:rPr>
      <w:b/>
      <w:sz w:val="72"/>
      <w:szCs w:val="72"/>
      <w:lang w:val="en-GB"/>
    </w:rPr>
  </w:style>
  <w:style w:type="character" w:customStyle="1" w:styleId="TitleChar">
    <w:name w:val="Title Char"/>
    <w:basedOn w:val="DefaultParagraphFont"/>
    <w:link w:val="Title"/>
    <w:uiPriority w:val="10"/>
    <w:rsid w:val="00B20F1E"/>
    <w:rPr>
      <w:rFonts w:ascii="Times New Roman" w:hAnsi="Times New Roman"/>
      <w:b/>
      <w:sz w:val="72"/>
      <w:szCs w:val="72"/>
      <w:lang w:val="en-GB" w:eastAsia="en-US"/>
    </w:rPr>
  </w:style>
  <w:style w:type="paragraph" w:customStyle="1" w:styleId="ASN1">
    <w:name w:val="ASN.1"/>
    <w:basedOn w:val="Normal"/>
    <w:rsid w:val="00B20F1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szCs w:val="24"/>
      <w:lang w:val="en-GB"/>
    </w:rPr>
  </w:style>
  <w:style w:type="character" w:customStyle="1" w:styleId="FooterChar">
    <w:name w:val="Footer Char"/>
    <w:basedOn w:val="DefaultParagraphFont"/>
    <w:link w:val="Footer"/>
    <w:rsid w:val="00B20F1E"/>
    <w:rPr>
      <w:rFonts w:ascii="Times New Roman" w:hAnsi="Times New Roman"/>
      <w:caps/>
      <w:noProof/>
      <w:sz w:val="16"/>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20F1E"/>
    <w:rPr>
      <w:rFonts w:ascii="Times New Roman" w:hAnsi="Times New Roman"/>
      <w:sz w:val="24"/>
      <w:lang w:val="es-ES_tradnl" w:eastAsia="en-US"/>
    </w:rPr>
  </w:style>
  <w:style w:type="character" w:customStyle="1" w:styleId="HeaderChar">
    <w:name w:val="Header Char"/>
    <w:basedOn w:val="DefaultParagraphFont"/>
    <w:link w:val="Header"/>
    <w:rsid w:val="00B20F1E"/>
    <w:rPr>
      <w:rFonts w:ascii="Times New Roman" w:hAnsi="Times New Roman"/>
      <w:sz w:val="18"/>
      <w:lang w:val="es-ES_tradnl" w:eastAsia="en-US"/>
    </w:rPr>
  </w:style>
  <w:style w:type="paragraph" w:customStyle="1" w:styleId="Normalsplit">
    <w:name w:val="Normal_split"/>
    <w:basedOn w:val="Normal"/>
    <w:qFormat/>
    <w:rsid w:val="00B20F1E"/>
    <w:rPr>
      <w:szCs w:val="24"/>
      <w:lang w:val="en-GB"/>
    </w:rPr>
  </w:style>
  <w:style w:type="paragraph" w:customStyle="1" w:styleId="Tablesplit">
    <w:name w:val="Table_split"/>
    <w:basedOn w:val="Tabletext"/>
    <w:qFormat/>
    <w:rsid w:val="00B20F1E"/>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Cs w:val="24"/>
      <w:lang w:val="en-GB"/>
    </w:rPr>
  </w:style>
  <w:style w:type="character" w:customStyle="1" w:styleId="enumlev1Char">
    <w:name w:val="enumlev1 Char"/>
    <w:basedOn w:val="DefaultParagraphFont"/>
    <w:link w:val="enumlev1"/>
    <w:qFormat/>
    <w:rsid w:val="00B20F1E"/>
    <w:rPr>
      <w:rFonts w:ascii="Times New Roman" w:hAnsi="Times New Roman"/>
      <w:sz w:val="24"/>
      <w:lang w:val="es-ES_tradnl" w:eastAsia="en-US"/>
    </w:rPr>
  </w:style>
  <w:style w:type="character" w:customStyle="1" w:styleId="href">
    <w:name w:val="href"/>
    <w:basedOn w:val="DefaultParagraphFont"/>
    <w:rsid w:val="00B20F1E"/>
    <w:rPr>
      <w:color w:val="auto"/>
    </w:rPr>
  </w:style>
  <w:style w:type="character" w:customStyle="1" w:styleId="CallChar">
    <w:name w:val="Call Char"/>
    <w:basedOn w:val="DefaultParagraphFont"/>
    <w:link w:val="Call"/>
    <w:locked/>
    <w:rsid w:val="00B20F1E"/>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B20F1E"/>
    <w:rPr>
      <w:rFonts w:ascii="Times New Roman" w:hAnsi="Times New Roman"/>
      <w:sz w:val="24"/>
      <w:lang w:val="es-ES_tradnl" w:eastAsia="en-US"/>
    </w:rPr>
  </w:style>
  <w:style w:type="character" w:customStyle="1" w:styleId="RestitleChar">
    <w:name w:val="Res_title Char"/>
    <w:link w:val="Restitle"/>
    <w:locked/>
    <w:rsid w:val="00B20F1E"/>
    <w:rPr>
      <w:rFonts w:ascii="Times New Roman Bold" w:hAnsi="Times New Roman Bold"/>
      <w:b/>
      <w:sz w:val="28"/>
      <w:lang w:val="es-ES_tradnl" w:eastAsia="en-US"/>
    </w:rPr>
  </w:style>
  <w:style w:type="paragraph" w:styleId="BalloonText">
    <w:name w:val="Balloon Text"/>
    <w:basedOn w:val="Normal"/>
    <w:link w:val="BalloonTextChar"/>
    <w:unhideWhenUsed/>
    <w:rsid w:val="00B20F1E"/>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B20F1E"/>
    <w:rPr>
      <w:rFonts w:ascii="Segoe UI" w:hAnsi="Segoe UI" w:cs="Segoe UI"/>
      <w:sz w:val="18"/>
      <w:szCs w:val="18"/>
      <w:lang w:val="en-GB" w:eastAsia="en-US"/>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Абзац списка1,AC List 01"/>
    <w:basedOn w:val="Normal"/>
    <w:link w:val="ListParagraphChar"/>
    <w:uiPriority w:val="34"/>
    <w:qFormat/>
    <w:rsid w:val="00B20F1E"/>
    <w:pPr>
      <w:ind w:left="720"/>
      <w:contextualSpacing/>
    </w:pPr>
    <w:rPr>
      <w:szCs w:val="24"/>
      <w:lang w:val="en-GB"/>
    </w:rPr>
  </w:style>
  <w:style w:type="paragraph" w:styleId="Subtitle">
    <w:name w:val="Subtitle"/>
    <w:basedOn w:val="Normal"/>
    <w:next w:val="Normal"/>
    <w:link w:val="SubtitleChar"/>
    <w:uiPriority w:val="11"/>
    <w:qFormat/>
    <w:rsid w:val="00B20F1E"/>
    <w:pPr>
      <w:keepNext/>
      <w:keepLines/>
      <w:spacing w:before="360" w:after="80"/>
    </w:pPr>
    <w:rPr>
      <w:rFonts w:ascii="Georgia" w:eastAsia="Georgia" w:hAnsi="Georgia" w:cs="Georgia"/>
      <w:i/>
      <w:color w:val="666666"/>
      <w:sz w:val="48"/>
      <w:szCs w:val="48"/>
      <w:lang w:val="en-GB"/>
    </w:rPr>
  </w:style>
  <w:style w:type="character" w:customStyle="1" w:styleId="SubtitleChar">
    <w:name w:val="Subtitle Char"/>
    <w:basedOn w:val="DefaultParagraphFont"/>
    <w:link w:val="Subtitle"/>
    <w:uiPriority w:val="11"/>
    <w:rsid w:val="00B20F1E"/>
    <w:rPr>
      <w:rFonts w:ascii="Georgia" w:eastAsia="Georgia" w:hAnsi="Georgia" w:cs="Georgia"/>
      <w:i/>
      <w:color w:val="666666"/>
      <w:sz w:val="48"/>
      <w:szCs w:val="48"/>
      <w:lang w:val="en-GB" w:eastAsia="en-US"/>
    </w:rPr>
  </w:style>
  <w:style w:type="paragraph" w:styleId="Revision">
    <w:name w:val="Revision"/>
    <w:hidden/>
    <w:uiPriority w:val="99"/>
    <w:semiHidden/>
    <w:rsid w:val="00B20F1E"/>
    <w:rPr>
      <w:rFonts w:ascii="Times New Roman" w:hAnsi="Times New Roman"/>
      <w:sz w:val="24"/>
      <w:szCs w:val="24"/>
      <w:lang w:val="en-GB" w:eastAsia="en-US"/>
    </w:rPr>
  </w:style>
  <w:style w:type="table" w:styleId="TableGrid">
    <w:name w:val="Table Grid"/>
    <w:basedOn w:val="TableNormal"/>
    <w:uiPriority w:val="39"/>
    <w:rsid w:val="00B20F1E"/>
    <w:pPr>
      <w:tabs>
        <w:tab w:val="left" w:pos="1134"/>
        <w:tab w:val="left" w:pos="1871"/>
        <w:tab w:val="left" w:pos="2268"/>
      </w:tabs>
    </w:pPr>
    <w:rPr>
      <w:rFonts w:ascii="Times New Roman" w:hAnsi="Times New Roman"/>
      <w:sz w:val="24"/>
      <w:szCs w:val="24"/>
      <w:lang w:val="en-GB" w:eastAsia="fr-C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20F1E"/>
    <w:rPr>
      <w:color w:val="0000FF"/>
      <w:u w:val="single"/>
    </w:rPr>
  </w:style>
  <w:style w:type="paragraph" w:customStyle="1" w:styleId="apm15-4">
    <w:name w:val="apm15-4"/>
    <w:basedOn w:val="BodyText"/>
    <w:next w:val="Normal"/>
    <w:link w:val="apm15-4Car"/>
    <w:autoRedefine/>
    <w:qFormat/>
    <w:rsid w:val="00B20F1E"/>
    <w:pPr>
      <w:numPr>
        <w:numId w:val="15"/>
      </w:numPr>
      <w:shd w:val="clear" w:color="auto" w:fill="FFFFFF" w:themeFill="background1"/>
      <w:spacing w:before="120" w:after="120"/>
    </w:pPr>
    <w:rPr>
      <w:rFonts w:ascii="Calibri" w:hAnsi="Calibri"/>
    </w:rPr>
  </w:style>
  <w:style w:type="paragraph" w:styleId="BodyText">
    <w:name w:val="Body Text"/>
    <w:basedOn w:val="Normal"/>
    <w:link w:val="BodyTextChar"/>
    <w:rsid w:val="00B20F1E"/>
    <w:pPr>
      <w:tabs>
        <w:tab w:val="clear" w:pos="1134"/>
        <w:tab w:val="clear" w:pos="1871"/>
        <w:tab w:val="clear" w:pos="2268"/>
      </w:tabs>
      <w:overflowPunct/>
      <w:autoSpaceDE/>
      <w:autoSpaceDN/>
      <w:adjustRightInd/>
      <w:spacing w:before="0"/>
      <w:jc w:val="both"/>
      <w:textAlignment w:val="auto"/>
    </w:pPr>
    <w:rPr>
      <w:szCs w:val="24"/>
      <w:lang w:val="en-GB" w:eastAsia="en-GB"/>
    </w:rPr>
  </w:style>
  <w:style w:type="character" w:customStyle="1" w:styleId="BodyTextChar">
    <w:name w:val="Body Text Char"/>
    <w:basedOn w:val="DefaultParagraphFont"/>
    <w:link w:val="BodyText"/>
    <w:rsid w:val="00B20F1E"/>
    <w:rPr>
      <w:rFonts w:ascii="Times New Roman" w:hAnsi="Times New Roman"/>
      <w:sz w:val="24"/>
      <w:szCs w:val="24"/>
      <w:lang w:val="en-GB" w:eastAsia="en-GB"/>
    </w:rPr>
  </w:style>
  <w:style w:type="character" w:customStyle="1" w:styleId="apm15-4Car">
    <w:name w:val="apm15-4 Car"/>
    <w:link w:val="apm15-4"/>
    <w:rsid w:val="00B20F1E"/>
    <w:rPr>
      <w:rFonts w:ascii="Calibri" w:hAnsi="Calibri"/>
      <w:sz w:val="24"/>
      <w:szCs w:val="24"/>
      <w:shd w:val="clear" w:color="auto" w:fill="FFFFFF" w:themeFill="background1"/>
      <w:lang w:val="en-GB" w:eastAsia="en-GB"/>
    </w:rPr>
  </w:style>
  <w:style w:type="character" w:customStyle="1" w:styleId="Heading1Char">
    <w:name w:val="Heading 1 Char"/>
    <w:basedOn w:val="DefaultParagraphFont"/>
    <w:link w:val="Heading1"/>
    <w:uiPriority w:val="9"/>
    <w:rsid w:val="00B20F1E"/>
    <w:rPr>
      <w:rFonts w:ascii="Times New Roman" w:hAnsi="Times New Roman"/>
      <w:b/>
      <w:sz w:val="28"/>
      <w:lang w:val="es-ES_tradnl" w:eastAsia="en-US"/>
    </w:rPr>
  </w:style>
  <w:style w:type="character" w:customStyle="1" w:styleId="Heading2Char">
    <w:name w:val="Heading 2 Char"/>
    <w:basedOn w:val="DefaultParagraphFont"/>
    <w:link w:val="Heading2"/>
    <w:uiPriority w:val="9"/>
    <w:rsid w:val="00B20F1E"/>
    <w:rPr>
      <w:rFonts w:ascii="Times New Roman" w:hAnsi="Times New Roman"/>
      <w:b/>
      <w:sz w:val="24"/>
      <w:lang w:val="es-ES_tradnl" w:eastAsia="en-US"/>
    </w:rPr>
  </w:style>
  <w:style w:type="character" w:customStyle="1" w:styleId="Heading3Char">
    <w:name w:val="Heading 3 Char"/>
    <w:basedOn w:val="DefaultParagraphFont"/>
    <w:link w:val="Heading3"/>
    <w:uiPriority w:val="9"/>
    <w:rsid w:val="00B20F1E"/>
    <w:rPr>
      <w:rFonts w:ascii="Times New Roman" w:hAnsi="Times New Roman"/>
      <w:b/>
      <w:sz w:val="24"/>
      <w:lang w:val="es-ES_tradnl" w:eastAsia="en-US"/>
    </w:rPr>
  </w:style>
  <w:style w:type="character" w:customStyle="1" w:styleId="Heading4Char">
    <w:name w:val="Heading 4 Char"/>
    <w:basedOn w:val="DefaultParagraphFont"/>
    <w:link w:val="Heading4"/>
    <w:uiPriority w:val="9"/>
    <w:rsid w:val="00B20F1E"/>
    <w:rPr>
      <w:rFonts w:ascii="Times New Roman" w:hAnsi="Times New Roman"/>
      <w:b/>
      <w:sz w:val="24"/>
      <w:lang w:val="es-ES_tradnl" w:eastAsia="en-US"/>
    </w:rPr>
  </w:style>
  <w:style w:type="character" w:customStyle="1" w:styleId="Heading7Char">
    <w:name w:val="Heading 7 Char"/>
    <w:basedOn w:val="DefaultParagraphFont"/>
    <w:link w:val="Heading7"/>
    <w:rsid w:val="00B20F1E"/>
    <w:rPr>
      <w:rFonts w:ascii="Times New Roman" w:hAnsi="Times New Roman"/>
      <w:b/>
      <w:sz w:val="24"/>
      <w:lang w:val="es-ES_tradnl" w:eastAsia="en-US"/>
    </w:rPr>
  </w:style>
  <w:style w:type="character" w:customStyle="1" w:styleId="Heading8Char">
    <w:name w:val="Heading 8 Char"/>
    <w:basedOn w:val="DefaultParagraphFont"/>
    <w:link w:val="Heading8"/>
    <w:rsid w:val="00B20F1E"/>
    <w:rPr>
      <w:rFonts w:ascii="Times New Roman" w:hAnsi="Times New Roman"/>
      <w:b/>
      <w:sz w:val="24"/>
      <w:lang w:val="es-ES_tradnl" w:eastAsia="en-US"/>
    </w:rPr>
  </w:style>
  <w:style w:type="character" w:customStyle="1" w:styleId="Heading5Char">
    <w:name w:val="Heading 5 Char"/>
    <w:basedOn w:val="DefaultParagraphFont"/>
    <w:link w:val="Heading5"/>
    <w:uiPriority w:val="9"/>
    <w:rsid w:val="00B20F1E"/>
    <w:rPr>
      <w:rFonts w:ascii="Times New Roman" w:hAnsi="Times New Roman"/>
      <w:b/>
      <w:sz w:val="24"/>
      <w:lang w:val="es-ES_tradnl" w:eastAsia="en-US"/>
    </w:rPr>
  </w:style>
  <w:style w:type="character" w:customStyle="1" w:styleId="Heading6Char">
    <w:name w:val="Heading 6 Char"/>
    <w:basedOn w:val="DefaultParagraphFont"/>
    <w:link w:val="Heading6"/>
    <w:uiPriority w:val="9"/>
    <w:rsid w:val="00B20F1E"/>
    <w:rPr>
      <w:rFonts w:ascii="Times New Roman" w:hAnsi="Times New Roman"/>
      <w:b/>
      <w:sz w:val="24"/>
      <w:lang w:val="es-ES_tradnl" w:eastAsia="en-US"/>
    </w:rPr>
  </w:style>
  <w:style w:type="character" w:customStyle="1" w:styleId="Heading9Char">
    <w:name w:val="Heading 9 Char"/>
    <w:basedOn w:val="DefaultParagraphFont"/>
    <w:link w:val="Heading9"/>
    <w:rsid w:val="00B20F1E"/>
    <w:rPr>
      <w:rFonts w:ascii="Times New Roman" w:hAnsi="Times New Roman"/>
      <w:b/>
      <w:sz w:val="24"/>
      <w:lang w:val="es-ES_tradnl" w:eastAsia="en-US"/>
    </w:rPr>
  </w:style>
  <w:style w:type="paragraph" w:customStyle="1" w:styleId="RecTitle0">
    <w:name w:val="Rec_Title"/>
    <w:basedOn w:val="Normal"/>
    <w:next w:val="Heading1"/>
    <w:rsid w:val="00B20F1E"/>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jc w:val="center"/>
      <w:textAlignment w:val="auto"/>
    </w:pPr>
    <w:rPr>
      <w:b/>
      <w:caps/>
      <w:lang w:val="en-GB" w:eastAsia="ar-SA"/>
    </w:rPr>
  </w:style>
  <w:style w:type="paragraph" w:customStyle="1" w:styleId="Textepardfaut">
    <w:name w:val="Texte par défaut"/>
    <w:basedOn w:val="Normal"/>
    <w:rsid w:val="00B20F1E"/>
    <w:pPr>
      <w:tabs>
        <w:tab w:val="clear" w:pos="1134"/>
        <w:tab w:val="clear" w:pos="1871"/>
        <w:tab w:val="clear" w:pos="2268"/>
      </w:tabs>
      <w:suppressAutoHyphens/>
      <w:overflowPunct/>
      <w:autoSpaceDN/>
      <w:adjustRightInd/>
      <w:spacing w:before="0"/>
      <w:textAlignment w:val="auto"/>
    </w:pPr>
    <w:rPr>
      <w:szCs w:val="24"/>
      <w:lang w:val="en-US" w:eastAsia="ar-SA"/>
    </w:rPr>
  </w:style>
  <w:style w:type="paragraph" w:styleId="BodyText2">
    <w:name w:val="Body Text 2"/>
    <w:basedOn w:val="Normal"/>
    <w:link w:val="BodyText2Char"/>
    <w:rsid w:val="00B20F1E"/>
    <w:pPr>
      <w:tabs>
        <w:tab w:val="clear" w:pos="1134"/>
        <w:tab w:val="clear" w:pos="1871"/>
        <w:tab w:val="clear" w:pos="2268"/>
      </w:tabs>
      <w:overflowPunct/>
      <w:autoSpaceDE/>
      <w:autoSpaceDN/>
      <w:adjustRightInd/>
      <w:spacing w:before="0" w:after="120" w:line="480" w:lineRule="auto"/>
      <w:textAlignment w:val="auto"/>
    </w:pPr>
    <w:rPr>
      <w:szCs w:val="24"/>
      <w:lang w:val="en-GB" w:eastAsia="en-GB"/>
    </w:rPr>
  </w:style>
  <w:style w:type="character" w:customStyle="1" w:styleId="BodyText2Char">
    <w:name w:val="Body Text 2 Char"/>
    <w:basedOn w:val="DefaultParagraphFont"/>
    <w:link w:val="BodyText2"/>
    <w:rsid w:val="00B20F1E"/>
    <w:rPr>
      <w:rFonts w:ascii="Times New Roman" w:hAnsi="Times New Roman"/>
      <w:sz w:val="24"/>
      <w:szCs w:val="24"/>
      <w:lang w:val="en-GB" w:eastAsia="en-GB"/>
    </w:rPr>
  </w:style>
  <w:style w:type="paragraph" w:customStyle="1" w:styleId="Normalaftertitle0">
    <w:name w:val="Normal_after_title"/>
    <w:basedOn w:val="Normal"/>
    <w:next w:val="Normal"/>
    <w:link w:val="NormalaftertitleChar0"/>
    <w:uiPriority w:val="99"/>
    <w:rsid w:val="00B20F1E"/>
    <w:pPr>
      <w:spacing w:before="280"/>
    </w:pPr>
    <w:rPr>
      <w:lang w:val="en-GB"/>
    </w:rPr>
  </w:style>
  <w:style w:type="character" w:customStyle="1" w:styleId="NormalaftertitleChar0">
    <w:name w:val="Normal_after_title Char"/>
    <w:link w:val="Normalaftertitle0"/>
    <w:uiPriority w:val="99"/>
    <w:locked/>
    <w:rsid w:val="00B20F1E"/>
    <w:rPr>
      <w:rFonts w:ascii="Times New Roman" w:hAnsi="Times New Roman"/>
      <w:sz w:val="24"/>
      <w:lang w:val="en-GB" w:eastAsia="en-US"/>
    </w:rPr>
  </w:style>
  <w:style w:type="character" w:customStyle="1" w:styleId="Title1CarCar">
    <w:name w:val="Title 1 Car Car"/>
    <w:rsid w:val="00B20F1E"/>
    <w:rPr>
      <w:b/>
      <w:caps/>
      <w:sz w:val="28"/>
      <w:lang w:val="en-GB" w:eastAsia="en-US" w:bidi="ar-SA"/>
    </w:rPr>
  </w:style>
  <w:style w:type="character" w:styleId="Strong">
    <w:name w:val="Strong"/>
    <w:uiPriority w:val="22"/>
    <w:qFormat/>
    <w:rsid w:val="00B20F1E"/>
    <w:rPr>
      <w:b/>
      <w:bCs/>
    </w:rPr>
  </w:style>
  <w:style w:type="paragraph" w:customStyle="1" w:styleId="TableText0">
    <w:name w:val="Table_Text"/>
    <w:basedOn w:val="Normal"/>
    <w:link w:val="TableTextChar0"/>
    <w:autoRedefine/>
    <w:rsid w:val="00B20F1E"/>
    <w:pPr>
      <w:tabs>
        <w:tab w:val="clear" w:pos="1134"/>
        <w:tab w:val="clear" w:pos="1871"/>
        <w:tab w:val="clear" w:pos="2268"/>
        <w:tab w:val="left" w:pos="794"/>
        <w:tab w:val="left" w:pos="1191"/>
        <w:tab w:val="left" w:pos="1588"/>
        <w:tab w:val="left" w:pos="1985"/>
      </w:tabs>
      <w:spacing w:before="60" w:after="60"/>
      <w:jc w:val="both"/>
    </w:pPr>
    <w:rPr>
      <w:sz w:val="20"/>
      <w:lang w:val="en-GB"/>
    </w:rPr>
  </w:style>
  <w:style w:type="character" w:customStyle="1" w:styleId="TableTextChar0">
    <w:name w:val="Table_Text Char"/>
    <w:link w:val="TableText0"/>
    <w:locked/>
    <w:rsid w:val="00B20F1E"/>
    <w:rPr>
      <w:rFonts w:ascii="Times New Roman" w:hAnsi="Times New Roman"/>
      <w:lang w:val="en-GB" w:eastAsia="en-US"/>
    </w:rPr>
  </w:style>
  <w:style w:type="character" w:styleId="Emphasis">
    <w:name w:val="Emphasis"/>
    <w:qFormat/>
    <w:rsid w:val="00B20F1E"/>
    <w:rPr>
      <w:i/>
      <w:iCs/>
    </w:rPr>
  </w:style>
  <w:style w:type="paragraph" w:styleId="NormalWeb">
    <w:name w:val="Normal (Web)"/>
    <w:basedOn w:val="Normal"/>
    <w:uiPriority w:val="99"/>
    <w:unhideWhenUsed/>
    <w:qFormat/>
    <w:rsid w:val="00B20F1E"/>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styleId="NoSpacing">
    <w:name w:val="No Spacing"/>
    <w:link w:val="NoSpacingChar"/>
    <w:uiPriority w:val="1"/>
    <w:qFormat/>
    <w:rsid w:val="00B20F1E"/>
    <w:pPr>
      <w:suppressAutoHyphens/>
    </w:pPr>
    <w:rPr>
      <w:rFonts w:ascii="Calibri" w:eastAsia="Calibri" w:hAnsi="Calibri"/>
      <w:kern w:val="1"/>
      <w:sz w:val="22"/>
      <w:szCs w:val="22"/>
      <w:lang w:val="en-GB" w:eastAsia="ar-SA"/>
    </w:rPr>
  </w:style>
  <w:style w:type="character" w:customStyle="1" w:styleId="NoSpacingChar">
    <w:name w:val="No Spacing Char"/>
    <w:link w:val="NoSpacing"/>
    <w:uiPriority w:val="1"/>
    <w:rsid w:val="00B20F1E"/>
    <w:rPr>
      <w:rFonts w:ascii="Calibri" w:eastAsia="Calibri" w:hAnsi="Calibri"/>
      <w:kern w:val="1"/>
      <w:sz w:val="22"/>
      <w:szCs w:val="22"/>
      <w:lang w:val="en-GB" w:eastAsia="ar-SA"/>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link w:val="ListParagraph"/>
    <w:uiPriority w:val="34"/>
    <w:qFormat/>
    <w:locked/>
    <w:rsid w:val="00B20F1E"/>
    <w:rPr>
      <w:rFonts w:ascii="Times New Roman" w:hAnsi="Times New Roman"/>
      <w:sz w:val="24"/>
      <w:szCs w:val="24"/>
      <w:lang w:val="en-GB" w:eastAsia="en-US"/>
    </w:rPr>
  </w:style>
  <w:style w:type="character" w:customStyle="1" w:styleId="apple-converted-space">
    <w:name w:val="apple-converted-space"/>
    <w:rsid w:val="00B20F1E"/>
  </w:style>
  <w:style w:type="paragraph" w:styleId="TOC9">
    <w:name w:val="toc 9"/>
    <w:basedOn w:val="Normal"/>
    <w:next w:val="Normal"/>
    <w:autoRedefine/>
    <w:rsid w:val="00B20F1E"/>
    <w:pPr>
      <w:tabs>
        <w:tab w:val="clear" w:pos="1134"/>
        <w:tab w:val="clear" w:pos="1871"/>
        <w:tab w:val="clear" w:pos="2268"/>
      </w:tabs>
      <w:overflowPunct/>
      <w:autoSpaceDE/>
      <w:autoSpaceDN/>
      <w:adjustRightInd/>
      <w:spacing w:before="0"/>
      <w:ind w:left="1920"/>
      <w:textAlignment w:val="auto"/>
    </w:pPr>
    <w:rPr>
      <w:rFonts w:ascii="Calibri" w:hAnsi="Calibri"/>
      <w:sz w:val="18"/>
      <w:szCs w:val="18"/>
      <w:lang w:val="en-GB" w:eastAsia="en-GB"/>
    </w:rPr>
  </w:style>
  <w:style w:type="paragraph" w:customStyle="1" w:styleId="Tapm15-4">
    <w:name w:val="Tapm15-4"/>
    <w:basedOn w:val="BodyText"/>
    <w:next w:val="apm15-4"/>
    <w:link w:val="Tapm15-4Car"/>
    <w:qFormat/>
    <w:rsid w:val="00B20F1E"/>
    <w:pPr>
      <w:numPr>
        <w:numId w:val="1"/>
      </w:numPr>
      <w:spacing w:before="60" w:after="60"/>
    </w:pPr>
    <w:rPr>
      <w:rFonts w:ascii="Calibri" w:hAnsi="Calibri"/>
      <w:color w:val="000000"/>
    </w:rPr>
  </w:style>
  <w:style w:type="character" w:customStyle="1" w:styleId="Tapm15-4Car">
    <w:name w:val="Tapm15-4 Car"/>
    <w:link w:val="Tapm15-4"/>
    <w:rsid w:val="00B20F1E"/>
    <w:rPr>
      <w:rFonts w:ascii="Calibri" w:hAnsi="Calibri"/>
      <w:color w:val="000000"/>
      <w:sz w:val="24"/>
      <w:szCs w:val="24"/>
      <w:lang w:val="en-GB" w:eastAsia="en-GB"/>
    </w:rPr>
  </w:style>
  <w:style w:type="character" w:customStyle="1" w:styleId="ListLabel3">
    <w:name w:val="ListLabel 3"/>
    <w:rsid w:val="00B20F1E"/>
    <w:rPr>
      <w:b w:val="0"/>
    </w:rPr>
  </w:style>
  <w:style w:type="paragraph" w:customStyle="1" w:styleId="ColorfulList-Accent11">
    <w:name w:val="Colorful List - Accent 11"/>
    <w:basedOn w:val="Normal"/>
    <w:uiPriority w:val="34"/>
    <w:qFormat/>
    <w:rsid w:val="00B20F1E"/>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lang w:val="en-GB"/>
    </w:rPr>
  </w:style>
  <w:style w:type="paragraph" w:customStyle="1" w:styleId="Default">
    <w:name w:val="Default"/>
    <w:rsid w:val="00B20F1E"/>
    <w:pPr>
      <w:autoSpaceDE w:val="0"/>
      <w:autoSpaceDN w:val="0"/>
      <w:adjustRightInd w:val="0"/>
    </w:pPr>
    <w:rPr>
      <w:rFonts w:ascii="Arial" w:hAnsi="Arial" w:cs="Arial"/>
      <w:color w:val="000000"/>
      <w:sz w:val="24"/>
      <w:szCs w:val="24"/>
      <w:lang w:val="en-GB" w:eastAsia="en-GB"/>
    </w:rPr>
  </w:style>
  <w:style w:type="character" w:customStyle="1" w:styleId="CommentTextChar">
    <w:name w:val="Comment Text Char"/>
    <w:basedOn w:val="DefaultParagraphFont"/>
    <w:uiPriority w:val="99"/>
    <w:rsid w:val="00B20F1E"/>
    <w:rPr>
      <w:sz w:val="20"/>
      <w:szCs w:val="20"/>
      <w:lang w:eastAsia="en-GB"/>
    </w:rPr>
  </w:style>
  <w:style w:type="character" w:customStyle="1" w:styleId="CommentTextChar1">
    <w:name w:val="Comment Text Char1"/>
    <w:basedOn w:val="DefaultParagraphFont"/>
    <w:uiPriority w:val="99"/>
    <w:semiHidden/>
    <w:rsid w:val="00B20F1E"/>
    <w:rPr>
      <w:sz w:val="20"/>
      <w:szCs w:val="20"/>
      <w:lang w:eastAsia="en-US"/>
    </w:rPr>
  </w:style>
  <w:style w:type="character" w:customStyle="1" w:styleId="CommentSubjectChar">
    <w:name w:val="Comment Subject Char"/>
    <w:basedOn w:val="CommentTextChar"/>
    <w:link w:val="CommentSubject"/>
    <w:semiHidden/>
    <w:rsid w:val="00B20F1E"/>
    <w:rPr>
      <w:b/>
      <w:bCs/>
      <w:sz w:val="20"/>
      <w:szCs w:val="20"/>
      <w:lang w:eastAsia="en-GB"/>
    </w:rPr>
  </w:style>
  <w:style w:type="paragraph" w:styleId="CommentSubject">
    <w:name w:val="annotation subject"/>
    <w:basedOn w:val="CommentText"/>
    <w:next w:val="CommentText"/>
    <w:link w:val="CommentSubjectChar"/>
    <w:semiHidden/>
    <w:unhideWhenUsed/>
    <w:rsid w:val="00B20F1E"/>
    <w:pPr>
      <w:tabs>
        <w:tab w:val="clear" w:pos="1134"/>
        <w:tab w:val="clear" w:pos="1871"/>
        <w:tab w:val="clear" w:pos="2268"/>
      </w:tabs>
      <w:overflowPunct/>
      <w:autoSpaceDE/>
      <w:autoSpaceDN/>
      <w:adjustRightInd/>
      <w:spacing w:before="0"/>
      <w:textAlignment w:val="auto"/>
    </w:pPr>
    <w:rPr>
      <w:rFonts w:ascii="Times" w:hAnsi="Times"/>
      <w:b/>
      <w:bCs/>
      <w:lang w:val="en-US" w:eastAsia="en-GB"/>
    </w:rPr>
  </w:style>
  <w:style w:type="character" w:customStyle="1" w:styleId="CommentTextChar2">
    <w:name w:val="Comment Text Char2"/>
    <w:basedOn w:val="DefaultParagraphFont"/>
    <w:link w:val="CommentText"/>
    <w:uiPriority w:val="99"/>
    <w:rsid w:val="00B20F1E"/>
    <w:rPr>
      <w:rFonts w:ascii="Times New Roman" w:hAnsi="Times New Roman"/>
      <w:lang w:val="es-ES_tradnl" w:eastAsia="en-US"/>
    </w:rPr>
  </w:style>
  <w:style w:type="character" w:customStyle="1" w:styleId="CommentSubjectChar1">
    <w:name w:val="Comment Subject Char1"/>
    <w:basedOn w:val="CommentTextChar2"/>
    <w:uiPriority w:val="99"/>
    <w:semiHidden/>
    <w:rsid w:val="00B20F1E"/>
    <w:rPr>
      <w:rFonts w:ascii="Times New Roman" w:hAnsi="Times New Roman"/>
      <w:b/>
      <w:bCs/>
      <w:lang w:val="es-ES_tradnl" w:eastAsia="en-US"/>
    </w:rPr>
  </w:style>
  <w:style w:type="character" w:customStyle="1" w:styleId="TableheadChar">
    <w:name w:val="Table_head Char"/>
    <w:link w:val="Tablehead"/>
    <w:qFormat/>
    <w:locked/>
    <w:rsid w:val="00B20F1E"/>
    <w:rPr>
      <w:rFonts w:ascii="Times New Roman" w:hAnsi="Times New Roman"/>
      <w:b/>
      <w:lang w:val="es-ES_tradnl" w:eastAsia="en-US"/>
    </w:rPr>
  </w:style>
  <w:style w:type="paragraph" w:customStyle="1" w:styleId="ECCBulletsLv1">
    <w:name w:val="ECC Bullets Lv1"/>
    <w:basedOn w:val="Normal"/>
    <w:qFormat/>
    <w:rsid w:val="00B20F1E"/>
    <w:pPr>
      <w:numPr>
        <w:numId w:val="10"/>
      </w:numPr>
      <w:tabs>
        <w:tab w:val="clear" w:pos="1134"/>
        <w:tab w:val="clear" w:pos="1871"/>
        <w:tab w:val="clear" w:pos="2268"/>
        <w:tab w:val="left" w:pos="340"/>
      </w:tabs>
      <w:overflowPunct/>
      <w:autoSpaceDE/>
      <w:autoSpaceDN/>
      <w:adjustRightInd/>
      <w:spacing w:before="60"/>
      <w:jc w:val="both"/>
      <w:textAlignment w:val="auto"/>
    </w:pPr>
    <w:rPr>
      <w:rFonts w:ascii="Arial" w:eastAsia="Calibri" w:hAnsi="Arial"/>
      <w:sz w:val="20"/>
      <w:szCs w:val="22"/>
      <w:lang w:val="en-GB"/>
    </w:rPr>
  </w:style>
  <w:style w:type="character" w:customStyle="1" w:styleId="ECCParagraph">
    <w:name w:val="ECC Paragraph"/>
    <w:uiPriority w:val="1"/>
    <w:qFormat/>
    <w:rsid w:val="00B20F1E"/>
    <w:rPr>
      <w:rFonts w:ascii="Arial" w:hAnsi="Arial"/>
      <w:noProof w:val="0"/>
      <w:sz w:val="20"/>
      <w:bdr w:val="none" w:sz="0" w:space="0" w:color="auto"/>
      <w:lang w:val="en-GB"/>
    </w:rPr>
  </w:style>
  <w:style w:type="table" w:styleId="ColorfulList-Accent1">
    <w:name w:val="Colorful List Accent 1"/>
    <w:basedOn w:val="TableNormal"/>
    <w:link w:val="ColorfulList-Accent1Char"/>
    <w:uiPriority w:val="34"/>
    <w:semiHidden/>
    <w:unhideWhenUsed/>
    <w:rsid w:val="00B20F1E"/>
    <w:rPr>
      <w:rFonts w:ascii="Tahoma" w:hAnsi="Tahoma" w:cs="Tahoma"/>
      <w:color w:val="000000"/>
      <w:kern w:val="1"/>
      <w:sz w:val="24"/>
      <w:szCs w:val="24"/>
      <w:lang w:eastAsia="ar-S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lorfulList-Accent1Char">
    <w:name w:val="Colorful List - Accent 1 Char"/>
    <w:link w:val="ColorfulList-Accent1"/>
    <w:uiPriority w:val="34"/>
    <w:semiHidden/>
    <w:locked/>
    <w:rsid w:val="00B20F1E"/>
    <w:rPr>
      <w:rFonts w:ascii="Tahoma" w:hAnsi="Tahoma" w:cs="Tahoma"/>
      <w:color w:val="000000"/>
      <w:kern w:val="1"/>
      <w:sz w:val="24"/>
      <w:szCs w:val="24"/>
      <w:lang w:val="en-US" w:eastAsia="ar-SA"/>
    </w:rPr>
  </w:style>
  <w:style w:type="paragraph" w:customStyle="1" w:styleId="TableParagraph">
    <w:name w:val="Table Paragraph"/>
    <w:basedOn w:val="Normal"/>
    <w:uiPriority w:val="1"/>
    <w:qFormat/>
    <w:rsid w:val="00B20F1E"/>
    <w:pPr>
      <w:widowControl w:val="0"/>
      <w:tabs>
        <w:tab w:val="clear" w:pos="1134"/>
        <w:tab w:val="clear" w:pos="1871"/>
        <w:tab w:val="clear" w:pos="2268"/>
      </w:tabs>
      <w:overflowPunct/>
      <w:adjustRightInd/>
      <w:spacing w:before="0"/>
      <w:ind w:left="108"/>
      <w:textAlignment w:val="auto"/>
    </w:pPr>
    <w:rPr>
      <w:rFonts w:ascii="Arial" w:eastAsia="Arial" w:hAnsi="Arial" w:cs="Arial"/>
      <w:sz w:val="22"/>
      <w:szCs w:val="22"/>
      <w:lang w:val="en-GB"/>
    </w:rPr>
  </w:style>
  <w:style w:type="character" w:customStyle="1" w:styleId="UnresolvedMention1">
    <w:name w:val="Unresolved Mention1"/>
    <w:basedOn w:val="DefaultParagraphFont"/>
    <w:uiPriority w:val="99"/>
    <w:semiHidden/>
    <w:unhideWhenUsed/>
    <w:rsid w:val="00B20F1E"/>
    <w:rPr>
      <w:color w:val="605E5C"/>
      <w:shd w:val="clear" w:color="auto" w:fill="E1DFDD"/>
    </w:rPr>
  </w:style>
  <w:style w:type="character" w:customStyle="1" w:styleId="TabletextChar">
    <w:name w:val="Table_text Char"/>
    <w:basedOn w:val="DefaultParagraphFont"/>
    <w:link w:val="Tabletext"/>
    <w:qFormat/>
    <w:locked/>
    <w:rsid w:val="00B20F1E"/>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tuuat.af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6E68-8757-4DDB-8DFC-40390F9D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PS_WRC23.dotx</Template>
  <TotalTime>311</TotalTime>
  <Pages>34</Pages>
  <Words>16605</Words>
  <Characters>84782</Characters>
  <Application>Microsoft Office Word</Application>
  <DocSecurity>0</DocSecurity>
  <Lines>706</Lines>
  <Paragraphs>202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101185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- 2023</dc:subject>
  <dc:creator>Spanish</dc:creator>
  <cp:keywords>WRC-23</cp:keywords>
  <cp:lastModifiedBy>Spanish</cp:lastModifiedBy>
  <cp:revision>13</cp:revision>
  <cp:lastPrinted>2003-02-19T20:20:00Z</cp:lastPrinted>
  <dcterms:created xsi:type="dcterms:W3CDTF">2023-11-07T11:36:00Z</dcterms:created>
  <dcterms:modified xsi:type="dcterms:W3CDTF">2023-11-08T13:34:00Z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