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0D5771" w14:paraId="3C5EC788" w14:textId="77777777" w:rsidTr="00B23EDF">
        <w:trPr>
          <w:cantSplit/>
        </w:trPr>
        <w:tc>
          <w:tcPr>
            <w:tcW w:w="1418" w:type="dxa"/>
            <w:vAlign w:val="center"/>
          </w:tcPr>
          <w:p w14:paraId="01069D44" w14:textId="77777777" w:rsidR="00B23EDF" w:rsidRPr="000D5771" w:rsidRDefault="00B23EDF" w:rsidP="006316B9">
            <w:pPr>
              <w:spacing w:before="100" w:beforeAutospacing="1"/>
              <w:rPr>
                <w:rFonts w:ascii="Verdana" w:hAnsi="Verdana"/>
                <w:b/>
                <w:bCs/>
                <w:sz w:val="20"/>
              </w:rPr>
            </w:pPr>
            <w:r w:rsidRPr="000D5771">
              <w:rPr>
                <w:noProof/>
              </w:rPr>
              <w:drawing>
                <wp:inline distT="0" distB="0" distL="0" distR="0" wp14:anchorId="5A16C072" wp14:editId="35E1B3E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75CBED2D" w14:textId="030D5F83" w:rsidR="00B23EDF" w:rsidRPr="000D5771" w:rsidRDefault="00B23EDF" w:rsidP="006316B9">
            <w:pPr>
              <w:spacing w:before="400" w:after="48"/>
              <w:rPr>
                <w:rFonts w:ascii="Verdana" w:hAnsi="Verdana"/>
                <w:b/>
                <w:bCs/>
                <w:sz w:val="20"/>
              </w:rPr>
            </w:pPr>
            <w:r w:rsidRPr="000D5771">
              <w:rPr>
                <w:rFonts w:ascii="Verdana" w:hAnsi="Verdana"/>
                <w:b/>
                <w:bCs/>
                <w:sz w:val="20"/>
              </w:rPr>
              <w:t>Conférence mondiale des radiocommunications (CMR-23)</w:t>
            </w:r>
            <w:r w:rsidRPr="000D5771">
              <w:rPr>
                <w:rFonts w:ascii="Verdana" w:hAnsi="Verdana"/>
                <w:b/>
                <w:bCs/>
                <w:sz w:val="20"/>
              </w:rPr>
              <w:br/>
            </w:r>
            <w:r w:rsidRPr="000D5771">
              <w:rPr>
                <w:rFonts w:ascii="Verdana" w:hAnsi="Verdana"/>
                <w:b/>
                <w:bCs/>
                <w:sz w:val="18"/>
                <w:szCs w:val="18"/>
              </w:rPr>
              <w:t xml:space="preserve">Dubaï, 20 novembre </w:t>
            </w:r>
            <w:r w:rsidR="00412881" w:rsidRPr="000D5771">
              <w:rPr>
                <w:rFonts w:ascii="Verdana" w:hAnsi="Verdana"/>
                <w:b/>
                <w:bCs/>
                <w:sz w:val="18"/>
                <w:szCs w:val="18"/>
              </w:rPr>
              <w:t>–</w:t>
            </w:r>
            <w:r w:rsidRPr="000D5771">
              <w:rPr>
                <w:rFonts w:ascii="Verdana" w:hAnsi="Verdana"/>
                <w:b/>
                <w:bCs/>
                <w:sz w:val="18"/>
                <w:szCs w:val="18"/>
              </w:rPr>
              <w:t xml:space="preserve"> 15 décembre 2023</w:t>
            </w:r>
          </w:p>
        </w:tc>
        <w:tc>
          <w:tcPr>
            <w:tcW w:w="1667" w:type="dxa"/>
            <w:vAlign w:val="center"/>
          </w:tcPr>
          <w:p w14:paraId="2B56CF63" w14:textId="77777777" w:rsidR="00B23EDF" w:rsidRPr="000D5771" w:rsidRDefault="00B23EDF" w:rsidP="006316B9">
            <w:pPr>
              <w:spacing w:before="0"/>
            </w:pPr>
            <w:bookmarkStart w:id="0" w:name="ditulogo"/>
            <w:bookmarkEnd w:id="0"/>
            <w:r w:rsidRPr="000D5771">
              <w:rPr>
                <w:noProof/>
              </w:rPr>
              <w:drawing>
                <wp:inline distT="0" distB="0" distL="0" distR="0" wp14:anchorId="2EBF5A45" wp14:editId="7DF6C92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0D5771" w14:paraId="0C808FD2" w14:textId="77777777" w:rsidTr="009E2ECD">
        <w:trPr>
          <w:cantSplit/>
        </w:trPr>
        <w:tc>
          <w:tcPr>
            <w:tcW w:w="6911" w:type="dxa"/>
            <w:gridSpan w:val="2"/>
            <w:tcBorders>
              <w:bottom w:val="single" w:sz="12" w:space="0" w:color="auto"/>
            </w:tcBorders>
          </w:tcPr>
          <w:p w14:paraId="1B197996" w14:textId="77777777" w:rsidR="00587A4E" w:rsidRPr="000D5771" w:rsidRDefault="00587A4E" w:rsidP="006316B9">
            <w:pPr>
              <w:spacing w:before="0" w:after="48"/>
              <w:rPr>
                <w:b/>
                <w:smallCaps/>
                <w:szCs w:val="24"/>
              </w:rPr>
            </w:pPr>
            <w:bookmarkStart w:id="1" w:name="dhead"/>
          </w:p>
        </w:tc>
        <w:tc>
          <w:tcPr>
            <w:tcW w:w="3120" w:type="dxa"/>
            <w:gridSpan w:val="2"/>
            <w:tcBorders>
              <w:bottom w:val="single" w:sz="12" w:space="0" w:color="auto"/>
            </w:tcBorders>
          </w:tcPr>
          <w:p w14:paraId="3B5A266A" w14:textId="77777777" w:rsidR="00587A4E" w:rsidRPr="000D5771" w:rsidRDefault="00587A4E" w:rsidP="006316B9">
            <w:pPr>
              <w:spacing w:before="0"/>
              <w:rPr>
                <w:rFonts w:ascii="Verdana" w:hAnsi="Verdana"/>
                <w:szCs w:val="24"/>
              </w:rPr>
            </w:pPr>
          </w:p>
        </w:tc>
      </w:tr>
      <w:tr w:rsidR="00587A4E" w:rsidRPr="000D5771" w14:paraId="24E35624" w14:textId="77777777" w:rsidTr="009E2ECD">
        <w:trPr>
          <w:cantSplit/>
        </w:trPr>
        <w:tc>
          <w:tcPr>
            <w:tcW w:w="6911" w:type="dxa"/>
            <w:gridSpan w:val="2"/>
            <w:tcBorders>
              <w:top w:val="single" w:sz="12" w:space="0" w:color="auto"/>
            </w:tcBorders>
          </w:tcPr>
          <w:p w14:paraId="3B1A2090" w14:textId="77777777" w:rsidR="00587A4E" w:rsidRPr="000D5771" w:rsidRDefault="00587A4E" w:rsidP="006316B9">
            <w:pPr>
              <w:spacing w:before="0" w:after="48"/>
              <w:rPr>
                <w:rFonts w:ascii="Verdana" w:hAnsi="Verdana"/>
                <w:b/>
                <w:smallCaps/>
                <w:sz w:val="20"/>
              </w:rPr>
            </w:pPr>
          </w:p>
        </w:tc>
        <w:tc>
          <w:tcPr>
            <w:tcW w:w="3120" w:type="dxa"/>
            <w:gridSpan w:val="2"/>
            <w:tcBorders>
              <w:top w:val="single" w:sz="12" w:space="0" w:color="auto"/>
            </w:tcBorders>
          </w:tcPr>
          <w:p w14:paraId="746013C5" w14:textId="77777777" w:rsidR="00587A4E" w:rsidRPr="000D5771" w:rsidRDefault="00587A4E" w:rsidP="006316B9">
            <w:pPr>
              <w:spacing w:before="0"/>
              <w:rPr>
                <w:rFonts w:ascii="Verdana" w:hAnsi="Verdana"/>
                <w:sz w:val="20"/>
              </w:rPr>
            </w:pPr>
          </w:p>
        </w:tc>
      </w:tr>
      <w:tr w:rsidR="00587A4E" w:rsidRPr="000D5771" w14:paraId="2837101B" w14:textId="77777777" w:rsidTr="009E2ECD">
        <w:trPr>
          <w:cantSplit/>
        </w:trPr>
        <w:tc>
          <w:tcPr>
            <w:tcW w:w="6911" w:type="dxa"/>
            <w:gridSpan w:val="2"/>
          </w:tcPr>
          <w:p w14:paraId="406C7A5F" w14:textId="77777777" w:rsidR="00587A4E" w:rsidRPr="000D5771" w:rsidRDefault="008D6821" w:rsidP="006316B9">
            <w:pPr>
              <w:spacing w:before="0"/>
              <w:rPr>
                <w:rFonts w:ascii="Verdana" w:hAnsi="Verdana"/>
                <w:b/>
                <w:sz w:val="20"/>
              </w:rPr>
            </w:pPr>
            <w:r w:rsidRPr="000D5771">
              <w:rPr>
                <w:rFonts w:ascii="Verdana" w:hAnsi="Verdana"/>
                <w:b/>
                <w:sz w:val="20"/>
              </w:rPr>
              <w:t>SÉANCE PLÉNIÈRE</w:t>
            </w:r>
          </w:p>
        </w:tc>
        <w:tc>
          <w:tcPr>
            <w:tcW w:w="3120" w:type="dxa"/>
            <w:gridSpan w:val="2"/>
          </w:tcPr>
          <w:p w14:paraId="1C9F5971" w14:textId="7786CF43" w:rsidR="00587A4E" w:rsidRPr="000D5771" w:rsidRDefault="00587A4E" w:rsidP="006316B9">
            <w:pPr>
              <w:spacing w:before="0"/>
              <w:rPr>
                <w:rFonts w:ascii="Verdana" w:hAnsi="Verdana"/>
                <w:sz w:val="20"/>
              </w:rPr>
            </w:pPr>
            <w:r w:rsidRPr="000D5771">
              <w:rPr>
                <w:rFonts w:ascii="Verdana" w:hAnsi="Verdana"/>
                <w:b/>
                <w:sz w:val="20"/>
              </w:rPr>
              <w:t xml:space="preserve">Document </w:t>
            </w:r>
            <w:r w:rsidR="00C828D8" w:rsidRPr="000D5771">
              <w:rPr>
                <w:rFonts w:ascii="Verdana" w:hAnsi="Verdana"/>
                <w:b/>
                <w:sz w:val="20"/>
              </w:rPr>
              <w:t>87</w:t>
            </w:r>
            <w:r w:rsidRPr="000D5771">
              <w:rPr>
                <w:rFonts w:ascii="Verdana" w:hAnsi="Verdana"/>
                <w:b/>
                <w:sz w:val="20"/>
              </w:rPr>
              <w:t>-F</w:t>
            </w:r>
          </w:p>
        </w:tc>
      </w:tr>
      <w:bookmarkEnd w:id="1"/>
      <w:tr w:rsidR="00587A4E" w:rsidRPr="000D5771" w14:paraId="22AD4BBF" w14:textId="77777777" w:rsidTr="009E2ECD">
        <w:trPr>
          <w:cantSplit/>
        </w:trPr>
        <w:tc>
          <w:tcPr>
            <w:tcW w:w="6911" w:type="dxa"/>
            <w:gridSpan w:val="2"/>
          </w:tcPr>
          <w:p w14:paraId="63719D4B" w14:textId="77777777" w:rsidR="00587A4E" w:rsidRPr="000D5771" w:rsidRDefault="00587A4E" w:rsidP="006316B9">
            <w:pPr>
              <w:spacing w:before="0"/>
              <w:rPr>
                <w:rFonts w:ascii="Verdana" w:hAnsi="Verdana"/>
                <w:b/>
                <w:sz w:val="20"/>
              </w:rPr>
            </w:pPr>
          </w:p>
        </w:tc>
        <w:tc>
          <w:tcPr>
            <w:tcW w:w="3120" w:type="dxa"/>
            <w:gridSpan w:val="2"/>
          </w:tcPr>
          <w:p w14:paraId="18AC3D03" w14:textId="4904BE87" w:rsidR="00587A4E" w:rsidRPr="000D5771" w:rsidRDefault="00C828D8" w:rsidP="006316B9">
            <w:pPr>
              <w:spacing w:before="0"/>
              <w:rPr>
                <w:rFonts w:ascii="Verdana" w:hAnsi="Verdana"/>
                <w:b/>
                <w:sz w:val="20"/>
              </w:rPr>
            </w:pPr>
            <w:r w:rsidRPr="000D5771">
              <w:rPr>
                <w:rFonts w:ascii="Verdana" w:hAnsi="Verdana"/>
                <w:b/>
                <w:sz w:val="20"/>
              </w:rPr>
              <w:t>23 octobre</w:t>
            </w:r>
            <w:r w:rsidR="00587A4E" w:rsidRPr="000D5771">
              <w:rPr>
                <w:rFonts w:ascii="Verdana" w:hAnsi="Verdana"/>
                <w:b/>
                <w:sz w:val="20"/>
              </w:rPr>
              <w:t xml:space="preserve"> 20</w:t>
            </w:r>
            <w:r w:rsidR="00CD3928" w:rsidRPr="000D5771">
              <w:rPr>
                <w:rFonts w:ascii="Verdana" w:hAnsi="Verdana"/>
                <w:b/>
                <w:sz w:val="20"/>
              </w:rPr>
              <w:t>23</w:t>
            </w:r>
          </w:p>
        </w:tc>
      </w:tr>
      <w:tr w:rsidR="00587A4E" w:rsidRPr="000D5771" w14:paraId="2208173E" w14:textId="77777777" w:rsidTr="009E2ECD">
        <w:trPr>
          <w:cantSplit/>
        </w:trPr>
        <w:tc>
          <w:tcPr>
            <w:tcW w:w="6911" w:type="dxa"/>
            <w:gridSpan w:val="2"/>
          </w:tcPr>
          <w:p w14:paraId="6D3FA5F1" w14:textId="77777777" w:rsidR="00587A4E" w:rsidRPr="000D5771" w:rsidRDefault="00587A4E" w:rsidP="006316B9">
            <w:pPr>
              <w:spacing w:before="0" w:after="48"/>
              <w:rPr>
                <w:rFonts w:ascii="Verdana" w:hAnsi="Verdana"/>
                <w:b/>
                <w:smallCaps/>
                <w:sz w:val="20"/>
              </w:rPr>
            </w:pPr>
          </w:p>
        </w:tc>
        <w:tc>
          <w:tcPr>
            <w:tcW w:w="3120" w:type="dxa"/>
            <w:gridSpan w:val="2"/>
          </w:tcPr>
          <w:p w14:paraId="3DCDFA4C" w14:textId="77777777" w:rsidR="00587A4E" w:rsidRPr="000D5771" w:rsidRDefault="00587A4E" w:rsidP="006316B9">
            <w:pPr>
              <w:spacing w:before="0"/>
              <w:rPr>
                <w:rFonts w:ascii="Verdana" w:hAnsi="Verdana"/>
                <w:b/>
                <w:sz w:val="20"/>
              </w:rPr>
            </w:pPr>
            <w:r w:rsidRPr="000D5771">
              <w:rPr>
                <w:rFonts w:ascii="Verdana" w:hAnsi="Verdana"/>
                <w:b/>
                <w:sz w:val="20"/>
              </w:rPr>
              <w:t>Original: anglais</w:t>
            </w:r>
          </w:p>
        </w:tc>
      </w:tr>
      <w:tr w:rsidR="00587A4E" w:rsidRPr="000D5771" w14:paraId="13F899CC" w14:textId="77777777" w:rsidTr="009E2ECD">
        <w:trPr>
          <w:cantSplit/>
        </w:trPr>
        <w:tc>
          <w:tcPr>
            <w:tcW w:w="10031" w:type="dxa"/>
            <w:gridSpan w:val="4"/>
          </w:tcPr>
          <w:p w14:paraId="2B707300" w14:textId="77777777" w:rsidR="00587A4E" w:rsidRPr="000D5771" w:rsidRDefault="00587A4E" w:rsidP="006316B9">
            <w:pPr>
              <w:spacing w:before="0"/>
              <w:rPr>
                <w:rFonts w:ascii="Verdana" w:hAnsi="Verdana"/>
                <w:b/>
                <w:sz w:val="20"/>
              </w:rPr>
            </w:pPr>
          </w:p>
        </w:tc>
      </w:tr>
      <w:tr w:rsidR="00587A4E" w:rsidRPr="000D5771" w14:paraId="4857AEF6" w14:textId="77777777" w:rsidTr="009E2ECD">
        <w:trPr>
          <w:cantSplit/>
        </w:trPr>
        <w:tc>
          <w:tcPr>
            <w:tcW w:w="10031" w:type="dxa"/>
            <w:gridSpan w:val="4"/>
          </w:tcPr>
          <w:p w14:paraId="4330F5EF" w14:textId="2442BBB5" w:rsidR="00587A4E" w:rsidRPr="000D5771" w:rsidRDefault="00B4245F" w:rsidP="006316B9">
            <w:pPr>
              <w:pStyle w:val="Source"/>
            </w:pPr>
            <w:bookmarkStart w:id="2" w:name="dsource" w:colFirst="0" w:colLast="0"/>
            <w:r w:rsidRPr="000D5771">
              <w:t>Propositions africaines communes</w:t>
            </w:r>
          </w:p>
        </w:tc>
      </w:tr>
      <w:tr w:rsidR="00587A4E" w:rsidRPr="000D5771" w14:paraId="36570A8A" w14:textId="77777777" w:rsidTr="009E2ECD">
        <w:trPr>
          <w:cantSplit/>
        </w:trPr>
        <w:tc>
          <w:tcPr>
            <w:tcW w:w="10031" w:type="dxa"/>
            <w:gridSpan w:val="4"/>
          </w:tcPr>
          <w:p w14:paraId="66DFE4BD" w14:textId="1936A5AA" w:rsidR="00587A4E" w:rsidRPr="000D5771" w:rsidRDefault="00C828D8" w:rsidP="006316B9">
            <w:pPr>
              <w:pStyle w:val="Title1"/>
            </w:pPr>
            <w:bookmarkStart w:id="3" w:name="dtitle1" w:colFirst="0" w:colLast="0"/>
            <w:bookmarkEnd w:id="2"/>
            <w:r w:rsidRPr="000D5771">
              <w:t>Propositions pour les travaux de la Conférence</w:t>
            </w:r>
          </w:p>
        </w:tc>
      </w:tr>
      <w:tr w:rsidR="00587A4E" w:rsidRPr="000D5771" w14:paraId="53DDDEB9" w14:textId="77777777" w:rsidTr="009E2ECD">
        <w:trPr>
          <w:cantSplit/>
        </w:trPr>
        <w:tc>
          <w:tcPr>
            <w:tcW w:w="10031" w:type="dxa"/>
            <w:gridSpan w:val="4"/>
          </w:tcPr>
          <w:p w14:paraId="443C2ED8" w14:textId="035933F6" w:rsidR="00587A4E" w:rsidRPr="000D5771" w:rsidRDefault="00B4245F" w:rsidP="006316B9">
            <w:pPr>
              <w:pStyle w:val="Title2"/>
            </w:pPr>
            <w:bookmarkStart w:id="4" w:name="dtitle2" w:colFirst="0" w:colLast="0"/>
            <w:bookmarkEnd w:id="3"/>
            <w:r w:rsidRPr="000D5771">
              <w:t>DOCUMENT DE BASE</w:t>
            </w:r>
          </w:p>
        </w:tc>
      </w:tr>
    </w:tbl>
    <w:bookmarkEnd w:id="4"/>
    <w:p w14:paraId="4CCC70F8" w14:textId="3E9ACD22" w:rsidR="00F372DE" w:rsidRPr="000D5771" w:rsidRDefault="00C828D8" w:rsidP="006316B9">
      <w:pPr>
        <w:pStyle w:val="Heading1"/>
      </w:pPr>
      <w:r w:rsidRPr="000D5771">
        <w:t>1</w:t>
      </w:r>
      <w:r w:rsidRPr="000D5771">
        <w:tab/>
        <w:t>Introduction</w:t>
      </w:r>
    </w:p>
    <w:p w14:paraId="7F5A7D9B" w14:textId="4B09F864" w:rsidR="00C828D8" w:rsidRPr="000D5771" w:rsidRDefault="007A6528" w:rsidP="006316B9">
      <w:r w:rsidRPr="000D5771">
        <w:t>Au cours de la période qui a suivi l'</w:t>
      </w:r>
      <w:r w:rsidR="00620924" w:rsidRPr="000D5771">
        <w:t>Assemblée des radiocommunications de 2019 (</w:t>
      </w:r>
      <w:r w:rsidRPr="000D5771">
        <w:t>AR-19</w:t>
      </w:r>
      <w:r w:rsidR="00620924" w:rsidRPr="000D5771">
        <w:t>)</w:t>
      </w:r>
      <w:r w:rsidRPr="000D5771">
        <w:t xml:space="preserve"> et la </w:t>
      </w:r>
      <w:r w:rsidR="00620924" w:rsidRPr="000D5771">
        <w:t>Conférence mondiale des radiocommunications de 2019 (</w:t>
      </w:r>
      <w:r w:rsidRPr="000D5771">
        <w:t>CMR-19</w:t>
      </w:r>
      <w:r w:rsidR="00620924" w:rsidRPr="000D5771">
        <w:t>)</w:t>
      </w:r>
      <w:r w:rsidRPr="000D5771">
        <w:t xml:space="preserve">, la région de l'Afrique a </w:t>
      </w:r>
      <w:r w:rsidR="002F74C1" w:rsidRPr="000D5771">
        <w:t>mené avec rigueur des</w:t>
      </w:r>
      <w:r w:rsidRPr="000D5771">
        <w:t xml:space="preserve"> travaux préparatoires en vue de l'</w:t>
      </w:r>
      <w:r w:rsidR="00620924" w:rsidRPr="000D5771">
        <w:t>Assemblée des radiocommunications de 2023 (</w:t>
      </w:r>
      <w:r w:rsidRPr="000D5771">
        <w:t>AR</w:t>
      </w:r>
      <w:r w:rsidR="003C435D" w:rsidRPr="000D5771">
        <w:noBreakHyphen/>
      </w:r>
      <w:r w:rsidRPr="000D5771">
        <w:t>23</w:t>
      </w:r>
      <w:r w:rsidR="00620924" w:rsidRPr="000D5771">
        <w:t>)</w:t>
      </w:r>
      <w:r w:rsidRPr="000D5771">
        <w:t xml:space="preserve"> et de la </w:t>
      </w:r>
      <w:r w:rsidR="00620924" w:rsidRPr="000D5771">
        <w:t>Conférence mondiale des radiocommunications de 2023 (</w:t>
      </w:r>
      <w:r w:rsidRPr="000D5771">
        <w:t>CMR-23</w:t>
      </w:r>
      <w:r w:rsidR="00620924" w:rsidRPr="000D5771">
        <w:t>)</w:t>
      </w:r>
      <w:r w:rsidRPr="000D5771">
        <w:t xml:space="preserve">. Pendant cette période, une </w:t>
      </w:r>
      <w:r w:rsidR="002F74C1" w:rsidRPr="000D5771">
        <w:t xml:space="preserve">nette </w:t>
      </w:r>
      <w:r w:rsidRPr="000D5771">
        <w:t xml:space="preserve">majorité </w:t>
      </w:r>
      <w:r w:rsidR="002F74C1" w:rsidRPr="000D5771">
        <w:t xml:space="preserve">des </w:t>
      </w:r>
      <w:r w:rsidRPr="000D5771">
        <w:t>États Membres de l'UAT</w:t>
      </w:r>
      <w:r w:rsidR="003C435D" w:rsidRPr="000D5771">
        <w:rPr>
          <w:rStyle w:val="FootnoteReference"/>
        </w:rPr>
        <w:footnoteReference w:customMarkFollows="1" w:id="1"/>
        <w:t>1</w:t>
      </w:r>
      <w:r w:rsidRPr="000D5771">
        <w:t xml:space="preserve"> a </w:t>
      </w:r>
      <w:r w:rsidR="002F74C1" w:rsidRPr="000D5771">
        <w:t>participé pleinement et activement aux</w:t>
      </w:r>
      <w:r w:rsidRPr="000D5771">
        <w:t xml:space="preserve"> </w:t>
      </w:r>
      <w:r w:rsidR="002F74C1" w:rsidRPr="000D5771">
        <w:t>processus décisionnels</w:t>
      </w:r>
      <w:r w:rsidRPr="000D5771">
        <w:t xml:space="preserve">. Les </w:t>
      </w:r>
      <w:r w:rsidR="00976998" w:rsidRPr="000D5771">
        <w:t xml:space="preserve">quarante-cinq (45) </w:t>
      </w:r>
      <w:r w:rsidRPr="000D5771">
        <w:t xml:space="preserve">États Membres </w:t>
      </w:r>
      <w:r w:rsidR="00976998" w:rsidRPr="000D5771">
        <w:t>de l'UAT ci-dessous</w:t>
      </w:r>
      <w:r w:rsidRPr="000D5771">
        <w:t xml:space="preserve"> ont participé à la </w:t>
      </w:r>
      <w:r w:rsidR="00976998" w:rsidRPr="000D5771">
        <w:t xml:space="preserve">dernière </w:t>
      </w:r>
      <w:r w:rsidRPr="000D5771">
        <w:t>réunion préparatoire de l'UAT tenue en août 2023</w:t>
      </w:r>
      <w:r w:rsidR="00412881" w:rsidRPr="000D5771">
        <w:t>:</w:t>
      </w:r>
    </w:p>
    <w:p w14:paraId="3DA58B66" w14:textId="71F9CFC9" w:rsidR="00C828D8" w:rsidRPr="000D5771" w:rsidRDefault="00412881" w:rsidP="006316B9">
      <w:pPr>
        <w:ind w:left="1134" w:hanging="1134"/>
      </w:pPr>
      <w:r w:rsidRPr="000D5771">
        <w:tab/>
      </w:r>
      <w:r w:rsidR="00C828D8" w:rsidRPr="000D5771">
        <w:t>Algérie, Angola, Bénin, Botswana, Burkina Faso, Burundi, Cabo Verde, Cameroun, Centrafricaine (Ré</w:t>
      </w:r>
      <w:r w:rsidR="006316B9" w:rsidRPr="000D5771">
        <w:t>p.</w:t>
      </w:r>
      <w:r w:rsidR="00C828D8" w:rsidRPr="000D5771">
        <w:t>), Comores, Congo (Rép</w:t>
      </w:r>
      <w:r w:rsidR="006316B9" w:rsidRPr="000D5771">
        <w:t>.</w:t>
      </w:r>
      <w:r w:rsidR="00C828D8" w:rsidRPr="000D5771">
        <w:t xml:space="preserve"> du), Côte d'Ivoire, Djibouti, </w:t>
      </w:r>
      <w:r w:rsidR="003B3395" w:rsidRPr="000D5771">
        <w:t>É</w:t>
      </w:r>
      <w:r w:rsidR="00C828D8" w:rsidRPr="000D5771">
        <w:t xml:space="preserve">gypte, Eswatini, Gabon, Gambie, Ghana, Guinée, Guinée équatoriale, Kenya, Lesotho, Libéria, Madagascar, Malawi, Mali, Maroc, </w:t>
      </w:r>
      <w:r w:rsidR="003B3395" w:rsidRPr="000D5771">
        <w:t>Maurice</w:t>
      </w:r>
      <w:r w:rsidR="00C828D8" w:rsidRPr="000D5771">
        <w:t xml:space="preserve">, Mozambique, Namibie, Niger, Nigéria, Ouganda, Rwanda, Sao Tomé-et-Principe, Sénégal, Soudan du Sud, </w:t>
      </w:r>
      <w:r w:rsidRPr="000D5771">
        <w:t xml:space="preserve">Sudafricaine (Rép.), </w:t>
      </w:r>
      <w:r w:rsidR="00C828D8" w:rsidRPr="000D5771">
        <w:t>Tanzani</w:t>
      </w:r>
      <w:r w:rsidR="003B3395" w:rsidRPr="000D5771">
        <w:t>e, Tchad, Togo, Tunisie, Zambie et</w:t>
      </w:r>
      <w:r w:rsidR="00C828D8" w:rsidRPr="000D5771">
        <w:t xml:space="preserve"> Zimbabwe</w:t>
      </w:r>
      <w:r w:rsidRPr="000D5771">
        <w:t>.</w:t>
      </w:r>
    </w:p>
    <w:p w14:paraId="76BEAC55" w14:textId="3CF9F10E" w:rsidR="00C828D8" w:rsidRPr="000D5771" w:rsidRDefault="00C828D8" w:rsidP="006316B9">
      <w:pPr>
        <w:pStyle w:val="Heading1"/>
      </w:pPr>
      <w:r w:rsidRPr="000D5771">
        <w:t>2</w:t>
      </w:r>
      <w:r w:rsidRPr="000D5771">
        <w:tab/>
      </w:r>
      <w:r w:rsidR="00412881" w:rsidRPr="000D5771">
        <w:t>Propositions</w:t>
      </w:r>
    </w:p>
    <w:p w14:paraId="28C38333" w14:textId="3EDAD40D" w:rsidR="003C435D" w:rsidRPr="000D5771" w:rsidRDefault="009E2ECD" w:rsidP="006316B9">
      <w:r w:rsidRPr="000D5771">
        <w:t>À la suite des travaux préparatoires, l'UAT a l'honneur de soumettre</w:t>
      </w:r>
      <w:r w:rsidR="0053186A" w:rsidRPr="000D5771">
        <w:t xml:space="preserve"> à la CMR-23</w:t>
      </w:r>
      <w:r w:rsidRPr="000D5771">
        <w:t xml:space="preserve"> les propositions/positions africaines communes </w:t>
      </w:r>
      <w:r w:rsidR="0053186A" w:rsidRPr="000D5771">
        <w:t xml:space="preserve">(AfCP) </w:t>
      </w:r>
      <w:r w:rsidRPr="000D5771">
        <w:t xml:space="preserve">ci-après, </w:t>
      </w:r>
      <w:r w:rsidR="0053186A" w:rsidRPr="000D5771">
        <w:t>qui tr</w:t>
      </w:r>
      <w:r w:rsidR="00741525" w:rsidRPr="000D5771">
        <w:t>a</w:t>
      </w:r>
      <w:r w:rsidR="0053186A" w:rsidRPr="000D5771">
        <w:t xml:space="preserve">duisent </w:t>
      </w:r>
      <w:r w:rsidRPr="000D5771">
        <w:t xml:space="preserve">les </w:t>
      </w:r>
      <w:r w:rsidR="0053186A" w:rsidRPr="000D5771">
        <w:t>aspirations de l'Afrique</w:t>
      </w:r>
      <w:r w:rsidRPr="000D5771">
        <w:t xml:space="preserve"> pour la CMR-23. </w:t>
      </w:r>
      <w:r w:rsidR="0053186A" w:rsidRPr="000D5771">
        <w:t xml:space="preserve">Ces propositions et positions communes </w:t>
      </w:r>
      <w:r w:rsidRPr="000D5771">
        <w:t xml:space="preserve">visent toutes à </w:t>
      </w:r>
      <w:r w:rsidR="00155AD8" w:rsidRPr="000D5771">
        <w:t>continuer d'</w:t>
      </w:r>
      <w:r w:rsidRPr="000D5771">
        <w:t>accroître la portée et les retombées des technologies de l'information et de la communication (TIC) en Afrique</w:t>
      </w:r>
      <w:r w:rsidR="0053186A" w:rsidRPr="000D5771">
        <w:t>,</w:t>
      </w:r>
      <w:r w:rsidRPr="000D5771">
        <w:t xml:space="preserve"> </w:t>
      </w:r>
      <w:r w:rsidR="0053186A" w:rsidRPr="000D5771">
        <w:t>dans le cadre d'</w:t>
      </w:r>
      <w:r w:rsidRPr="000D5771">
        <w:t xml:space="preserve">une utilisation raisonnée du spectre des fréquences radioélectriques, et à appuyer </w:t>
      </w:r>
      <w:r w:rsidR="00155AD8" w:rsidRPr="000D5771">
        <w:t xml:space="preserve">les </w:t>
      </w:r>
      <w:r w:rsidR="0053186A" w:rsidRPr="000D5771">
        <w:t>objectifs d</w:t>
      </w:r>
      <w:r w:rsidRPr="000D5771">
        <w:t>'atténuation des effets des changements climatiques. Les propositions sont résumées dans l'Annexe 1, tandis que les références</w:t>
      </w:r>
      <w:r w:rsidR="0069158C" w:rsidRPr="000D5771">
        <w:t xml:space="preserve"> croisées aux documents contenant les propositions</w:t>
      </w:r>
      <w:r w:rsidR="00926709" w:rsidRPr="000D5771">
        <w:t xml:space="preserve"> à proprement parler</w:t>
      </w:r>
      <w:r w:rsidR="0069158C" w:rsidRPr="000D5771">
        <w:t xml:space="preserve"> (c'est-à-dire les </w:t>
      </w:r>
      <w:r w:rsidR="006316B9" w:rsidRPr="000D5771">
        <w:t>addenda</w:t>
      </w:r>
      <w:r w:rsidR="0069158C" w:rsidRPr="000D5771">
        <w:t xml:space="preserve">) soumis à la CMR-23 </w:t>
      </w:r>
      <w:r w:rsidR="00741525" w:rsidRPr="000D5771">
        <w:t>font l'objet de</w:t>
      </w:r>
      <w:r w:rsidR="0069158C" w:rsidRPr="000D5771">
        <w:t xml:space="preserve"> l'Annexe 2. La liste des États Membres de l'UAT </w:t>
      </w:r>
      <w:r w:rsidR="00E80683" w:rsidRPr="000D5771">
        <w:t xml:space="preserve">ayant </w:t>
      </w:r>
      <w:r w:rsidR="0069158C" w:rsidRPr="000D5771">
        <w:t xml:space="preserve">exprimé des réserves sur certaines </w:t>
      </w:r>
      <w:r w:rsidR="003C435D" w:rsidRPr="000D5771">
        <w:br w:type="page"/>
      </w:r>
    </w:p>
    <w:p w14:paraId="5D2B7EFA" w14:textId="52372642" w:rsidR="00412881" w:rsidRPr="000D5771" w:rsidRDefault="0069158C" w:rsidP="006316B9">
      <w:r w:rsidRPr="000D5771">
        <w:lastRenderedPageBreak/>
        <w:t xml:space="preserve">des </w:t>
      </w:r>
      <w:r w:rsidR="00926709" w:rsidRPr="000D5771">
        <w:t>positions/propositions</w:t>
      </w:r>
      <w:r w:rsidRPr="000D5771">
        <w:t xml:space="preserve"> </w:t>
      </w:r>
      <w:r w:rsidR="00E80683" w:rsidRPr="000D5771">
        <w:t xml:space="preserve">AfCP </w:t>
      </w:r>
      <w:r w:rsidRPr="000D5771">
        <w:t xml:space="preserve">adoptées lors de la </w:t>
      </w:r>
      <w:r w:rsidR="00926709" w:rsidRPr="000D5771">
        <w:t xml:space="preserve">dernière </w:t>
      </w:r>
      <w:r w:rsidRPr="000D5771">
        <w:t xml:space="preserve">réunion préparatoire de l'UAT en vue de la CMR-23 (APM23-4) figure dans l'Annexe 3, et la liste des </w:t>
      </w:r>
      <w:r w:rsidR="00926709" w:rsidRPr="000D5771">
        <w:t>positions/propositions</w:t>
      </w:r>
      <w:r w:rsidRPr="000D5771">
        <w:t xml:space="preserve"> </w:t>
      </w:r>
      <w:r w:rsidR="00E80683" w:rsidRPr="000D5771">
        <w:t xml:space="preserve">AfCP </w:t>
      </w:r>
      <w:r w:rsidRPr="000D5771">
        <w:t>appuyées par le Maroc est reproduite dans l'Annexe 4.</w:t>
      </w:r>
    </w:p>
    <w:p w14:paraId="6CF67C2F" w14:textId="77777777" w:rsidR="00B21E7C" w:rsidRPr="000D5771" w:rsidRDefault="00B21E7C" w:rsidP="006316B9">
      <w:pPr>
        <w:pStyle w:val="AnnexNo"/>
      </w:pPr>
      <w:r w:rsidRPr="000D5771">
        <w:t>Annexe 1</w:t>
      </w:r>
    </w:p>
    <w:p w14:paraId="14C60EFB" w14:textId="4FDA5993" w:rsidR="00412881" w:rsidRPr="000D5771" w:rsidRDefault="00B21E7C" w:rsidP="006316B9">
      <w:pPr>
        <w:pStyle w:val="Annextitle"/>
      </w:pPr>
      <w:r w:rsidRPr="000D5771">
        <w:t xml:space="preserve">Résumé des </w:t>
      </w:r>
      <w:r w:rsidR="0036466F" w:rsidRPr="000D5771">
        <w:t>positions/</w:t>
      </w:r>
      <w:r w:rsidRPr="000D5771">
        <w:t xml:space="preserve">propositions </w:t>
      </w:r>
      <w:r w:rsidR="0061401A" w:rsidRPr="000D5771">
        <w:t>africaines communes</w:t>
      </w:r>
      <w:r w:rsidRPr="000D5771">
        <w:t xml:space="preserve"> et numéro de </w:t>
      </w:r>
      <w:r w:rsidR="00E80683" w:rsidRPr="000D5771">
        <w:t xml:space="preserve">l'Addendum </w:t>
      </w:r>
      <w:r w:rsidRPr="000D5771">
        <w:t>correspondant</w:t>
      </w:r>
    </w:p>
    <w:p w14:paraId="7252A215" w14:textId="48249A46" w:rsidR="00B21E7C" w:rsidRPr="000D5771" w:rsidRDefault="00DE43C5" w:rsidP="006316B9">
      <w:pPr>
        <w:pStyle w:val="Tabletitle"/>
      </w:pPr>
      <w:r w:rsidRPr="000D5771">
        <w:t xml:space="preserve">Points de l'ordre du jour </w:t>
      </w:r>
      <w:r w:rsidR="00E80683" w:rsidRPr="000D5771">
        <w:t>traités dans le</w:t>
      </w:r>
      <w:r w:rsidRPr="000D5771">
        <w:t xml:space="preserve"> Chapitre 1:</w:t>
      </w:r>
      <w:r w:rsidR="00F25E93" w:rsidRPr="000D5771">
        <w:br/>
      </w:r>
      <w:r w:rsidRPr="000D5771">
        <w:t>Questions relatives aux services fixe, mobile et de radiodiffusion</w:t>
      </w:r>
      <w:r w:rsidR="00604CC2" w:rsidRPr="000D5771">
        <w:t xml:space="preserve"> </w:t>
      </w:r>
      <w:r w:rsidR="00604CC2" w:rsidRPr="000D5771">
        <w:br/>
      </w:r>
      <w:r w:rsidRPr="000D5771">
        <w:t>(Points 1.1, 1.2, 1.</w:t>
      </w:r>
      <w:r w:rsidR="00BC114C" w:rsidRPr="000D5771">
        <w:t xml:space="preserve">3, 1.4, 1.5 et </w:t>
      </w:r>
      <w:r w:rsidRPr="000D5771">
        <w:t>9.1</w:t>
      </w:r>
      <w:r w:rsidR="00456B76" w:rsidRPr="000D5771">
        <w:t>, Question C,</w:t>
      </w:r>
      <w:r w:rsidRPr="000D5771">
        <w:t xml:space="preserve"> de l'ordre du jour et Article 21.5 du RR)</w:t>
      </w:r>
    </w:p>
    <w:tbl>
      <w:tblPr>
        <w:tblW w:w="101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2"/>
        <w:gridCol w:w="7174"/>
      </w:tblGrid>
      <w:tr w:rsidR="00613B30" w:rsidRPr="000D5771" w14:paraId="577BC738" w14:textId="77777777" w:rsidTr="00613B30">
        <w:trPr>
          <w:cantSplit/>
        </w:trPr>
        <w:tc>
          <w:tcPr>
            <w:tcW w:w="2972" w:type="dxa"/>
            <w:tcBorders>
              <w:top w:val="single" w:sz="6" w:space="0" w:color="auto"/>
              <w:left w:val="single" w:sz="4" w:space="0" w:color="auto"/>
              <w:bottom w:val="single" w:sz="6" w:space="0" w:color="auto"/>
            </w:tcBorders>
            <w:shd w:val="clear" w:color="auto" w:fill="auto"/>
            <w:vAlign w:val="center"/>
          </w:tcPr>
          <w:p w14:paraId="78DFA41B" w14:textId="76C0B282" w:rsidR="00613B30" w:rsidRPr="000D5771" w:rsidRDefault="00500C87" w:rsidP="006316B9">
            <w:pPr>
              <w:pStyle w:val="TableHead0"/>
              <w:rPr>
                <w:sz w:val="20"/>
                <w:szCs w:val="18"/>
                <w:lang w:val="fr-FR"/>
              </w:rPr>
            </w:pPr>
            <w:r w:rsidRPr="000D5771">
              <w:rPr>
                <w:sz w:val="20"/>
                <w:szCs w:val="18"/>
                <w:lang w:val="fr-FR"/>
              </w:rPr>
              <w:t>Point de l'o</w:t>
            </w:r>
            <w:r w:rsidR="00613B30" w:rsidRPr="000D5771">
              <w:rPr>
                <w:sz w:val="20"/>
                <w:szCs w:val="18"/>
                <w:lang w:val="fr-FR"/>
              </w:rPr>
              <w:t>rdre du jour</w:t>
            </w:r>
          </w:p>
        </w:tc>
        <w:tc>
          <w:tcPr>
            <w:tcW w:w="7174" w:type="dxa"/>
            <w:tcBorders>
              <w:top w:val="single" w:sz="6" w:space="0" w:color="auto"/>
              <w:bottom w:val="single" w:sz="6" w:space="0" w:color="auto"/>
              <w:right w:val="single" w:sz="4" w:space="0" w:color="auto"/>
            </w:tcBorders>
            <w:vAlign w:val="center"/>
          </w:tcPr>
          <w:p w14:paraId="36A79E97" w14:textId="768E42D7" w:rsidR="00613B30" w:rsidRPr="000D5771" w:rsidRDefault="00500C87" w:rsidP="006316B9">
            <w:pPr>
              <w:pStyle w:val="TableHead0"/>
              <w:rPr>
                <w:sz w:val="20"/>
                <w:szCs w:val="18"/>
                <w:lang w:val="fr-FR"/>
              </w:rPr>
            </w:pPr>
            <w:r w:rsidRPr="000D5771">
              <w:rPr>
                <w:sz w:val="20"/>
                <w:szCs w:val="18"/>
                <w:lang w:val="fr-FR"/>
              </w:rPr>
              <w:t>Position/Proposition africaine commune</w:t>
            </w:r>
          </w:p>
        </w:tc>
      </w:tr>
      <w:tr w:rsidR="00613B30" w:rsidRPr="000D5771" w14:paraId="160A3F2A" w14:textId="77777777" w:rsidTr="00ED66CC">
        <w:trPr>
          <w:cantSplit/>
        </w:trPr>
        <w:tc>
          <w:tcPr>
            <w:tcW w:w="2972" w:type="dxa"/>
            <w:tcBorders>
              <w:top w:val="single" w:sz="6" w:space="0" w:color="auto"/>
              <w:left w:val="single" w:sz="4" w:space="0" w:color="auto"/>
              <w:bottom w:val="single" w:sz="6" w:space="0" w:color="auto"/>
            </w:tcBorders>
          </w:tcPr>
          <w:p w14:paraId="15C8B28B" w14:textId="7A1F252C" w:rsidR="00613B30" w:rsidRPr="000D5771" w:rsidRDefault="00613B30" w:rsidP="00F25E93">
            <w:pPr>
              <w:pStyle w:val="TableText0"/>
              <w:spacing w:before="120"/>
              <w:rPr>
                <w:rFonts w:eastAsia="Calibri"/>
                <w:b/>
                <w:bCs/>
                <w:sz w:val="20"/>
                <w:szCs w:val="20"/>
                <w:lang w:val="fr-FR"/>
              </w:rPr>
            </w:pPr>
            <w:bookmarkStart w:id="5" w:name="lt_pId031"/>
            <w:r w:rsidRPr="000D5771">
              <w:rPr>
                <w:rFonts w:eastAsia="Calibri"/>
                <w:b/>
                <w:bCs/>
                <w:sz w:val="20"/>
                <w:szCs w:val="20"/>
                <w:lang w:val="fr-FR"/>
              </w:rPr>
              <w:t>1.1</w:t>
            </w:r>
            <w:bookmarkEnd w:id="5"/>
          </w:p>
          <w:p w14:paraId="54979B0B" w14:textId="357F1F01" w:rsidR="00613B30" w:rsidRPr="000D5771" w:rsidRDefault="00BC114C" w:rsidP="00F25E93">
            <w:pPr>
              <w:pStyle w:val="TableText0"/>
              <w:spacing w:before="120"/>
              <w:rPr>
                <w:i/>
                <w:iCs/>
                <w:sz w:val="20"/>
                <w:szCs w:val="20"/>
                <w:lang w:val="fr-FR"/>
              </w:rPr>
            </w:pPr>
            <w:r w:rsidRPr="000D5771">
              <w:rPr>
                <w:sz w:val="20"/>
                <w:szCs w:val="20"/>
                <w:lang w:val="fr-FR"/>
              </w:rPr>
              <w:t>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w:t>
            </w:r>
            <w:r w:rsidR="00604CC2" w:rsidRPr="000D5771">
              <w:rPr>
                <w:sz w:val="20"/>
                <w:szCs w:val="20"/>
                <w:lang w:val="fr-FR"/>
              </w:rPr>
              <w:noBreakHyphen/>
            </w:r>
            <w:r w:rsidRPr="000D5771">
              <w:rPr>
                <w:sz w:val="20"/>
                <w:szCs w:val="20"/>
                <w:lang w:val="fr-FR"/>
              </w:rPr>
              <w:t>à</w:t>
            </w:r>
            <w:r w:rsidR="00604CC2" w:rsidRPr="000D5771">
              <w:rPr>
                <w:sz w:val="20"/>
                <w:szCs w:val="20"/>
                <w:lang w:val="fr-FR"/>
              </w:rPr>
              <w:noBreakHyphen/>
            </w:r>
            <w:r w:rsidRPr="000D5771">
              <w:rPr>
                <w:sz w:val="20"/>
                <w:szCs w:val="20"/>
                <w:lang w:val="fr-FR"/>
              </w:rPr>
              <w:t>vis d'autres stations situées sur le territoire des pays, et examiner le critère de puissance surfacique indiqué dans le renvoi</w:t>
            </w:r>
            <w:r w:rsidR="00604CC2" w:rsidRPr="000D5771">
              <w:rPr>
                <w:sz w:val="20"/>
                <w:szCs w:val="20"/>
                <w:lang w:val="fr-FR"/>
              </w:rPr>
              <w:t> </w:t>
            </w:r>
            <w:r w:rsidRPr="000D5771">
              <w:rPr>
                <w:b/>
                <w:bCs/>
                <w:sz w:val="20"/>
                <w:szCs w:val="20"/>
                <w:lang w:val="fr-FR"/>
              </w:rPr>
              <w:t>5.441B</w:t>
            </w:r>
            <w:r w:rsidRPr="000D5771">
              <w:rPr>
                <w:sz w:val="20"/>
                <w:szCs w:val="20"/>
                <w:lang w:val="fr-FR"/>
              </w:rPr>
              <w:t xml:space="preserve"> conformément à la Résolution </w:t>
            </w:r>
            <w:r w:rsidRPr="000D5771">
              <w:rPr>
                <w:b/>
                <w:bCs/>
                <w:sz w:val="20"/>
                <w:szCs w:val="20"/>
                <w:lang w:val="fr-FR"/>
              </w:rPr>
              <w:t>223 (Rév.CMR-19)</w:t>
            </w:r>
            <w:r w:rsidR="00ED66CC" w:rsidRPr="000D5771">
              <w:rPr>
                <w:sz w:val="20"/>
                <w:szCs w:val="20"/>
                <w:lang w:val="fr-FR"/>
              </w:rPr>
              <w:t>;</w:t>
            </w:r>
          </w:p>
        </w:tc>
        <w:tc>
          <w:tcPr>
            <w:tcW w:w="7174" w:type="dxa"/>
            <w:tcBorders>
              <w:top w:val="single" w:sz="6" w:space="0" w:color="auto"/>
              <w:bottom w:val="single" w:sz="6" w:space="0" w:color="auto"/>
              <w:right w:val="single" w:sz="4" w:space="0" w:color="auto"/>
            </w:tcBorders>
          </w:tcPr>
          <w:p w14:paraId="4095B5BF" w14:textId="51BAF603" w:rsidR="00613B30" w:rsidRPr="000D5771" w:rsidRDefault="00ED66CC" w:rsidP="00F25E93">
            <w:pPr>
              <w:pStyle w:val="TableText0"/>
              <w:spacing w:before="120"/>
              <w:rPr>
                <w:i/>
                <w:iCs/>
                <w:sz w:val="20"/>
                <w:szCs w:val="20"/>
                <w:u w:val="single"/>
                <w:lang w:val="fr-FR"/>
              </w:rPr>
            </w:pPr>
            <w:r w:rsidRPr="000D5771">
              <w:rPr>
                <w:i/>
                <w:iCs/>
                <w:sz w:val="20"/>
                <w:szCs w:val="20"/>
                <w:u w:val="single"/>
                <w:lang w:val="fr-FR"/>
              </w:rPr>
              <w:t>Partie 1:</w:t>
            </w:r>
            <w:r w:rsidR="00500C87" w:rsidRPr="000D5771">
              <w:rPr>
                <w:i/>
                <w:iCs/>
                <w:sz w:val="20"/>
                <w:szCs w:val="20"/>
                <w:u w:val="single"/>
                <w:lang w:val="fr-FR"/>
              </w:rPr>
              <w:t xml:space="preserve"> Position commune</w:t>
            </w:r>
          </w:p>
          <w:p w14:paraId="6B2EF7CC" w14:textId="7E2BE620" w:rsidR="00ED66CC" w:rsidRPr="000D5771" w:rsidRDefault="00500C87" w:rsidP="00F25E93">
            <w:pPr>
              <w:pStyle w:val="TableText0"/>
              <w:spacing w:before="120"/>
              <w:rPr>
                <w:sz w:val="20"/>
                <w:szCs w:val="20"/>
                <w:lang w:val="fr-FR"/>
              </w:rPr>
            </w:pPr>
            <w:r w:rsidRPr="000D5771">
              <w:rPr>
                <w:b/>
                <w:bCs/>
                <w:sz w:val="20"/>
                <w:szCs w:val="20"/>
                <w:lang w:val="fr-FR"/>
              </w:rPr>
              <w:t xml:space="preserve">Appuyer la </w:t>
            </w:r>
            <w:r w:rsidR="00ED66CC" w:rsidRPr="000D5771">
              <w:rPr>
                <w:b/>
                <w:bCs/>
                <w:sz w:val="20"/>
                <w:szCs w:val="20"/>
                <w:lang w:val="fr-FR"/>
              </w:rPr>
              <w:t>Méthode F</w:t>
            </w:r>
            <w:r w:rsidR="00C65D67" w:rsidRPr="000D5771">
              <w:rPr>
                <w:sz w:val="20"/>
                <w:szCs w:val="20"/>
                <w:lang w:val="fr-FR"/>
              </w:rPr>
              <w:t>,</w:t>
            </w:r>
            <w:r w:rsidRPr="000D5771">
              <w:rPr>
                <w:sz w:val="20"/>
                <w:szCs w:val="20"/>
                <w:lang w:val="fr-FR"/>
              </w:rPr>
              <w:t xml:space="preserve"> qui consiste à a</w:t>
            </w:r>
            <w:r w:rsidR="00ED66CC" w:rsidRPr="000D5771">
              <w:rPr>
                <w:sz w:val="20"/>
                <w:szCs w:val="20"/>
                <w:lang w:val="fr-FR"/>
              </w:rPr>
              <w:t xml:space="preserve">ppliquer le numéro </w:t>
            </w:r>
            <w:r w:rsidR="00ED66CC" w:rsidRPr="000D5771">
              <w:rPr>
                <w:b/>
                <w:bCs/>
                <w:sz w:val="20"/>
                <w:szCs w:val="20"/>
                <w:lang w:val="fr-FR"/>
              </w:rPr>
              <w:t>9.21</w:t>
            </w:r>
            <w:r w:rsidR="00ED66CC" w:rsidRPr="000D5771">
              <w:rPr>
                <w:sz w:val="20"/>
                <w:szCs w:val="20"/>
                <w:lang w:val="fr-FR"/>
              </w:rPr>
              <w:t xml:space="preserve"> du RR et </w:t>
            </w:r>
            <w:r w:rsidRPr="000D5771">
              <w:rPr>
                <w:sz w:val="20"/>
                <w:szCs w:val="20"/>
                <w:lang w:val="fr-FR"/>
              </w:rPr>
              <w:t xml:space="preserve">à conclure, à titre facultatif, </w:t>
            </w:r>
            <w:r w:rsidR="00ED66CC" w:rsidRPr="000D5771">
              <w:rPr>
                <w:sz w:val="20"/>
                <w:szCs w:val="20"/>
                <w:lang w:val="fr-FR"/>
              </w:rPr>
              <w:t>des accords de coordination bilatéraux/multilatéraux avec les États côtiers pour protéger les stations du SMA/SMM dans l'espace aérien international et dans les eaux internationales</w:t>
            </w:r>
            <w:r w:rsidR="00996A3B" w:rsidRPr="000D5771">
              <w:rPr>
                <w:sz w:val="20"/>
                <w:szCs w:val="20"/>
                <w:lang w:val="fr-FR"/>
              </w:rPr>
              <w:t>.</w:t>
            </w:r>
          </w:p>
          <w:p w14:paraId="127802BE" w14:textId="6F1AF88D" w:rsidR="00ED66CC" w:rsidRPr="000D5771" w:rsidRDefault="00ED66CC" w:rsidP="00F25E93">
            <w:pPr>
              <w:pStyle w:val="TableText0"/>
              <w:spacing w:before="120"/>
              <w:rPr>
                <w:i/>
                <w:iCs/>
                <w:sz w:val="20"/>
                <w:szCs w:val="20"/>
                <w:u w:val="single"/>
                <w:lang w:val="fr-FR"/>
              </w:rPr>
            </w:pPr>
            <w:r w:rsidRPr="000D5771">
              <w:rPr>
                <w:i/>
                <w:iCs/>
                <w:sz w:val="20"/>
                <w:szCs w:val="20"/>
                <w:u w:val="single"/>
                <w:lang w:val="fr-FR"/>
              </w:rPr>
              <w:t>Partie 2:</w:t>
            </w:r>
            <w:r w:rsidR="00500C87" w:rsidRPr="000D5771">
              <w:rPr>
                <w:i/>
                <w:iCs/>
                <w:sz w:val="20"/>
                <w:szCs w:val="20"/>
                <w:u w:val="single"/>
                <w:lang w:val="fr-FR"/>
              </w:rPr>
              <w:t xml:space="preserve"> Marche à suivre</w:t>
            </w:r>
          </w:p>
          <w:p w14:paraId="1729F593" w14:textId="4FDEAEF4" w:rsidR="00DB6274" w:rsidRPr="000D5771" w:rsidRDefault="00500C87" w:rsidP="00F25E93">
            <w:pPr>
              <w:pStyle w:val="TableText0"/>
              <w:spacing w:before="120"/>
              <w:rPr>
                <w:b/>
                <w:i/>
                <w:sz w:val="20"/>
                <w:szCs w:val="20"/>
                <w:lang w:val="fr-FR"/>
              </w:rPr>
            </w:pPr>
            <w:r w:rsidRPr="000D5771">
              <w:rPr>
                <w:b/>
                <w:i/>
                <w:sz w:val="20"/>
                <w:szCs w:val="20"/>
                <w:lang w:val="fr-FR"/>
              </w:rPr>
              <w:t xml:space="preserve">Demander aux </w:t>
            </w:r>
            <w:r w:rsidR="00031728" w:rsidRPr="000D5771">
              <w:rPr>
                <w:b/>
                <w:i/>
                <w:sz w:val="20"/>
                <w:szCs w:val="20"/>
                <w:lang w:val="fr-FR"/>
              </w:rPr>
              <w:t>a</w:t>
            </w:r>
            <w:r w:rsidRPr="000D5771">
              <w:rPr>
                <w:b/>
                <w:i/>
                <w:sz w:val="20"/>
                <w:szCs w:val="20"/>
                <w:lang w:val="fr-FR"/>
              </w:rPr>
              <w:t xml:space="preserve">dministrations des </w:t>
            </w:r>
            <w:r w:rsidRPr="000D5771">
              <w:rPr>
                <w:b/>
                <w:bCs/>
                <w:i/>
                <w:sz w:val="20"/>
                <w:szCs w:val="20"/>
                <w:lang w:val="fr-FR"/>
              </w:rPr>
              <w:t>pays</w:t>
            </w:r>
            <w:r w:rsidR="00E80683" w:rsidRPr="000D5771">
              <w:rPr>
                <w:b/>
                <w:bCs/>
                <w:i/>
                <w:sz w:val="20"/>
                <w:szCs w:val="20"/>
                <w:lang w:val="fr-FR"/>
              </w:rPr>
              <w:t xml:space="preserve"> membres</w:t>
            </w:r>
            <w:r w:rsidR="00E80683" w:rsidRPr="000D5771">
              <w:rPr>
                <w:b/>
                <w:bCs/>
                <w:sz w:val="20"/>
                <w:szCs w:val="20"/>
                <w:lang w:val="fr-FR"/>
              </w:rPr>
              <w:t xml:space="preserve"> de</w:t>
            </w:r>
            <w:r w:rsidRPr="000D5771">
              <w:rPr>
                <w:b/>
                <w:i/>
                <w:sz w:val="20"/>
                <w:szCs w:val="20"/>
                <w:lang w:val="fr-FR"/>
              </w:rPr>
              <w:t xml:space="preserve"> l'UAT</w:t>
            </w:r>
            <w:r w:rsidR="00C17829" w:rsidRPr="000D5771">
              <w:rPr>
                <w:b/>
                <w:iCs/>
                <w:sz w:val="20"/>
                <w:szCs w:val="20"/>
                <w:lang w:val="fr-FR"/>
              </w:rPr>
              <w:t>:</w:t>
            </w:r>
          </w:p>
          <w:p w14:paraId="12012683" w14:textId="3BBD02CE" w:rsidR="00DB6274" w:rsidRPr="000D5771" w:rsidRDefault="00DB6274" w:rsidP="005A21B6">
            <w:pPr>
              <w:pStyle w:val="enumlev1"/>
              <w:tabs>
                <w:tab w:val="clear" w:pos="1134"/>
                <w:tab w:val="left" w:pos="464"/>
              </w:tabs>
              <w:spacing w:before="40"/>
              <w:ind w:left="464" w:hanging="464"/>
              <w:rPr>
                <w:sz w:val="20"/>
              </w:rPr>
            </w:pPr>
            <w:r w:rsidRPr="000D5771">
              <w:rPr>
                <w:sz w:val="20"/>
              </w:rPr>
              <w:t>1</w:t>
            </w:r>
            <w:r w:rsidRPr="000D5771">
              <w:rPr>
                <w:sz w:val="20"/>
              </w:rPr>
              <w:tab/>
            </w:r>
            <w:r w:rsidR="00500C87" w:rsidRPr="000D5771">
              <w:rPr>
                <w:sz w:val="20"/>
              </w:rPr>
              <w:t>d'</w:t>
            </w:r>
            <w:r w:rsidR="00500C87" w:rsidRPr="000D5771">
              <w:rPr>
                <w:b/>
                <w:sz w:val="20"/>
              </w:rPr>
              <w:t>appuyer</w:t>
            </w:r>
            <w:r w:rsidR="00500C87" w:rsidRPr="000D5771">
              <w:rPr>
                <w:sz w:val="20"/>
              </w:rPr>
              <w:t xml:space="preserve"> la proposition africaine commune au titre de ce point de l'ordre du jour</w:t>
            </w:r>
            <w:r w:rsidR="002F6179" w:rsidRPr="000D5771">
              <w:rPr>
                <w:sz w:val="20"/>
              </w:rPr>
              <w:t>;</w:t>
            </w:r>
          </w:p>
          <w:p w14:paraId="5723DE0B" w14:textId="6442CA47" w:rsidR="00ED66CC" w:rsidRPr="000D5771" w:rsidRDefault="00DB6274" w:rsidP="005A21B6">
            <w:pPr>
              <w:pStyle w:val="enumlev1"/>
              <w:tabs>
                <w:tab w:val="clear" w:pos="1134"/>
                <w:tab w:val="left" w:pos="464"/>
              </w:tabs>
              <w:spacing w:before="40"/>
              <w:ind w:left="464" w:hanging="464"/>
            </w:pPr>
            <w:r w:rsidRPr="000D5771">
              <w:rPr>
                <w:sz w:val="20"/>
              </w:rPr>
              <w:t>2</w:t>
            </w:r>
            <w:r w:rsidRPr="000D5771">
              <w:rPr>
                <w:sz w:val="20"/>
              </w:rPr>
              <w:tab/>
            </w:r>
            <w:r w:rsidR="00500C87" w:rsidRPr="000D5771">
              <w:rPr>
                <w:sz w:val="20"/>
              </w:rPr>
              <w:t>d'</w:t>
            </w:r>
            <w:r w:rsidR="00500C87" w:rsidRPr="000D5771">
              <w:rPr>
                <w:b/>
                <w:sz w:val="20"/>
              </w:rPr>
              <w:t>envisager</w:t>
            </w:r>
            <w:r w:rsidR="00500C87" w:rsidRPr="000D5771">
              <w:rPr>
                <w:sz w:val="20"/>
              </w:rPr>
              <w:t xml:space="preserve"> d'ajouter </w:t>
            </w:r>
            <w:r w:rsidR="00E80683" w:rsidRPr="000D5771">
              <w:rPr>
                <w:sz w:val="20"/>
              </w:rPr>
              <w:t xml:space="preserve">le </w:t>
            </w:r>
            <w:r w:rsidR="00500C87" w:rsidRPr="000D5771">
              <w:rPr>
                <w:sz w:val="20"/>
              </w:rPr>
              <w:t>nom</w:t>
            </w:r>
            <w:r w:rsidR="00E80683" w:rsidRPr="000D5771">
              <w:rPr>
                <w:sz w:val="20"/>
              </w:rPr>
              <w:t xml:space="preserve"> de leur pays </w:t>
            </w:r>
            <w:r w:rsidR="00500C87" w:rsidRPr="000D5771">
              <w:rPr>
                <w:sz w:val="20"/>
              </w:rPr>
              <w:t xml:space="preserve">dans le renvoi </w:t>
            </w:r>
            <w:r w:rsidR="00500C87" w:rsidRPr="000D5771">
              <w:rPr>
                <w:b/>
                <w:bCs/>
                <w:sz w:val="20"/>
              </w:rPr>
              <w:t>5.441B</w:t>
            </w:r>
            <w:r w:rsidR="00500C87" w:rsidRPr="000D5771">
              <w:rPr>
                <w:sz w:val="20"/>
              </w:rPr>
              <w:t xml:space="preserve">, </w:t>
            </w:r>
            <w:r w:rsidR="00C45044" w:rsidRPr="000D5771">
              <w:rPr>
                <w:sz w:val="20"/>
              </w:rPr>
              <w:t>s'il n'y figure pas,</w:t>
            </w:r>
            <w:r w:rsidR="00500C87" w:rsidRPr="000D5771">
              <w:rPr>
                <w:sz w:val="20"/>
              </w:rPr>
              <w:t xml:space="preserve"> conformément à la procédure </w:t>
            </w:r>
            <w:r w:rsidR="00456B76" w:rsidRPr="000D5771">
              <w:rPr>
                <w:sz w:val="20"/>
              </w:rPr>
              <w:t>établie</w:t>
            </w:r>
            <w:r w:rsidR="00500C87" w:rsidRPr="000D5771">
              <w:rPr>
                <w:sz w:val="20"/>
              </w:rPr>
              <w:t xml:space="preserve"> dans la Résolution</w:t>
            </w:r>
            <w:r w:rsidR="002A24B6" w:rsidRPr="000D5771">
              <w:rPr>
                <w:sz w:val="20"/>
              </w:rPr>
              <w:t> </w:t>
            </w:r>
            <w:r w:rsidR="00500C87" w:rsidRPr="000D5771">
              <w:rPr>
                <w:b/>
                <w:bCs/>
                <w:sz w:val="20"/>
              </w:rPr>
              <w:t>26 (Rév.CMR-19)</w:t>
            </w:r>
            <w:r w:rsidR="00500C87" w:rsidRPr="000D5771">
              <w:rPr>
                <w:sz w:val="20"/>
              </w:rPr>
              <w:t xml:space="preserve">, afin </w:t>
            </w:r>
            <w:r w:rsidR="00456B76" w:rsidRPr="000D5771">
              <w:rPr>
                <w:sz w:val="20"/>
              </w:rPr>
              <w:t xml:space="preserve">de parvenir à </w:t>
            </w:r>
            <w:r w:rsidR="00C45044" w:rsidRPr="000D5771">
              <w:rPr>
                <w:sz w:val="20"/>
              </w:rPr>
              <w:t xml:space="preserve">une harmonisation </w:t>
            </w:r>
            <w:r w:rsidR="00456B76" w:rsidRPr="000D5771">
              <w:rPr>
                <w:sz w:val="20"/>
              </w:rPr>
              <w:t>aux niveaux mondial et régional</w:t>
            </w:r>
            <w:r w:rsidR="00C45044" w:rsidRPr="000D5771">
              <w:rPr>
                <w:sz w:val="20"/>
              </w:rPr>
              <w:t xml:space="preserve"> de la bande de fréquences 4</w:t>
            </w:r>
            <w:r w:rsidR="00EF217A" w:rsidRPr="000D5771">
              <w:rPr>
                <w:sz w:val="20"/>
              </w:rPr>
              <w:t xml:space="preserve"> </w:t>
            </w:r>
            <w:r w:rsidR="00C45044" w:rsidRPr="000D5771">
              <w:rPr>
                <w:sz w:val="20"/>
              </w:rPr>
              <w:t>800-4</w:t>
            </w:r>
            <w:r w:rsidR="00EF217A" w:rsidRPr="000D5771">
              <w:rPr>
                <w:sz w:val="20"/>
              </w:rPr>
              <w:t xml:space="preserve"> </w:t>
            </w:r>
            <w:r w:rsidR="00C45044" w:rsidRPr="000D5771">
              <w:rPr>
                <w:sz w:val="20"/>
              </w:rPr>
              <w:t>990</w:t>
            </w:r>
            <w:r w:rsidR="00EF217A" w:rsidRPr="000D5771">
              <w:rPr>
                <w:sz w:val="20"/>
              </w:rPr>
              <w:t xml:space="preserve"> </w:t>
            </w:r>
            <w:r w:rsidR="00C45044" w:rsidRPr="000D5771">
              <w:rPr>
                <w:sz w:val="20"/>
              </w:rPr>
              <w:t xml:space="preserve">MHz pour la mise en </w:t>
            </w:r>
            <w:r w:rsidR="00EF217A" w:rsidRPr="000D5771">
              <w:rPr>
                <w:sz w:val="20"/>
              </w:rPr>
              <w:t>œuvre</w:t>
            </w:r>
            <w:r w:rsidR="00C45044" w:rsidRPr="000D5771">
              <w:rPr>
                <w:sz w:val="20"/>
              </w:rPr>
              <w:t xml:space="preserve"> des IMT</w:t>
            </w:r>
            <w:r w:rsidR="002F6179" w:rsidRPr="000D5771">
              <w:rPr>
                <w:sz w:val="20"/>
              </w:rPr>
              <w:t>.</w:t>
            </w:r>
          </w:p>
        </w:tc>
      </w:tr>
      <w:tr w:rsidR="00613B30" w:rsidRPr="000D5771" w14:paraId="44130D51" w14:textId="77777777" w:rsidTr="00913168">
        <w:tc>
          <w:tcPr>
            <w:tcW w:w="2972" w:type="dxa"/>
            <w:tcBorders>
              <w:top w:val="single" w:sz="6" w:space="0" w:color="auto"/>
              <w:left w:val="single" w:sz="4" w:space="0" w:color="auto"/>
              <w:bottom w:val="single" w:sz="6" w:space="0" w:color="auto"/>
            </w:tcBorders>
          </w:tcPr>
          <w:p w14:paraId="3C5198BE" w14:textId="785D3312" w:rsidR="00613B30" w:rsidRPr="000D5771" w:rsidRDefault="00613B30" w:rsidP="005A21B6">
            <w:pPr>
              <w:pStyle w:val="TableText0"/>
              <w:spacing w:before="120"/>
              <w:rPr>
                <w:rFonts w:eastAsia="Calibri"/>
                <w:b/>
                <w:iCs/>
                <w:sz w:val="20"/>
                <w:szCs w:val="20"/>
                <w:lang w:val="fr-FR"/>
              </w:rPr>
            </w:pPr>
            <w:bookmarkStart w:id="6" w:name="lt_pId039"/>
            <w:r w:rsidRPr="000D5771">
              <w:rPr>
                <w:rFonts w:eastAsia="Calibri"/>
                <w:b/>
                <w:iCs/>
                <w:sz w:val="20"/>
                <w:szCs w:val="20"/>
                <w:lang w:val="fr-FR"/>
              </w:rPr>
              <w:t>1.2</w:t>
            </w:r>
            <w:bookmarkEnd w:id="6"/>
          </w:p>
          <w:p w14:paraId="2225E8B4" w14:textId="568158A7" w:rsidR="00ED66CC" w:rsidRPr="000D5771" w:rsidRDefault="009D3DF5" w:rsidP="005A21B6">
            <w:pPr>
              <w:pStyle w:val="TableText0"/>
              <w:spacing w:before="120"/>
              <w:rPr>
                <w:sz w:val="20"/>
                <w:szCs w:val="20"/>
                <w:lang w:val="fr-FR"/>
              </w:rPr>
            </w:pPr>
            <w:r w:rsidRPr="000D5771">
              <w:rPr>
                <w:iCs/>
                <w:sz w:val="20"/>
                <w:szCs w:val="20"/>
                <w:lang w:val="fr-FR"/>
              </w:rPr>
              <w:t>Envisager l'identification des bandes de fréquences 3</w:t>
            </w:r>
            <w:r w:rsidR="00604CC2" w:rsidRPr="000D5771">
              <w:rPr>
                <w:iCs/>
                <w:sz w:val="20"/>
                <w:szCs w:val="20"/>
                <w:lang w:val="fr-FR"/>
              </w:rPr>
              <w:t> </w:t>
            </w:r>
            <w:r w:rsidRPr="000D5771">
              <w:rPr>
                <w:iCs/>
                <w:sz w:val="20"/>
                <w:szCs w:val="20"/>
                <w:lang w:val="fr-FR"/>
              </w:rPr>
              <w:t>300</w:t>
            </w:r>
            <w:r w:rsidR="00604CC2" w:rsidRPr="000D5771">
              <w:rPr>
                <w:iCs/>
                <w:sz w:val="20"/>
                <w:szCs w:val="20"/>
                <w:lang w:val="fr-FR"/>
              </w:rPr>
              <w:noBreakHyphen/>
            </w:r>
            <w:r w:rsidRPr="000D5771">
              <w:rPr>
                <w:iCs/>
                <w:sz w:val="20"/>
                <w:szCs w:val="20"/>
                <w:lang w:val="fr-FR"/>
              </w:rPr>
              <w:t>3 400</w:t>
            </w:r>
            <w:r w:rsidR="00604CC2" w:rsidRPr="000D5771">
              <w:rPr>
                <w:iCs/>
                <w:sz w:val="20"/>
                <w:szCs w:val="20"/>
                <w:lang w:val="fr-FR"/>
              </w:rPr>
              <w:t> </w:t>
            </w:r>
            <w:r w:rsidRPr="000D5771">
              <w:rPr>
                <w:iCs/>
                <w:sz w:val="20"/>
                <w:szCs w:val="20"/>
                <w:lang w:val="fr-FR"/>
              </w:rPr>
              <w:t>MHz, 3 600</w:t>
            </w:r>
            <w:r w:rsidRPr="000D5771">
              <w:rPr>
                <w:iCs/>
                <w:sz w:val="20"/>
                <w:szCs w:val="20"/>
                <w:lang w:val="fr-FR"/>
              </w:rPr>
              <w:noBreakHyphen/>
              <w:t>3 800 MHz, 6</w:t>
            </w:r>
            <w:r w:rsidR="00604CC2" w:rsidRPr="000D5771">
              <w:rPr>
                <w:iCs/>
                <w:sz w:val="20"/>
                <w:szCs w:val="20"/>
                <w:lang w:val="fr-FR"/>
              </w:rPr>
              <w:t> </w:t>
            </w:r>
            <w:r w:rsidRPr="000D5771">
              <w:rPr>
                <w:iCs/>
                <w:sz w:val="20"/>
                <w:szCs w:val="20"/>
                <w:lang w:val="fr-FR"/>
              </w:rPr>
              <w:t>425</w:t>
            </w:r>
            <w:r w:rsidR="00604CC2" w:rsidRPr="000D5771">
              <w:rPr>
                <w:iCs/>
                <w:sz w:val="20"/>
                <w:szCs w:val="20"/>
                <w:lang w:val="fr-FR"/>
              </w:rPr>
              <w:noBreakHyphen/>
            </w:r>
            <w:r w:rsidRPr="000D5771">
              <w:rPr>
                <w:iCs/>
                <w:sz w:val="20"/>
                <w:szCs w:val="20"/>
                <w:lang w:val="fr-FR"/>
              </w:rPr>
              <w:t>7</w:t>
            </w:r>
            <w:r w:rsidR="00604CC2" w:rsidRPr="000D5771">
              <w:rPr>
                <w:iCs/>
                <w:sz w:val="20"/>
                <w:szCs w:val="20"/>
                <w:lang w:val="fr-FR"/>
              </w:rPr>
              <w:t> </w:t>
            </w:r>
            <w:r w:rsidRPr="000D5771">
              <w:rPr>
                <w:iCs/>
                <w:sz w:val="20"/>
                <w:szCs w:val="20"/>
                <w:lang w:val="fr-FR"/>
              </w:rPr>
              <w:t>025</w:t>
            </w:r>
            <w:r w:rsidR="00604CC2" w:rsidRPr="000D5771">
              <w:rPr>
                <w:iCs/>
                <w:sz w:val="20"/>
                <w:szCs w:val="20"/>
                <w:lang w:val="fr-FR"/>
              </w:rPr>
              <w:t> </w:t>
            </w:r>
            <w:r w:rsidRPr="000D5771">
              <w:rPr>
                <w:iCs/>
                <w:sz w:val="20"/>
                <w:szCs w:val="20"/>
                <w:lang w:val="fr-FR"/>
              </w:rPr>
              <w:t>MHz, 7</w:t>
            </w:r>
            <w:r w:rsidR="00604CC2" w:rsidRPr="000D5771">
              <w:rPr>
                <w:iCs/>
                <w:sz w:val="20"/>
                <w:szCs w:val="20"/>
                <w:lang w:val="fr-FR"/>
              </w:rPr>
              <w:t> </w:t>
            </w:r>
            <w:r w:rsidRPr="000D5771">
              <w:rPr>
                <w:iCs/>
                <w:sz w:val="20"/>
                <w:szCs w:val="20"/>
                <w:lang w:val="fr-FR"/>
              </w:rPr>
              <w:t>025</w:t>
            </w:r>
            <w:r w:rsidR="00604CC2" w:rsidRPr="000D5771">
              <w:rPr>
                <w:iCs/>
                <w:sz w:val="20"/>
                <w:szCs w:val="20"/>
                <w:lang w:val="fr-FR"/>
              </w:rPr>
              <w:noBreakHyphen/>
            </w:r>
            <w:r w:rsidRPr="000D5771">
              <w:rPr>
                <w:iCs/>
                <w:sz w:val="20"/>
                <w:szCs w:val="20"/>
                <w:lang w:val="fr-FR"/>
              </w:rPr>
              <w:t>7</w:t>
            </w:r>
            <w:r w:rsidR="00604CC2" w:rsidRPr="000D5771">
              <w:rPr>
                <w:iCs/>
                <w:sz w:val="20"/>
                <w:szCs w:val="20"/>
                <w:lang w:val="fr-FR"/>
              </w:rPr>
              <w:t> </w:t>
            </w:r>
            <w:r w:rsidRPr="000D5771">
              <w:rPr>
                <w:iCs/>
                <w:sz w:val="20"/>
                <w:szCs w:val="20"/>
                <w:lang w:val="fr-FR"/>
              </w:rPr>
              <w:t>125</w:t>
            </w:r>
            <w:r w:rsidR="00604CC2" w:rsidRPr="000D5771">
              <w:rPr>
                <w:iCs/>
                <w:sz w:val="20"/>
                <w:szCs w:val="20"/>
                <w:lang w:val="fr-FR"/>
              </w:rPr>
              <w:t> </w:t>
            </w:r>
            <w:r w:rsidRPr="000D5771">
              <w:rPr>
                <w:iCs/>
                <w:sz w:val="20"/>
                <w:szCs w:val="20"/>
                <w:lang w:val="fr-FR"/>
              </w:rPr>
              <w:t>MHz et 10,0</w:t>
            </w:r>
            <w:r w:rsidR="00604CC2" w:rsidRPr="000D5771">
              <w:rPr>
                <w:iCs/>
                <w:sz w:val="20"/>
                <w:szCs w:val="20"/>
                <w:lang w:val="fr-FR"/>
              </w:rPr>
              <w:noBreakHyphen/>
            </w:r>
            <w:r w:rsidRPr="000D5771">
              <w:rPr>
                <w:iCs/>
                <w:sz w:val="20"/>
                <w:szCs w:val="20"/>
                <w:lang w:val="fr-FR"/>
              </w:rPr>
              <w:t>10,5</w:t>
            </w:r>
            <w:r w:rsidR="00604CC2" w:rsidRPr="000D5771">
              <w:rPr>
                <w:iCs/>
                <w:sz w:val="20"/>
                <w:szCs w:val="20"/>
                <w:lang w:val="fr-FR"/>
              </w:rPr>
              <w:t> </w:t>
            </w:r>
            <w:r w:rsidRPr="000D5771">
              <w:rPr>
                <w:iCs/>
                <w:sz w:val="20"/>
                <w:szCs w:val="20"/>
                <w:lang w:val="fr-FR"/>
              </w:rPr>
              <w:t>GHz pour les Télécommunications mobiles internationales (IMT), y</w:t>
            </w:r>
            <w:r w:rsidR="00604CC2" w:rsidRPr="000D5771">
              <w:rPr>
                <w:iCs/>
                <w:sz w:val="20"/>
                <w:szCs w:val="20"/>
                <w:lang w:val="fr-FR"/>
              </w:rPr>
              <w:t> </w:t>
            </w:r>
            <w:r w:rsidRPr="000D5771">
              <w:rPr>
                <w:iCs/>
                <w:sz w:val="20"/>
                <w:szCs w:val="20"/>
                <w:lang w:val="fr-FR"/>
              </w:rPr>
              <w:t>compris des attributions additionnelles possibles au service mobile à titre primaire, conformément à la Résolution</w:t>
            </w:r>
            <w:r w:rsidR="00E7386F" w:rsidRPr="000D5771">
              <w:rPr>
                <w:iCs/>
                <w:sz w:val="20"/>
                <w:szCs w:val="20"/>
                <w:lang w:val="fr-FR"/>
              </w:rPr>
              <w:t> </w:t>
            </w:r>
            <w:r w:rsidRPr="000D5771">
              <w:rPr>
                <w:b/>
                <w:iCs/>
                <w:sz w:val="20"/>
                <w:szCs w:val="20"/>
                <w:lang w:val="fr-FR"/>
              </w:rPr>
              <w:t>245 (CMR-19)</w:t>
            </w:r>
          </w:p>
        </w:tc>
        <w:tc>
          <w:tcPr>
            <w:tcW w:w="7174" w:type="dxa"/>
            <w:tcBorders>
              <w:top w:val="single" w:sz="4" w:space="0" w:color="auto"/>
              <w:bottom w:val="single" w:sz="4" w:space="0" w:color="auto"/>
              <w:right w:val="single" w:sz="4" w:space="0" w:color="auto"/>
            </w:tcBorders>
          </w:tcPr>
          <w:p w14:paraId="5B8EBC32" w14:textId="78BE2797" w:rsidR="00613B30" w:rsidRPr="000D5771" w:rsidRDefault="00DB6274" w:rsidP="005A21B6">
            <w:pPr>
              <w:pStyle w:val="TableText0"/>
              <w:spacing w:before="120"/>
              <w:rPr>
                <w:i/>
                <w:iCs/>
                <w:sz w:val="20"/>
                <w:szCs w:val="20"/>
                <w:u w:val="single"/>
                <w:lang w:val="fr-FR"/>
              </w:rPr>
            </w:pPr>
            <w:r w:rsidRPr="000D5771">
              <w:rPr>
                <w:i/>
                <w:iCs/>
                <w:sz w:val="20"/>
                <w:szCs w:val="20"/>
                <w:u w:val="single"/>
                <w:lang w:val="fr-FR"/>
              </w:rPr>
              <w:t>Partie 1:</w:t>
            </w:r>
            <w:r w:rsidR="00B05B00" w:rsidRPr="000D5771">
              <w:rPr>
                <w:i/>
                <w:iCs/>
                <w:sz w:val="20"/>
                <w:szCs w:val="20"/>
                <w:u w:val="single"/>
                <w:lang w:val="fr-FR"/>
              </w:rPr>
              <w:t xml:space="preserve"> Position commune</w:t>
            </w:r>
          </w:p>
          <w:p w14:paraId="34D4416E" w14:textId="237213AC" w:rsidR="00DB6274" w:rsidRPr="000D5771" w:rsidRDefault="00DB6274" w:rsidP="005A21B6">
            <w:pPr>
              <w:pStyle w:val="enumlev1"/>
              <w:tabs>
                <w:tab w:val="clear" w:pos="1134"/>
                <w:tab w:val="left" w:pos="464"/>
              </w:tabs>
              <w:spacing w:before="120"/>
              <w:ind w:left="464" w:hanging="464"/>
              <w:rPr>
                <w:sz w:val="20"/>
                <w:szCs w:val="16"/>
              </w:rPr>
            </w:pPr>
            <w:r w:rsidRPr="000D5771">
              <w:rPr>
                <w:sz w:val="20"/>
                <w:szCs w:val="16"/>
              </w:rPr>
              <w:t>1</w:t>
            </w:r>
            <w:r w:rsidRPr="000D5771">
              <w:rPr>
                <w:sz w:val="20"/>
                <w:szCs w:val="16"/>
              </w:rPr>
              <w:tab/>
            </w:r>
            <w:r w:rsidR="009D3DF5" w:rsidRPr="000D5771">
              <w:rPr>
                <w:b/>
                <w:bCs/>
                <w:sz w:val="20"/>
                <w:szCs w:val="16"/>
              </w:rPr>
              <w:t xml:space="preserve">En ce qui concerne la </w:t>
            </w:r>
            <w:r w:rsidR="00E80683" w:rsidRPr="000D5771">
              <w:rPr>
                <w:b/>
                <w:bCs/>
                <w:sz w:val="20"/>
                <w:szCs w:val="16"/>
              </w:rPr>
              <w:t xml:space="preserve">bande </w:t>
            </w:r>
            <w:r w:rsidR="00B05B00" w:rsidRPr="000D5771">
              <w:rPr>
                <w:b/>
                <w:bCs/>
                <w:sz w:val="20"/>
                <w:szCs w:val="16"/>
              </w:rPr>
              <w:t>de fréquences 1 (3</w:t>
            </w:r>
            <w:r w:rsidR="00E7386F" w:rsidRPr="000D5771">
              <w:rPr>
                <w:b/>
                <w:bCs/>
                <w:sz w:val="20"/>
                <w:szCs w:val="16"/>
              </w:rPr>
              <w:t xml:space="preserve"> </w:t>
            </w:r>
            <w:r w:rsidR="00B05B00" w:rsidRPr="000D5771">
              <w:rPr>
                <w:b/>
                <w:bCs/>
                <w:sz w:val="20"/>
                <w:szCs w:val="16"/>
              </w:rPr>
              <w:t>300-3</w:t>
            </w:r>
            <w:r w:rsidR="00E7386F" w:rsidRPr="000D5771">
              <w:rPr>
                <w:b/>
                <w:bCs/>
                <w:sz w:val="20"/>
                <w:szCs w:val="16"/>
              </w:rPr>
              <w:t xml:space="preserve"> </w:t>
            </w:r>
            <w:r w:rsidR="00B05B00" w:rsidRPr="000D5771">
              <w:rPr>
                <w:b/>
                <w:bCs/>
                <w:sz w:val="20"/>
                <w:szCs w:val="16"/>
              </w:rPr>
              <w:t>400</w:t>
            </w:r>
            <w:r w:rsidR="00E7386F" w:rsidRPr="000D5771">
              <w:rPr>
                <w:b/>
                <w:bCs/>
                <w:sz w:val="20"/>
                <w:szCs w:val="16"/>
              </w:rPr>
              <w:t xml:space="preserve"> </w:t>
            </w:r>
            <w:r w:rsidR="00B05B00" w:rsidRPr="000D5771">
              <w:rPr>
                <w:b/>
                <w:bCs/>
                <w:sz w:val="20"/>
                <w:szCs w:val="16"/>
              </w:rPr>
              <w:t>MHz)</w:t>
            </w:r>
            <w:r w:rsidR="00B94030" w:rsidRPr="000D5771">
              <w:rPr>
                <w:sz w:val="20"/>
                <w:szCs w:val="16"/>
              </w:rPr>
              <w:t>:</w:t>
            </w:r>
          </w:p>
          <w:p w14:paraId="76BAC5BE" w14:textId="484E1676" w:rsidR="00DB6274" w:rsidRPr="000D5771" w:rsidRDefault="00DB6274" w:rsidP="005A21B6">
            <w:pPr>
              <w:pStyle w:val="enumlev2"/>
              <w:tabs>
                <w:tab w:val="clear" w:pos="1134"/>
                <w:tab w:val="clear" w:pos="1871"/>
                <w:tab w:val="left" w:pos="889"/>
              </w:tabs>
              <w:spacing w:before="40"/>
              <w:ind w:left="889" w:hanging="425"/>
              <w:rPr>
                <w:sz w:val="20"/>
                <w:szCs w:val="16"/>
              </w:rPr>
            </w:pPr>
            <w:r w:rsidRPr="000D5771">
              <w:rPr>
                <w:sz w:val="20"/>
                <w:szCs w:val="16"/>
              </w:rPr>
              <w:t>a)</w:t>
            </w:r>
            <w:r w:rsidRPr="000D5771">
              <w:rPr>
                <w:sz w:val="20"/>
                <w:szCs w:val="16"/>
              </w:rPr>
              <w:tab/>
            </w:r>
            <w:r w:rsidR="00BF10A8" w:rsidRPr="000D5771">
              <w:rPr>
                <w:b/>
                <w:bCs/>
                <w:sz w:val="20"/>
                <w:szCs w:val="16"/>
              </w:rPr>
              <w:t>a</w:t>
            </w:r>
            <w:r w:rsidR="00B05B00" w:rsidRPr="000D5771">
              <w:rPr>
                <w:b/>
                <w:bCs/>
                <w:sz w:val="20"/>
                <w:szCs w:val="16"/>
              </w:rPr>
              <w:t>ppuyer la Méthode 1F</w:t>
            </w:r>
            <w:r w:rsidR="00B94030" w:rsidRPr="000D5771">
              <w:rPr>
                <w:sz w:val="20"/>
                <w:szCs w:val="16"/>
              </w:rPr>
              <w:t>;</w:t>
            </w:r>
          </w:p>
          <w:p w14:paraId="2C6D0CA8" w14:textId="5073BF72" w:rsidR="00DB6274" w:rsidRPr="000D5771" w:rsidRDefault="00DB6274" w:rsidP="005A21B6">
            <w:pPr>
              <w:pStyle w:val="enumlev2"/>
              <w:tabs>
                <w:tab w:val="clear" w:pos="1134"/>
                <w:tab w:val="clear" w:pos="1871"/>
                <w:tab w:val="left" w:pos="889"/>
              </w:tabs>
              <w:spacing w:before="40"/>
              <w:ind w:left="889" w:hanging="425"/>
              <w:rPr>
                <w:sz w:val="20"/>
                <w:szCs w:val="16"/>
              </w:rPr>
            </w:pPr>
            <w:r w:rsidRPr="000D5771">
              <w:rPr>
                <w:sz w:val="20"/>
                <w:szCs w:val="16"/>
              </w:rPr>
              <w:t>b)</w:t>
            </w:r>
            <w:r w:rsidRPr="000D5771">
              <w:rPr>
                <w:sz w:val="20"/>
                <w:szCs w:val="16"/>
              </w:rPr>
              <w:tab/>
            </w:r>
            <w:r w:rsidR="00BF10A8" w:rsidRPr="000D5771">
              <w:rPr>
                <w:b/>
                <w:bCs/>
                <w:sz w:val="20"/>
                <w:szCs w:val="16"/>
              </w:rPr>
              <w:t>n</w:t>
            </w:r>
            <w:r w:rsidR="00B05B00" w:rsidRPr="000D5771">
              <w:rPr>
                <w:b/>
                <w:bCs/>
                <w:sz w:val="20"/>
                <w:szCs w:val="16"/>
              </w:rPr>
              <w:t>e pas appuyer les Méthodes 1A et 1B</w:t>
            </w:r>
            <w:r w:rsidR="00B05B00" w:rsidRPr="000D5771">
              <w:rPr>
                <w:sz w:val="20"/>
                <w:szCs w:val="16"/>
              </w:rPr>
              <w:t>, ce qui aura pour conséquence le maintien de la situation réglementaire actuelle</w:t>
            </w:r>
            <w:r w:rsidR="009D3DF5" w:rsidRPr="000D5771">
              <w:rPr>
                <w:sz w:val="20"/>
                <w:szCs w:val="16"/>
              </w:rPr>
              <w:t>.</w:t>
            </w:r>
          </w:p>
          <w:p w14:paraId="708C4097" w14:textId="347D391F" w:rsidR="00DB6274" w:rsidRPr="000D5771" w:rsidRDefault="00DB6274" w:rsidP="005A21B6">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009D3DF5" w:rsidRPr="000D5771">
              <w:rPr>
                <w:b/>
                <w:bCs/>
                <w:sz w:val="20"/>
                <w:szCs w:val="16"/>
              </w:rPr>
              <w:t xml:space="preserve">En ce qui concerne les </w:t>
            </w:r>
            <w:r w:rsidR="00E80683" w:rsidRPr="000D5771">
              <w:rPr>
                <w:b/>
                <w:bCs/>
                <w:sz w:val="20"/>
                <w:szCs w:val="16"/>
              </w:rPr>
              <w:t xml:space="preserve">bandes </w:t>
            </w:r>
            <w:r w:rsidR="00B05B00" w:rsidRPr="000D5771">
              <w:rPr>
                <w:b/>
                <w:bCs/>
                <w:sz w:val="20"/>
                <w:szCs w:val="16"/>
              </w:rPr>
              <w:t>de fréquence</w:t>
            </w:r>
            <w:r w:rsidR="009D3DF5" w:rsidRPr="000D5771">
              <w:rPr>
                <w:b/>
                <w:bCs/>
                <w:sz w:val="20"/>
                <w:szCs w:val="16"/>
              </w:rPr>
              <w:t>s 4 (6</w:t>
            </w:r>
            <w:r w:rsidR="00EF217A" w:rsidRPr="000D5771">
              <w:rPr>
                <w:b/>
                <w:bCs/>
                <w:sz w:val="20"/>
                <w:szCs w:val="16"/>
              </w:rPr>
              <w:t xml:space="preserve"> </w:t>
            </w:r>
            <w:r w:rsidR="009D3DF5" w:rsidRPr="000D5771">
              <w:rPr>
                <w:b/>
                <w:bCs/>
                <w:sz w:val="20"/>
                <w:szCs w:val="16"/>
              </w:rPr>
              <w:t>425-7</w:t>
            </w:r>
            <w:r w:rsidR="00EF217A" w:rsidRPr="000D5771">
              <w:rPr>
                <w:b/>
                <w:bCs/>
                <w:sz w:val="20"/>
                <w:szCs w:val="16"/>
              </w:rPr>
              <w:t xml:space="preserve"> </w:t>
            </w:r>
            <w:r w:rsidR="009D3DF5" w:rsidRPr="000D5771">
              <w:rPr>
                <w:b/>
                <w:bCs/>
                <w:sz w:val="20"/>
                <w:szCs w:val="16"/>
              </w:rPr>
              <w:t>025</w:t>
            </w:r>
            <w:r w:rsidR="00EF217A" w:rsidRPr="000D5771">
              <w:rPr>
                <w:b/>
                <w:bCs/>
                <w:sz w:val="20"/>
                <w:szCs w:val="16"/>
              </w:rPr>
              <w:t xml:space="preserve"> </w:t>
            </w:r>
            <w:r w:rsidR="009D3DF5" w:rsidRPr="000D5771">
              <w:rPr>
                <w:b/>
                <w:bCs/>
                <w:sz w:val="20"/>
                <w:szCs w:val="16"/>
              </w:rPr>
              <w:t>MHz) et</w:t>
            </w:r>
            <w:r w:rsidR="00C65D67" w:rsidRPr="000D5771">
              <w:rPr>
                <w:b/>
                <w:bCs/>
                <w:sz w:val="20"/>
                <w:szCs w:val="16"/>
              </w:rPr>
              <w:t xml:space="preserve"> </w:t>
            </w:r>
            <w:r w:rsidR="00B05B00" w:rsidRPr="000D5771">
              <w:rPr>
                <w:b/>
                <w:bCs/>
                <w:sz w:val="20"/>
                <w:szCs w:val="16"/>
              </w:rPr>
              <w:t>5 (7</w:t>
            </w:r>
            <w:r w:rsidR="00C65D67" w:rsidRPr="000D5771">
              <w:rPr>
                <w:b/>
                <w:bCs/>
                <w:sz w:val="20"/>
                <w:szCs w:val="16"/>
              </w:rPr>
              <w:t> </w:t>
            </w:r>
            <w:r w:rsidR="00B05B00" w:rsidRPr="000D5771">
              <w:rPr>
                <w:b/>
                <w:bCs/>
                <w:sz w:val="20"/>
                <w:szCs w:val="16"/>
              </w:rPr>
              <w:t>025</w:t>
            </w:r>
            <w:r w:rsidR="00E7386F" w:rsidRPr="000D5771">
              <w:rPr>
                <w:b/>
                <w:bCs/>
                <w:sz w:val="20"/>
                <w:szCs w:val="16"/>
              </w:rPr>
              <w:noBreakHyphen/>
            </w:r>
            <w:r w:rsidR="00B05B00" w:rsidRPr="000D5771">
              <w:rPr>
                <w:b/>
                <w:bCs/>
                <w:sz w:val="20"/>
                <w:szCs w:val="16"/>
              </w:rPr>
              <w:t>7</w:t>
            </w:r>
            <w:r w:rsidR="00EF217A" w:rsidRPr="000D5771">
              <w:rPr>
                <w:b/>
                <w:bCs/>
                <w:sz w:val="20"/>
                <w:szCs w:val="16"/>
              </w:rPr>
              <w:t xml:space="preserve"> </w:t>
            </w:r>
            <w:r w:rsidR="00B05B00" w:rsidRPr="000D5771">
              <w:rPr>
                <w:b/>
                <w:bCs/>
                <w:sz w:val="20"/>
                <w:szCs w:val="16"/>
              </w:rPr>
              <w:t>125</w:t>
            </w:r>
            <w:r w:rsidR="00EF217A" w:rsidRPr="000D5771">
              <w:rPr>
                <w:b/>
                <w:bCs/>
                <w:sz w:val="20"/>
                <w:szCs w:val="16"/>
              </w:rPr>
              <w:t xml:space="preserve"> </w:t>
            </w:r>
            <w:r w:rsidR="00B05B00" w:rsidRPr="000D5771">
              <w:rPr>
                <w:b/>
                <w:bCs/>
                <w:sz w:val="20"/>
                <w:szCs w:val="16"/>
              </w:rPr>
              <w:t>MHz)</w:t>
            </w:r>
            <w:r w:rsidR="002F6179" w:rsidRPr="000D5771">
              <w:rPr>
                <w:sz w:val="20"/>
                <w:szCs w:val="16"/>
              </w:rPr>
              <w:t>:</w:t>
            </w:r>
          </w:p>
          <w:p w14:paraId="693218F3" w14:textId="11488747" w:rsidR="003C356C" w:rsidRPr="000D5771" w:rsidRDefault="00A140A5" w:rsidP="005A21B6">
            <w:pPr>
              <w:pStyle w:val="enumlev1"/>
              <w:tabs>
                <w:tab w:val="clear" w:pos="1134"/>
                <w:tab w:val="left" w:pos="464"/>
              </w:tabs>
              <w:spacing w:before="40"/>
              <w:ind w:left="464" w:hanging="464"/>
              <w:rPr>
                <w:sz w:val="20"/>
                <w:szCs w:val="16"/>
              </w:rPr>
            </w:pPr>
            <w:r w:rsidRPr="000D5771">
              <w:rPr>
                <w:b/>
                <w:sz w:val="20"/>
                <w:szCs w:val="16"/>
              </w:rPr>
              <w:tab/>
            </w:r>
            <w:r w:rsidR="00BF10A8" w:rsidRPr="000D5771">
              <w:rPr>
                <w:b/>
                <w:sz w:val="20"/>
                <w:szCs w:val="16"/>
              </w:rPr>
              <w:t>a</w:t>
            </w:r>
            <w:r w:rsidR="00B05B00" w:rsidRPr="000D5771">
              <w:rPr>
                <w:b/>
                <w:sz w:val="20"/>
                <w:szCs w:val="16"/>
              </w:rPr>
              <w:t>ppuyer les Méthodes 4C et 5C (Variante 2)</w:t>
            </w:r>
            <w:r w:rsidR="00B05B00" w:rsidRPr="000D5771">
              <w:rPr>
                <w:sz w:val="20"/>
                <w:szCs w:val="16"/>
              </w:rPr>
              <w:t xml:space="preserve"> pour identifier la bande de fréquences 6 425-7 125 MHz pour les IMT</w:t>
            </w:r>
            <w:r w:rsidR="00E80683" w:rsidRPr="000D5771">
              <w:rPr>
                <w:sz w:val="20"/>
                <w:szCs w:val="16"/>
              </w:rPr>
              <w:t>,</w:t>
            </w:r>
            <w:r w:rsidR="00B05B00" w:rsidRPr="000D5771">
              <w:rPr>
                <w:sz w:val="20"/>
                <w:szCs w:val="16"/>
              </w:rPr>
              <w:t xml:space="preserve"> en appliquant </w:t>
            </w:r>
            <w:r w:rsidR="00E80683" w:rsidRPr="000D5771">
              <w:rPr>
                <w:sz w:val="20"/>
                <w:szCs w:val="16"/>
              </w:rPr>
              <w:t xml:space="preserve">l'ensemble de </w:t>
            </w:r>
            <w:r w:rsidR="00B05B00" w:rsidRPr="000D5771">
              <w:rPr>
                <w:sz w:val="20"/>
                <w:szCs w:val="16"/>
              </w:rPr>
              <w:t>conditions suivantes pour protéger les services existants:</w:t>
            </w:r>
          </w:p>
          <w:p w14:paraId="13DEB516" w14:textId="47FD840E" w:rsidR="00DB6274" w:rsidRPr="000D5771" w:rsidRDefault="00DB6274" w:rsidP="005A21B6">
            <w:pPr>
              <w:pStyle w:val="enumlev2"/>
              <w:tabs>
                <w:tab w:val="clear" w:pos="1134"/>
                <w:tab w:val="clear" w:pos="1871"/>
                <w:tab w:val="left" w:pos="889"/>
              </w:tabs>
              <w:spacing w:before="40"/>
              <w:ind w:left="889" w:hanging="425"/>
              <w:rPr>
                <w:sz w:val="20"/>
                <w:szCs w:val="16"/>
              </w:rPr>
            </w:pPr>
            <w:r w:rsidRPr="000D5771">
              <w:rPr>
                <w:sz w:val="20"/>
                <w:szCs w:val="16"/>
              </w:rPr>
              <w:t>a)</w:t>
            </w:r>
            <w:r w:rsidRPr="000D5771">
              <w:rPr>
                <w:sz w:val="20"/>
                <w:szCs w:val="16"/>
              </w:rPr>
              <w:tab/>
            </w:r>
            <w:r w:rsidR="00BF10A8" w:rsidRPr="000D5771">
              <w:rPr>
                <w:sz w:val="20"/>
                <w:szCs w:val="16"/>
              </w:rPr>
              <w:t>e</w:t>
            </w:r>
            <w:r w:rsidR="009D3DF5" w:rsidRPr="000D5771">
              <w:rPr>
                <w:sz w:val="20"/>
                <w:szCs w:val="16"/>
              </w:rPr>
              <w:t>n ce qui concerne</w:t>
            </w:r>
            <w:r w:rsidR="00B05B00" w:rsidRPr="000D5771">
              <w:rPr>
                <w:sz w:val="20"/>
                <w:szCs w:val="16"/>
              </w:rPr>
              <w:t xml:space="preserve"> la protection du SFS (Terre vers espace) dans la bande de fréquences 6</w:t>
            </w:r>
            <w:r w:rsidR="002A24B6" w:rsidRPr="000D5771">
              <w:rPr>
                <w:sz w:val="20"/>
                <w:szCs w:val="16"/>
              </w:rPr>
              <w:t xml:space="preserve"> </w:t>
            </w:r>
            <w:r w:rsidR="00B05B00" w:rsidRPr="000D5771">
              <w:rPr>
                <w:sz w:val="20"/>
                <w:szCs w:val="16"/>
              </w:rPr>
              <w:t>425-7</w:t>
            </w:r>
            <w:r w:rsidR="002A24B6" w:rsidRPr="000D5771">
              <w:rPr>
                <w:sz w:val="20"/>
                <w:szCs w:val="16"/>
              </w:rPr>
              <w:t xml:space="preserve"> </w:t>
            </w:r>
            <w:r w:rsidR="00B05B00" w:rsidRPr="000D5771">
              <w:rPr>
                <w:sz w:val="20"/>
                <w:szCs w:val="16"/>
              </w:rPr>
              <w:t>075</w:t>
            </w:r>
            <w:r w:rsidR="002A24B6" w:rsidRPr="000D5771">
              <w:rPr>
                <w:sz w:val="20"/>
                <w:szCs w:val="16"/>
              </w:rPr>
              <w:t xml:space="preserve"> </w:t>
            </w:r>
            <w:r w:rsidR="00B05B00" w:rsidRPr="000D5771">
              <w:rPr>
                <w:sz w:val="20"/>
                <w:szCs w:val="16"/>
              </w:rPr>
              <w:t xml:space="preserve">MHz – Gabarit </w:t>
            </w:r>
            <w:r w:rsidR="00E80683" w:rsidRPr="000D5771">
              <w:rPr>
                <w:sz w:val="20"/>
                <w:szCs w:val="16"/>
              </w:rPr>
              <w:t xml:space="preserve">de </w:t>
            </w:r>
            <w:r w:rsidR="00B05B00" w:rsidRPr="000D5771">
              <w:rPr>
                <w:sz w:val="20"/>
                <w:szCs w:val="16"/>
              </w:rPr>
              <w:t xml:space="preserve">la puissance isotrope rayonnée </w:t>
            </w:r>
            <w:r w:rsidR="00EF217A" w:rsidRPr="000D5771">
              <w:rPr>
                <w:sz w:val="20"/>
                <w:szCs w:val="16"/>
              </w:rPr>
              <w:t>é</w:t>
            </w:r>
            <w:r w:rsidR="00B05B00" w:rsidRPr="000D5771">
              <w:rPr>
                <w:sz w:val="20"/>
                <w:szCs w:val="16"/>
              </w:rPr>
              <w:t xml:space="preserve">quivalente (p.i.r.e.) prévue émise par une station de base IMT: Exemple 3 du projet de </w:t>
            </w:r>
            <w:r w:rsidR="00031728" w:rsidRPr="000D5771">
              <w:rPr>
                <w:sz w:val="20"/>
                <w:szCs w:val="16"/>
              </w:rPr>
              <w:t xml:space="preserve">résolution </w:t>
            </w:r>
            <w:r w:rsidR="00B05B00" w:rsidRPr="000D5771">
              <w:rPr>
                <w:sz w:val="20"/>
                <w:szCs w:val="16"/>
              </w:rPr>
              <w:t>associé à la Méthode</w:t>
            </w:r>
            <w:r w:rsidR="00E7386F" w:rsidRPr="000D5771">
              <w:rPr>
                <w:sz w:val="20"/>
                <w:szCs w:val="16"/>
              </w:rPr>
              <w:t> </w:t>
            </w:r>
            <w:r w:rsidR="00B05B00" w:rsidRPr="000D5771">
              <w:rPr>
                <w:sz w:val="20"/>
                <w:szCs w:val="16"/>
              </w:rPr>
              <w:t>4C/5C</w:t>
            </w:r>
            <w:r w:rsidR="002F6179" w:rsidRPr="000D5771">
              <w:rPr>
                <w:sz w:val="20"/>
                <w:szCs w:val="16"/>
              </w:rPr>
              <w:t>;</w:t>
            </w:r>
          </w:p>
          <w:p w14:paraId="5B32FA51" w14:textId="5362CB60" w:rsidR="00DB6274" w:rsidRPr="000D5771" w:rsidRDefault="00DB6274" w:rsidP="000D5771">
            <w:pPr>
              <w:pStyle w:val="enumlev2"/>
              <w:tabs>
                <w:tab w:val="clear" w:pos="1134"/>
                <w:tab w:val="clear" w:pos="1871"/>
                <w:tab w:val="left" w:pos="889"/>
              </w:tabs>
              <w:spacing w:before="40" w:after="40"/>
              <w:ind w:left="889" w:hanging="425"/>
              <w:rPr>
                <w:sz w:val="20"/>
                <w:szCs w:val="16"/>
              </w:rPr>
            </w:pPr>
            <w:r w:rsidRPr="000D5771">
              <w:rPr>
                <w:sz w:val="20"/>
                <w:szCs w:val="16"/>
              </w:rPr>
              <w:t>b)</w:t>
            </w:r>
            <w:r w:rsidRPr="000D5771">
              <w:rPr>
                <w:sz w:val="20"/>
                <w:szCs w:val="16"/>
              </w:rPr>
              <w:tab/>
            </w:r>
            <w:r w:rsidR="00BF10A8" w:rsidRPr="000D5771">
              <w:rPr>
                <w:sz w:val="20"/>
                <w:szCs w:val="16"/>
              </w:rPr>
              <w:t>e</w:t>
            </w:r>
            <w:r w:rsidR="009D3DF5" w:rsidRPr="000D5771">
              <w:rPr>
                <w:sz w:val="20"/>
                <w:szCs w:val="16"/>
              </w:rPr>
              <w:t>n ce qui concerne</w:t>
            </w:r>
            <w:r w:rsidR="00B05B00" w:rsidRPr="000D5771">
              <w:rPr>
                <w:sz w:val="20"/>
                <w:szCs w:val="16"/>
              </w:rPr>
              <w:t xml:space="preserve"> la protection du SFS (espace vers Terre) dans la bande de fréquences 6</w:t>
            </w:r>
            <w:r w:rsidR="002A24B6" w:rsidRPr="000D5771">
              <w:rPr>
                <w:sz w:val="20"/>
                <w:szCs w:val="16"/>
              </w:rPr>
              <w:t xml:space="preserve"> </w:t>
            </w:r>
            <w:r w:rsidR="00B05B00" w:rsidRPr="000D5771">
              <w:rPr>
                <w:sz w:val="20"/>
                <w:szCs w:val="16"/>
              </w:rPr>
              <w:t>700-7</w:t>
            </w:r>
            <w:r w:rsidR="002A24B6" w:rsidRPr="000D5771">
              <w:rPr>
                <w:sz w:val="20"/>
                <w:szCs w:val="16"/>
              </w:rPr>
              <w:t xml:space="preserve"> </w:t>
            </w:r>
            <w:r w:rsidR="00B05B00" w:rsidRPr="000D5771">
              <w:rPr>
                <w:sz w:val="20"/>
                <w:szCs w:val="16"/>
              </w:rPr>
              <w:t>075</w:t>
            </w:r>
            <w:r w:rsidR="002A24B6" w:rsidRPr="000D5771">
              <w:rPr>
                <w:sz w:val="20"/>
                <w:szCs w:val="16"/>
              </w:rPr>
              <w:t xml:space="preserve"> </w:t>
            </w:r>
            <w:r w:rsidR="00B05B00" w:rsidRPr="000D5771">
              <w:rPr>
                <w:sz w:val="20"/>
                <w:szCs w:val="16"/>
              </w:rPr>
              <w:t xml:space="preserve">MHz: </w:t>
            </w:r>
            <w:r w:rsidR="009D3DF5" w:rsidRPr="000D5771">
              <w:rPr>
                <w:sz w:val="20"/>
                <w:szCs w:val="16"/>
              </w:rPr>
              <w:t>adopter</w:t>
            </w:r>
            <w:r w:rsidR="001C2BBB" w:rsidRPr="000D5771">
              <w:rPr>
                <w:sz w:val="20"/>
                <w:szCs w:val="16"/>
              </w:rPr>
              <w:t xml:space="preserve"> une coordination propre à chaque site</w:t>
            </w:r>
            <w:r w:rsidR="009D3DF5" w:rsidRPr="000D5771">
              <w:rPr>
                <w:sz w:val="20"/>
                <w:szCs w:val="16"/>
              </w:rPr>
              <w:t>.</w:t>
            </w:r>
          </w:p>
          <w:p w14:paraId="1A19C048" w14:textId="6A9237A7" w:rsidR="00DB6274" w:rsidRPr="000D5771" w:rsidRDefault="00DB6274" w:rsidP="00913168">
            <w:pPr>
              <w:pStyle w:val="enumlev1"/>
              <w:keepNext/>
              <w:tabs>
                <w:tab w:val="clear" w:pos="1134"/>
                <w:tab w:val="left" w:pos="464"/>
              </w:tabs>
              <w:spacing w:before="40"/>
              <w:ind w:left="464" w:hanging="464"/>
              <w:rPr>
                <w:sz w:val="20"/>
                <w:szCs w:val="16"/>
              </w:rPr>
            </w:pPr>
            <w:r w:rsidRPr="000D5771">
              <w:rPr>
                <w:sz w:val="20"/>
                <w:szCs w:val="16"/>
              </w:rPr>
              <w:lastRenderedPageBreak/>
              <w:t>3</w:t>
            </w:r>
            <w:r w:rsidRPr="000D5771">
              <w:rPr>
                <w:sz w:val="20"/>
                <w:szCs w:val="16"/>
              </w:rPr>
              <w:tab/>
            </w:r>
            <w:r w:rsidR="009D3DF5" w:rsidRPr="000D5771">
              <w:rPr>
                <w:b/>
                <w:bCs/>
                <w:sz w:val="20"/>
                <w:szCs w:val="16"/>
              </w:rPr>
              <w:t>En ce qui concerne les</w:t>
            </w:r>
            <w:r w:rsidR="001C2BBB" w:rsidRPr="000D5771">
              <w:rPr>
                <w:b/>
                <w:bCs/>
                <w:sz w:val="20"/>
                <w:szCs w:val="16"/>
              </w:rPr>
              <w:t xml:space="preserve"> </w:t>
            </w:r>
            <w:r w:rsidR="00E80683" w:rsidRPr="000D5771">
              <w:rPr>
                <w:b/>
                <w:bCs/>
                <w:sz w:val="20"/>
                <w:szCs w:val="16"/>
              </w:rPr>
              <w:t xml:space="preserve">bandes </w:t>
            </w:r>
            <w:r w:rsidR="001C2BBB" w:rsidRPr="000D5771">
              <w:rPr>
                <w:b/>
                <w:bCs/>
                <w:sz w:val="20"/>
                <w:szCs w:val="16"/>
              </w:rPr>
              <w:t>de</w:t>
            </w:r>
            <w:r w:rsidR="009D3DF5" w:rsidRPr="000D5771">
              <w:rPr>
                <w:b/>
                <w:bCs/>
                <w:sz w:val="20"/>
                <w:szCs w:val="16"/>
              </w:rPr>
              <w:t xml:space="preserve"> fréquences 2 (3 300-3 400 MHz), </w:t>
            </w:r>
            <w:r w:rsidR="001C2BBB" w:rsidRPr="000D5771">
              <w:rPr>
                <w:b/>
                <w:bCs/>
                <w:sz w:val="20"/>
                <w:szCs w:val="16"/>
              </w:rPr>
              <w:t>3</w:t>
            </w:r>
            <w:r w:rsidR="002A24B6" w:rsidRPr="000D5771">
              <w:rPr>
                <w:b/>
                <w:bCs/>
                <w:sz w:val="20"/>
                <w:szCs w:val="16"/>
              </w:rPr>
              <w:t> </w:t>
            </w:r>
            <w:r w:rsidR="001C2BBB" w:rsidRPr="000D5771">
              <w:rPr>
                <w:b/>
                <w:bCs/>
                <w:sz w:val="20"/>
                <w:szCs w:val="16"/>
              </w:rPr>
              <w:t>(3 600</w:t>
            </w:r>
            <w:r w:rsidR="00E7386F" w:rsidRPr="000D5771">
              <w:rPr>
                <w:b/>
                <w:bCs/>
                <w:sz w:val="20"/>
                <w:szCs w:val="16"/>
              </w:rPr>
              <w:noBreakHyphen/>
            </w:r>
            <w:r w:rsidR="001C2BBB" w:rsidRPr="000D5771">
              <w:rPr>
                <w:b/>
                <w:bCs/>
                <w:sz w:val="20"/>
                <w:szCs w:val="16"/>
              </w:rPr>
              <w:t>3 800 MHz) et 6 (10-10,5 GHz (Région 2))</w:t>
            </w:r>
            <w:r w:rsidR="002F6179" w:rsidRPr="000D5771">
              <w:rPr>
                <w:sz w:val="20"/>
                <w:szCs w:val="16"/>
              </w:rPr>
              <w:t>:</w:t>
            </w:r>
          </w:p>
          <w:p w14:paraId="51A21FF5" w14:textId="3FDB8B95" w:rsidR="00DB6274" w:rsidRPr="000D5771" w:rsidRDefault="00DB6274" w:rsidP="00913168">
            <w:pPr>
              <w:pStyle w:val="enumlev2"/>
              <w:keepLines/>
              <w:tabs>
                <w:tab w:val="clear" w:pos="1134"/>
                <w:tab w:val="clear" w:pos="1871"/>
                <w:tab w:val="left" w:pos="889"/>
              </w:tabs>
              <w:spacing w:before="40"/>
              <w:ind w:left="889" w:hanging="425"/>
              <w:rPr>
                <w:sz w:val="20"/>
                <w:szCs w:val="16"/>
              </w:rPr>
            </w:pPr>
            <w:r w:rsidRPr="000D5771">
              <w:rPr>
                <w:sz w:val="20"/>
                <w:szCs w:val="16"/>
              </w:rPr>
              <w:t>a)</w:t>
            </w:r>
            <w:r w:rsidRPr="000D5771">
              <w:rPr>
                <w:sz w:val="20"/>
                <w:szCs w:val="16"/>
              </w:rPr>
              <w:tab/>
            </w:r>
            <w:r w:rsidR="00BF10A8" w:rsidRPr="000D5771">
              <w:rPr>
                <w:sz w:val="20"/>
                <w:szCs w:val="16"/>
              </w:rPr>
              <w:t>e</w:t>
            </w:r>
            <w:r w:rsidR="009D3DF5" w:rsidRPr="000D5771">
              <w:rPr>
                <w:sz w:val="20"/>
                <w:szCs w:val="16"/>
              </w:rPr>
              <w:t xml:space="preserve">n ce qui concerne les </w:t>
            </w:r>
            <w:r w:rsidR="00E80683" w:rsidRPr="000D5771">
              <w:rPr>
                <w:sz w:val="20"/>
                <w:szCs w:val="16"/>
              </w:rPr>
              <w:t xml:space="preserve">bandes </w:t>
            </w:r>
            <w:r w:rsidR="001C2BBB" w:rsidRPr="000D5771">
              <w:rPr>
                <w:sz w:val="20"/>
                <w:szCs w:val="16"/>
              </w:rPr>
              <w:t xml:space="preserve">de fréquences 2 et 3, </w:t>
            </w:r>
            <w:r w:rsidR="001C2BBB" w:rsidRPr="000D5771">
              <w:rPr>
                <w:b/>
                <w:sz w:val="20"/>
                <w:szCs w:val="16"/>
              </w:rPr>
              <w:t xml:space="preserve">appuyer l'attribution au service mobile, et </w:t>
            </w:r>
            <w:r w:rsidR="00E80683" w:rsidRPr="000D5771">
              <w:rPr>
                <w:b/>
                <w:sz w:val="20"/>
                <w:szCs w:val="16"/>
              </w:rPr>
              <w:t xml:space="preserve">une </w:t>
            </w:r>
            <w:r w:rsidR="001C2BBB" w:rsidRPr="000D5771">
              <w:rPr>
                <w:b/>
                <w:sz w:val="20"/>
                <w:szCs w:val="16"/>
              </w:rPr>
              <w:t>identification</w:t>
            </w:r>
            <w:r w:rsidR="00E80683" w:rsidRPr="000D5771">
              <w:rPr>
                <w:b/>
                <w:sz w:val="20"/>
                <w:szCs w:val="16"/>
              </w:rPr>
              <w:t xml:space="preserve"> éventuelle</w:t>
            </w:r>
            <w:r w:rsidR="001C2BBB" w:rsidRPr="000D5771">
              <w:rPr>
                <w:b/>
                <w:sz w:val="20"/>
                <w:szCs w:val="16"/>
              </w:rPr>
              <w:t xml:space="preserve"> pour les IMT</w:t>
            </w:r>
            <w:r w:rsidR="001C2BBB" w:rsidRPr="000D5771">
              <w:rPr>
                <w:sz w:val="20"/>
                <w:szCs w:val="16"/>
              </w:rPr>
              <w:t xml:space="preserve"> dans </w:t>
            </w:r>
            <w:r w:rsidR="00E80683" w:rsidRPr="000D5771">
              <w:rPr>
                <w:sz w:val="20"/>
                <w:szCs w:val="16"/>
              </w:rPr>
              <w:t xml:space="preserve">les </w:t>
            </w:r>
            <w:r w:rsidR="001C2BBB" w:rsidRPr="000D5771">
              <w:rPr>
                <w:sz w:val="20"/>
                <w:szCs w:val="16"/>
              </w:rPr>
              <w:t xml:space="preserve">bandes de fréquences </w:t>
            </w:r>
            <w:r w:rsidR="009D3DF5" w:rsidRPr="000D5771">
              <w:rPr>
                <w:sz w:val="20"/>
                <w:szCs w:val="16"/>
              </w:rPr>
              <w:t>en question</w:t>
            </w:r>
            <w:r w:rsidR="001C2BBB" w:rsidRPr="000D5771">
              <w:rPr>
                <w:sz w:val="20"/>
                <w:szCs w:val="16"/>
              </w:rPr>
              <w:t xml:space="preserve"> en Région 2, étant donné que cela </w:t>
            </w:r>
            <w:r w:rsidR="001C2BBB" w:rsidRPr="000D5771">
              <w:rPr>
                <w:b/>
                <w:sz w:val="20"/>
                <w:szCs w:val="16"/>
              </w:rPr>
              <w:t xml:space="preserve">favoriserait l'harmonisation </w:t>
            </w:r>
            <w:r w:rsidR="009D3DF5" w:rsidRPr="000D5771">
              <w:rPr>
                <w:b/>
                <w:sz w:val="20"/>
                <w:szCs w:val="16"/>
              </w:rPr>
              <w:t>au niveau mondial</w:t>
            </w:r>
            <w:r w:rsidR="001C2BBB" w:rsidRPr="000D5771">
              <w:rPr>
                <w:sz w:val="20"/>
                <w:szCs w:val="16"/>
              </w:rPr>
              <w:t xml:space="preserve"> pour la mise en </w:t>
            </w:r>
            <w:r w:rsidR="00E7386F" w:rsidRPr="000D5771">
              <w:rPr>
                <w:sz w:val="20"/>
                <w:szCs w:val="16"/>
              </w:rPr>
              <w:t>œ</w:t>
            </w:r>
            <w:r w:rsidR="001C2BBB" w:rsidRPr="000D5771">
              <w:rPr>
                <w:sz w:val="20"/>
                <w:szCs w:val="16"/>
              </w:rPr>
              <w:t>uvre des IMT</w:t>
            </w:r>
            <w:r w:rsidR="002F6179" w:rsidRPr="000D5771">
              <w:rPr>
                <w:sz w:val="20"/>
                <w:szCs w:val="16"/>
              </w:rPr>
              <w:t>;</w:t>
            </w:r>
          </w:p>
          <w:p w14:paraId="7144A86A" w14:textId="12CFDDF3" w:rsidR="00DB6274" w:rsidRPr="000D5771" w:rsidRDefault="00DB6274" w:rsidP="005A21B6">
            <w:pPr>
              <w:pStyle w:val="enumlev2"/>
              <w:tabs>
                <w:tab w:val="clear" w:pos="1134"/>
                <w:tab w:val="clear" w:pos="1871"/>
                <w:tab w:val="left" w:pos="889"/>
              </w:tabs>
              <w:spacing w:before="40"/>
              <w:ind w:left="889" w:hanging="425"/>
              <w:rPr>
                <w:sz w:val="20"/>
                <w:szCs w:val="16"/>
              </w:rPr>
            </w:pPr>
            <w:r w:rsidRPr="000D5771">
              <w:rPr>
                <w:sz w:val="20"/>
                <w:szCs w:val="16"/>
              </w:rPr>
              <w:t>b)</w:t>
            </w:r>
            <w:r w:rsidRPr="000D5771">
              <w:rPr>
                <w:sz w:val="20"/>
                <w:szCs w:val="16"/>
              </w:rPr>
              <w:tab/>
            </w:r>
            <w:r w:rsidR="00BF10A8" w:rsidRPr="000D5771">
              <w:rPr>
                <w:sz w:val="20"/>
                <w:szCs w:val="16"/>
              </w:rPr>
              <w:t>e</w:t>
            </w:r>
            <w:r w:rsidR="009D3DF5" w:rsidRPr="000D5771">
              <w:rPr>
                <w:sz w:val="20"/>
                <w:szCs w:val="16"/>
              </w:rPr>
              <w:t xml:space="preserve">n ce qui concerne la </w:t>
            </w:r>
            <w:r w:rsidR="00E80683" w:rsidRPr="000D5771">
              <w:rPr>
                <w:sz w:val="20"/>
                <w:szCs w:val="16"/>
              </w:rPr>
              <w:t xml:space="preserve">bande </w:t>
            </w:r>
            <w:r w:rsidR="001C2BBB" w:rsidRPr="000D5771">
              <w:rPr>
                <w:sz w:val="20"/>
                <w:szCs w:val="16"/>
              </w:rPr>
              <w:t xml:space="preserve">de fréquences 6, l'appui de </w:t>
            </w:r>
            <w:r w:rsidR="009D3DF5" w:rsidRPr="000D5771">
              <w:rPr>
                <w:sz w:val="20"/>
                <w:szCs w:val="16"/>
              </w:rPr>
              <w:t>l'</w:t>
            </w:r>
            <w:r w:rsidR="001C2BBB" w:rsidRPr="000D5771">
              <w:rPr>
                <w:sz w:val="20"/>
                <w:szCs w:val="16"/>
              </w:rPr>
              <w:t xml:space="preserve">identification de </w:t>
            </w:r>
            <w:r w:rsidR="009D3DF5" w:rsidRPr="000D5771">
              <w:rPr>
                <w:sz w:val="20"/>
                <w:szCs w:val="16"/>
              </w:rPr>
              <w:t>cette</w:t>
            </w:r>
            <w:r w:rsidR="001C2BBB" w:rsidRPr="000D5771">
              <w:rPr>
                <w:sz w:val="20"/>
                <w:szCs w:val="16"/>
              </w:rPr>
              <w:t xml:space="preserve"> bande de fréquences, ou d'une partie de cette bande</w:t>
            </w:r>
            <w:r w:rsidR="00893412" w:rsidRPr="000D5771">
              <w:rPr>
                <w:sz w:val="20"/>
                <w:szCs w:val="16"/>
              </w:rPr>
              <w:t xml:space="preserve"> de fréquences</w:t>
            </w:r>
            <w:r w:rsidR="001C2BBB" w:rsidRPr="000D5771">
              <w:rPr>
                <w:sz w:val="20"/>
                <w:szCs w:val="16"/>
              </w:rPr>
              <w:t xml:space="preserve">, </w:t>
            </w:r>
            <w:r w:rsidR="00893412" w:rsidRPr="000D5771">
              <w:rPr>
                <w:sz w:val="20"/>
                <w:szCs w:val="16"/>
              </w:rPr>
              <w:t xml:space="preserve">à l'examen en Région 2 </w:t>
            </w:r>
            <w:r w:rsidR="001C2BBB" w:rsidRPr="000D5771">
              <w:rPr>
                <w:sz w:val="20"/>
                <w:szCs w:val="16"/>
              </w:rPr>
              <w:t xml:space="preserve">pour les IMT, </w:t>
            </w:r>
            <w:r w:rsidR="001C2BBB" w:rsidRPr="000D5771">
              <w:rPr>
                <w:b/>
                <w:sz w:val="20"/>
                <w:szCs w:val="16"/>
              </w:rPr>
              <w:t>ne doit pas nuire</w:t>
            </w:r>
            <w:r w:rsidR="001C2BBB" w:rsidRPr="000D5771">
              <w:rPr>
                <w:sz w:val="20"/>
                <w:szCs w:val="16"/>
              </w:rPr>
              <w:t xml:space="preserve"> aux services auxquels cette bande de fréquences est attribuée en Région 1</w:t>
            </w:r>
            <w:r w:rsidR="002F6179" w:rsidRPr="000D5771">
              <w:rPr>
                <w:sz w:val="20"/>
                <w:szCs w:val="16"/>
              </w:rPr>
              <w:t>.</w:t>
            </w:r>
          </w:p>
          <w:p w14:paraId="2C0D868B" w14:textId="3201BB20" w:rsidR="00DB6274" w:rsidRPr="000D5771" w:rsidRDefault="00DB6274" w:rsidP="005A21B6">
            <w:pPr>
              <w:pStyle w:val="TableText0"/>
              <w:spacing w:before="120"/>
              <w:rPr>
                <w:i/>
                <w:iCs/>
                <w:sz w:val="20"/>
                <w:szCs w:val="20"/>
                <w:u w:val="single"/>
                <w:lang w:val="fr-FR"/>
              </w:rPr>
            </w:pPr>
            <w:r w:rsidRPr="000D5771">
              <w:rPr>
                <w:i/>
                <w:iCs/>
                <w:sz w:val="20"/>
                <w:szCs w:val="20"/>
                <w:u w:val="single"/>
                <w:lang w:val="fr-FR"/>
              </w:rPr>
              <w:t>Partie 2:</w:t>
            </w:r>
            <w:r w:rsidR="001C2BBB" w:rsidRPr="000D5771">
              <w:rPr>
                <w:i/>
                <w:iCs/>
                <w:sz w:val="20"/>
                <w:szCs w:val="20"/>
                <w:u w:val="single"/>
                <w:lang w:val="fr-FR"/>
              </w:rPr>
              <w:t xml:space="preserve"> Marche à suivre</w:t>
            </w:r>
          </w:p>
          <w:p w14:paraId="300C420D" w14:textId="440F541A" w:rsidR="001C2BBB" w:rsidRPr="000D5771" w:rsidRDefault="001C2BBB" w:rsidP="005A21B6">
            <w:pPr>
              <w:pStyle w:val="TableText0"/>
              <w:spacing w:before="120"/>
              <w:rPr>
                <w:b/>
                <w:i/>
                <w:iCs/>
                <w:sz w:val="20"/>
                <w:szCs w:val="20"/>
                <w:lang w:val="fr-FR"/>
              </w:rPr>
            </w:pPr>
            <w:r w:rsidRPr="000D5771">
              <w:rPr>
                <w:b/>
                <w:i/>
                <w:iCs/>
                <w:sz w:val="20"/>
                <w:szCs w:val="20"/>
                <w:lang w:val="fr-FR"/>
              </w:rPr>
              <w:t xml:space="preserve">Demander aux administrations des </w:t>
            </w:r>
            <w:r w:rsidR="00E80683" w:rsidRPr="000D5771">
              <w:rPr>
                <w:b/>
                <w:i/>
                <w:iCs/>
                <w:sz w:val="20"/>
                <w:szCs w:val="20"/>
                <w:lang w:val="fr-FR"/>
              </w:rPr>
              <w:t>pays membres de l'UAT</w:t>
            </w:r>
            <w:r w:rsidRPr="000D5771">
              <w:rPr>
                <w:b/>
                <w:sz w:val="20"/>
                <w:szCs w:val="20"/>
                <w:lang w:val="fr-FR"/>
              </w:rPr>
              <w:t>:</w:t>
            </w:r>
          </w:p>
          <w:p w14:paraId="235D0EF2" w14:textId="4C9E1D16" w:rsidR="00DB6274" w:rsidRPr="000D5771" w:rsidRDefault="00BF10A8" w:rsidP="006316B9">
            <w:pPr>
              <w:pStyle w:val="TableText0"/>
              <w:rPr>
                <w:sz w:val="20"/>
                <w:szCs w:val="20"/>
                <w:lang w:val="fr-FR"/>
              </w:rPr>
            </w:pPr>
            <w:r w:rsidRPr="000D5771">
              <w:rPr>
                <w:sz w:val="20"/>
                <w:szCs w:val="20"/>
                <w:lang w:val="fr-FR"/>
              </w:rPr>
              <w:t>d</w:t>
            </w:r>
            <w:r w:rsidR="001C2BBB" w:rsidRPr="000D5771">
              <w:rPr>
                <w:sz w:val="20"/>
                <w:szCs w:val="20"/>
                <w:lang w:val="fr-FR"/>
              </w:rPr>
              <w:t>'</w:t>
            </w:r>
            <w:r w:rsidR="001C2BBB" w:rsidRPr="000D5771">
              <w:rPr>
                <w:b/>
                <w:sz w:val="20"/>
                <w:szCs w:val="20"/>
                <w:lang w:val="fr-FR"/>
              </w:rPr>
              <w:t>appuyer</w:t>
            </w:r>
            <w:r w:rsidR="001C2BBB" w:rsidRPr="000D5771">
              <w:rPr>
                <w:sz w:val="20"/>
                <w:szCs w:val="20"/>
                <w:lang w:val="fr-FR"/>
              </w:rPr>
              <w:t xml:space="preserve"> la proposition africaine commune au titre de ce point de l'ordre du jour.</w:t>
            </w:r>
          </w:p>
        </w:tc>
      </w:tr>
      <w:tr w:rsidR="00613B30" w:rsidRPr="000D5771" w14:paraId="43224E5A" w14:textId="77777777" w:rsidTr="00913168">
        <w:trPr>
          <w:cantSplit/>
        </w:trPr>
        <w:tc>
          <w:tcPr>
            <w:tcW w:w="2972" w:type="dxa"/>
            <w:tcBorders>
              <w:top w:val="single" w:sz="6" w:space="0" w:color="auto"/>
              <w:left w:val="single" w:sz="4" w:space="0" w:color="auto"/>
              <w:bottom w:val="single" w:sz="6" w:space="0" w:color="auto"/>
            </w:tcBorders>
          </w:tcPr>
          <w:p w14:paraId="23D1CC70" w14:textId="2C1AF8AD" w:rsidR="00613B30" w:rsidRPr="000D5771" w:rsidRDefault="00613B30" w:rsidP="005A21B6">
            <w:pPr>
              <w:pStyle w:val="TableText0"/>
              <w:spacing w:before="120"/>
              <w:rPr>
                <w:rFonts w:eastAsia="Calibri"/>
                <w:b/>
                <w:iCs/>
                <w:sz w:val="20"/>
                <w:szCs w:val="20"/>
                <w:lang w:val="fr-FR"/>
              </w:rPr>
            </w:pPr>
            <w:bookmarkStart w:id="7" w:name="lt_pId057"/>
            <w:r w:rsidRPr="000D5771">
              <w:rPr>
                <w:rFonts w:eastAsia="Calibri"/>
                <w:b/>
                <w:iCs/>
                <w:sz w:val="20"/>
                <w:szCs w:val="20"/>
                <w:lang w:val="fr-FR"/>
              </w:rPr>
              <w:lastRenderedPageBreak/>
              <w:t>1.3</w:t>
            </w:r>
            <w:bookmarkEnd w:id="7"/>
          </w:p>
          <w:p w14:paraId="29F2A722" w14:textId="5BD23BB1" w:rsidR="003C356C" w:rsidRPr="000D5771" w:rsidRDefault="00615D20" w:rsidP="005A21B6">
            <w:pPr>
              <w:pStyle w:val="TableText0"/>
              <w:spacing w:before="120"/>
              <w:rPr>
                <w:sz w:val="20"/>
                <w:szCs w:val="20"/>
                <w:lang w:val="fr-FR"/>
              </w:rPr>
            </w:pPr>
            <w:r w:rsidRPr="000D5771">
              <w:rPr>
                <w:bCs/>
                <w:iCs/>
                <w:sz w:val="20"/>
                <w:szCs w:val="20"/>
                <w:lang w:val="fr-FR"/>
              </w:rPr>
              <w:t>Envisager l'</w:t>
            </w:r>
            <w:r w:rsidR="003C356C" w:rsidRPr="000D5771">
              <w:rPr>
                <w:bCs/>
                <w:iCs/>
                <w:sz w:val="20"/>
                <w:szCs w:val="20"/>
                <w:lang w:val="fr-FR"/>
              </w:rPr>
              <w:t>attribution à titre primaire de la bande de fréquences 3 600-3 800 MHz au service mobile en Région 1 et prendre les mesures réglementaires appropriées, conformément à la Résolution</w:t>
            </w:r>
            <w:r w:rsidR="00AA3A0B" w:rsidRPr="000D5771">
              <w:rPr>
                <w:bCs/>
                <w:iCs/>
                <w:sz w:val="20"/>
                <w:szCs w:val="20"/>
                <w:lang w:val="fr-FR"/>
              </w:rPr>
              <w:t> </w:t>
            </w:r>
            <w:r w:rsidR="003C356C" w:rsidRPr="000D5771">
              <w:rPr>
                <w:b/>
                <w:iCs/>
                <w:sz w:val="20"/>
                <w:szCs w:val="20"/>
                <w:lang w:val="fr-FR"/>
              </w:rPr>
              <w:t>246 (CMR-19)</w:t>
            </w:r>
            <w:r w:rsidR="003C356C" w:rsidRPr="000D5771">
              <w:rPr>
                <w:bCs/>
                <w:iCs/>
                <w:sz w:val="20"/>
                <w:szCs w:val="20"/>
                <w:lang w:val="fr-FR"/>
              </w:rPr>
              <w:t>;</w:t>
            </w:r>
          </w:p>
        </w:tc>
        <w:tc>
          <w:tcPr>
            <w:tcW w:w="7174" w:type="dxa"/>
            <w:tcBorders>
              <w:top w:val="single" w:sz="4" w:space="0" w:color="auto"/>
              <w:bottom w:val="single" w:sz="4" w:space="0" w:color="auto"/>
              <w:right w:val="single" w:sz="4" w:space="0" w:color="auto"/>
            </w:tcBorders>
          </w:tcPr>
          <w:p w14:paraId="5421018D" w14:textId="07748A6D" w:rsidR="00613B30" w:rsidRPr="000D5771" w:rsidRDefault="003C356C" w:rsidP="005A21B6">
            <w:pPr>
              <w:pStyle w:val="TableText0"/>
              <w:spacing w:before="120"/>
              <w:rPr>
                <w:i/>
                <w:iCs/>
                <w:sz w:val="20"/>
                <w:szCs w:val="20"/>
                <w:u w:val="single"/>
                <w:lang w:val="fr-FR"/>
              </w:rPr>
            </w:pPr>
            <w:r w:rsidRPr="000D5771">
              <w:rPr>
                <w:i/>
                <w:iCs/>
                <w:sz w:val="20"/>
                <w:szCs w:val="20"/>
                <w:u w:val="single"/>
                <w:lang w:val="fr-FR"/>
              </w:rPr>
              <w:t>Partie 1:</w:t>
            </w:r>
            <w:r w:rsidR="00D912DF" w:rsidRPr="000D5771">
              <w:rPr>
                <w:i/>
                <w:iCs/>
                <w:sz w:val="20"/>
                <w:szCs w:val="20"/>
                <w:u w:val="single"/>
                <w:lang w:val="fr-FR"/>
              </w:rPr>
              <w:t xml:space="preserve"> Position commune</w:t>
            </w:r>
          </w:p>
          <w:p w14:paraId="6D032F19" w14:textId="226B247D" w:rsidR="003C356C" w:rsidRPr="000D5771" w:rsidRDefault="003C356C" w:rsidP="005A21B6">
            <w:pPr>
              <w:pStyle w:val="enumlev1"/>
              <w:tabs>
                <w:tab w:val="clear" w:pos="1134"/>
                <w:tab w:val="left" w:pos="464"/>
              </w:tabs>
              <w:spacing w:before="120"/>
              <w:ind w:left="464" w:hanging="464"/>
              <w:rPr>
                <w:sz w:val="20"/>
                <w:szCs w:val="16"/>
              </w:rPr>
            </w:pPr>
            <w:r w:rsidRPr="000D5771">
              <w:rPr>
                <w:sz w:val="20"/>
                <w:szCs w:val="16"/>
              </w:rPr>
              <w:t>1</w:t>
            </w:r>
            <w:r w:rsidRPr="000D5771">
              <w:rPr>
                <w:sz w:val="20"/>
                <w:szCs w:val="16"/>
              </w:rPr>
              <w:tab/>
            </w:r>
            <w:r w:rsidR="00D912DF" w:rsidRPr="000D5771">
              <w:rPr>
                <w:b/>
                <w:sz w:val="20"/>
                <w:szCs w:val="16"/>
              </w:rPr>
              <w:t>Adopter</w:t>
            </w:r>
            <w:r w:rsidR="00D912DF" w:rsidRPr="000D5771">
              <w:rPr>
                <w:sz w:val="20"/>
                <w:szCs w:val="16"/>
              </w:rPr>
              <w:t xml:space="preserve">, à titre de compromis, </w:t>
            </w:r>
            <w:r w:rsidR="003C197E" w:rsidRPr="000D5771">
              <w:rPr>
                <w:sz w:val="20"/>
                <w:szCs w:val="16"/>
              </w:rPr>
              <w:t>les propositions suivantes figurant dans la proposition africaine commune</w:t>
            </w:r>
            <w:r w:rsidR="00B94030" w:rsidRPr="000D5771">
              <w:rPr>
                <w:sz w:val="20"/>
                <w:szCs w:val="16"/>
              </w:rPr>
              <w:t>:</w:t>
            </w:r>
          </w:p>
          <w:p w14:paraId="1FD5992B" w14:textId="63C4A65F" w:rsidR="003C356C" w:rsidRPr="000D5771" w:rsidRDefault="003C356C" w:rsidP="005A21B6">
            <w:pPr>
              <w:pStyle w:val="enumlev2"/>
              <w:tabs>
                <w:tab w:val="clear" w:pos="1134"/>
                <w:tab w:val="clear" w:pos="1871"/>
                <w:tab w:val="left" w:pos="889"/>
              </w:tabs>
              <w:spacing w:before="40"/>
              <w:ind w:left="889" w:hanging="425"/>
              <w:rPr>
                <w:sz w:val="20"/>
                <w:szCs w:val="16"/>
              </w:rPr>
            </w:pPr>
            <w:r w:rsidRPr="000D5771">
              <w:rPr>
                <w:sz w:val="20"/>
                <w:szCs w:val="16"/>
              </w:rPr>
              <w:t>a)</w:t>
            </w:r>
            <w:r w:rsidRPr="000D5771">
              <w:rPr>
                <w:sz w:val="20"/>
                <w:szCs w:val="16"/>
              </w:rPr>
              <w:tab/>
            </w:r>
            <w:r w:rsidR="00BF10A8" w:rsidRPr="000D5771">
              <w:rPr>
                <w:sz w:val="20"/>
                <w:szCs w:val="16"/>
              </w:rPr>
              <w:t>r</w:t>
            </w:r>
            <w:r w:rsidR="003C197E" w:rsidRPr="000D5771">
              <w:rPr>
                <w:sz w:val="20"/>
                <w:szCs w:val="16"/>
              </w:rPr>
              <w:t>elèvement a</w:t>
            </w:r>
            <w:r w:rsidR="00B315C7" w:rsidRPr="000D5771">
              <w:rPr>
                <w:sz w:val="20"/>
                <w:szCs w:val="16"/>
              </w:rPr>
              <w:t xml:space="preserve">u statut </w:t>
            </w:r>
            <w:r w:rsidR="003C197E" w:rsidRPr="000D5771">
              <w:rPr>
                <w:sz w:val="20"/>
                <w:szCs w:val="16"/>
              </w:rPr>
              <w:t xml:space="preserve">primaire </w:t>
            </w:r>
            <w:r w:rsidR="00B315C7" w:rsidRPr="000D5771">
              <w:rPr>
                <w:sz w:val="20"/>
                <w:szCs w:val="16"/>
              </w:rPr>
              <w:t>de l'attribution de la bande de fréquences 3</w:t>
            </w:r>
            <w:r w:rsidR="00031728" w:rsidRPr="000D5771">
              <w:rPr>
                <w:sz w:val="20"/>
                <w:szCs w:val="16"/>
              </w:rPr>
              <w:t> </w:t>
            </w:r>
            <w:r w:rsidR="00B315C7" w:rsidRPr="000D5771">
              <w:rPr>
                <w:sz w:val="20"/>
                <w:szCs w:val="16"/>
              </w:rPr>
              <w:t>600-3</w:t>
            </w:r>
            <w:r w:rsidR="0012798A" w:rsidRPr="000D5771">
              <w:rPr>
                <w:sz w:val="20"/>
                <w:szCs w:val="16"/>
              </w:rPr>
              <w:t xml:space="preserve"> </w:t>
            </w:r>
            <w:r w:rsidR="00B315C7" w:rsidRPr="000D5771">
              <w:rPr>
                <w:sz w:val="20"/>
                <w:szCs w:val="16"/>
              </w:rPr>
              <w:t>800</w:t>
            </w:r>
            <w:r w:rsidR="0012798A" w:rsidRPr="000D5771">
              <w:rPr>
                <w:sz w:val="20"/>
                <w:szCs w:val="16"/>
              </w:rPr>
              <w:t xml:space="preserve"> </w:t>
            </w:r>
            <w:r w:rsidR="00B315C7" w:rsidRPr="000D5771">
              <w:rPr>
                <w:sz w:val="20"/>
                <w:szCs w:val="16"/>
              </w:rPr>
              <w:t xml:space="preserve">MHz au service mobile </w:t>
            </w:r>
            <w:r w:rsidR="003C197E" w:rsidRPr="000D5771">
              <w:rPr>
                <w:sz w:val="20"/>
                <w:szCs w:val="16"/>
              </w:rPr>
              <w:t>en Région</w:t>
            </w:r>
            <w:r w:rsidR="002A24B6" w:rsidRPr="000D5771">
              <w:rPr>
                <w:sz w:val="20"/>
                <w:szCs w:val="16"/>
              </w:rPr>
              <w:t> </w:t>
            </w:r>
            <w:r w:rsidR="003C197E" w:rsidRPr="000D5771">
              <w:rPr>
                <w:sz w:val="20"/>
                <w:szCs w:val="16"/>
              </w:rPr>
              <w:t xml:space="preserve">1 </w:t>
            </w:r>
            <w:r w:rsidR="00B315C7" w:rsidRPr="000D5771">
              <w:rPr>
                <w:sz w:val="20"/>
                <w:szCs w:val="16"/>
              </w:rPr>
              <w:t>dans le Tableau d'attribution des bandes de fréquences</w:t>
            </w:r>
            <w:r w:rsidR="00B94030" w:rsidRPr="000D5771">
              <w:rPr>
                <w:sz w:val="20"/>
                <w:szCs w:val="16"/>
              </w:rPr>
              <w:t>;</w:t>
            </w:r>
          </w:p>
          <w:p w14:paraId="1F0A9A20" w14:textId="60B75653" w:rsidR="003C356C" w:rsidRPr="000D5771" w:rsidRDefault="003C356C" w:rsidP="005A21B6">
            <w:pPr>
              <w:pStyle w:val="enumlev2"/>
              <w:tabs>
                <w:tab w:val="clear" w:pos="1134"/>
                <w:tab w:val="clear" w:pos="1871"/>
                <w:tab w:val="left" w:pos="889"/>
              </w:tabs>
              <w:spacing w:before="40"/>
              <w:ind w:left="889" w:hanging="425"/>
              <w:rPr>
                <w:sz w:val="20"/>
                <w:szCs w:val="16"/>
              </w:rPr>
            </w:pPr>
            <w:r w:rsidRPr="000D5771">
              <w:rPr>
                <w:sz w:val="20"/>
                <w:szCs w:val="16"/>
              </w:rPr>
              <w:t>b)</w:t>
            </w:r>
            <w:r w:rsidRPr="000D5771">
              <w:rPr>
                <w:sz w:val="20"/>
                <w:szCs w:val="16"/>
              </w:rPr>
              <w:tab/>
            </w:r>
            <w:r w:rsidR="00BF10A8" w:rsidRPr="000D5771">
              <w:rPr>
                <w:sz w:val="20"/>
                <w:szCs w:val="16"/>
              </w:rPr>
              <w:t>i</w:t>
            </w:r>
            <w:r w:rsidR="00B315C7" w:rsidRPr="000D5771">
              <w:rPr>
                <w:sz w:val="20"/>
                <w:szCs w:val="16"/>
              </w:rPr>
              <w:t xml:space="preserve">dentification pour les IMT </w:t>
            </w:r>
            <w:r w:rsidR="003C197E" w:rsidRPr="000D5771">
              <w:rPr>
                <w:sz w:val="20"/>
                <w:szCs w:val="16"/>
              </w:rPr>
              <w:t xml:space="preserve">par le biais de deux renvois, dans lesquels il est proposé </w:t>
            </w:r>
            <w:r w:rsidR="00B315C7" w:rsidRPr="000D5771">
              <w:rPr>
                <w:sz w:val="20"/>
                <w:szCs w:val="16"/>
              </w:rPr>
              <w:t xml:space="preserve">d'identifier </w:t>
            </w:r>
            <w:r w:rsidR="003C197E" w:rsidRPr="000D5771">
              <w:rPr>
                <w:sz w:val="20"/>
                <w:szCs w:val="16"/>
              </w:rPr>
              <w:t xml:space="preserve">pour les IMT </w:t>
            </w:r>
            <w:r w:rsidR="00B315C7" w:rsidRPr="000D5771">
              <w:rPr>
                <w:sz w:val="20"/>
                <w:szCs w:val="16"/>
              </w:rPr>
              <w:t>les bandes de fréquences 3</w:t>
            </w:r>
            <w:r w:rsidR="00031728" w:rsidRPr="000D5771">
              <w:rPr>
                <w:sz w:val="20"/>
                <w:szCs w:val="16"/>
              </w:rPr>
              <w:t> </w:t>
            </w:r>
            <w:r w:rsidR="00B315C7" w:rsidRPr="000D5771">
              <w:rPr>
                <w:sz w:val="20"/>
                <w:szCs w:val="16"/>
              </w:rPr>
              <w:t>600</w:t>
            </w:r>
            <w:r w:rsidR="00E7386F" w:rsidRPr="000D5771">
              <w:rPr>
                <w:sz w:val="20"/>
                <w:szCs w:val="16"/>
              </w:rPr>
              <w:noBreakHyphen/>
            </w:r>
            <w:r w:rsidR="00B315C7" w:rsidRPr="000D5771">
              <w:rPr>
                <w:sz w:val="20"/>
                <w:szCs w:val="16"/>
              </w:rPr>
              <w:t>3</w:t>
            </w:r>
            <w:r w:rsidR="00031728" w:rsidRPr="000D5771">
              <w:rPr>
                <w:sz w:val="20"/>
                <w:szCs w:val="16"/>
              </w:rPr>
              <w:t> </w:t>
            </w:r>
            <w:r w:rsidR="00B315C7" w:rsidRPr="000D5771">
              <w:rPr>
                <w:sz w:val="20"/>
                <w:szCs w:val="16"/>
              </w:rPr>
              <w:t>700</w:t>
            </w:r>
            <w:r w:rsidR="00031728" w:rsidRPr="000D5771">
              <w:rPr>
                <w:sz w:val="20"/>
                <w:szCs w:val="16"/>
              </w:rPr>
              <w:t> </w:t>
            </w:r>
            <w:r w:rsidR="00B315C7" w:rsidRPr="000D5771">
              <w:rPr>
                <w:sz w:val="20"/>
                <w:szCs w:val="16"/>
              </w:rPr>
              <w:t xml:space="preserve">MHz et </w:t>
            </w:r>
            <w:r w:rsidR="00893412" w:rsidRPr="000D5771">
              <w:rPr>
                <w:sz w:val="20"/>
                <w:szCs w:val="16"/>
              </w:rPr>
              <w:t xml:space="preserve">également </w:t>
            </w:r>
            <w:r w:rsidR="00B315C7" w:rsidRPr="000D5771">
              <w:rPr>
                <w:sz w:val="20"/>
                <w:szCs w:val="16"/>
              </w:rPr>
              <w:t>3</w:t>
            </w:r>
            <w:r w:rsidR="00E7386F" w:rsidRPr="000D5771">
              <w:rPr>
                <w:sz w:val="20"/>
                <w:szCs w:val="16"/>
              </w:rPr>
              <w:t xml:space="preserve"> </w:t>
            </w:r>
            <w:r w:rsidR="00B315C7" w:rsidRPr="000D5771">
              <w:rPr>
                <w:sz w:val="20"/>
                <w:szCs w:val="16"/>
              </w:rPr>
              <w:t>600-3</w:t>
            </w:r>
            <w:r w:rsidR="00E7386F" w:rsidRPr="000D5771">
              <w:rPr>
                <w:sz w:val="20"/>
                <w:szCs w:val="16"/>
              </w:rPr>
              <w:t xml:space="preserve"> </w:t>
            </w:r>
            <w:r w:rsidR="00B315C7" w:rsidRPr="000D5771">
              <w:rPr>
                <w:sz w:val="20"/>
                <w:szCs w:val="16"/>
              </w:rPr>
              <w:t>800</w:t>
            </w:r>
            <w:r w:rsidR="00E7386F" w:rsidRPr="000D5771">
              <w:rPr>
                <w:sz w:val="20"/>
                <w:szCs w:val="16"/>
              </w:rPr>
              <w:t xml:space="preserve"> </w:t>
            </w:r>
            <w:r w:rsidR="00B315C7" w:rsidRPr="000D5771">
              <w:rPr>
                <w:sz w:val="20"/>
                <w:szCs w:val="16"/>
              </w:rPr>
              <w:t xml:space="preserve">MHz; </w:t>
            </w:r>
            <w:r w:rsidR="003C197E" w:rsidRPr="000D5771">
              <w:rPr>
                <w:sz w:val="20"/>
                <w:szCs w:val="16"/>
              </w:rPr>
              <w:t>les pays</w:t>
            </w:r>
            <w:r w:rsidR="00893412" w:rsidRPr="000D5771">
              <w:rPr>
                <w:sz w:val="20"/>
                <w:szCs w:val="16"/>
              </w:rPr>
              <w:t xml:space="preserve"> pourront </w:t>
            </w:r>
            <w:r w:rsidR="003C197E" w:rsidRPr="000D5771">
              <w:rPr>
                <w:sz w:val="20"/>
                <w:szCs w:val="16"/>
              </w:rPr>
              <w:t xml:space="preserve">envisager de </w:t>
            </w:r>
            <w:r w:rsidR="00893412" w:rsidRPr="000D5771">
              <w:rPr>
                <w:sz w:val="20"/>
                <w:szCs w:val="16"/>
              </w:rPr>
              <w:t>figurer dans le</w:t>
            </w:r>
            <w:r w:rsidR="003C197E" w:rsidRPr="000D5771">
              <w:rPr>
                <w:sz w:val="20"/>
                <w:szCs w:val="16"/>
              </w:rPr>
              <w:t xml:space="preserve"> renvoi correspondant en fonction de leurs besoins</w:t>
            </w:r>
            <w:r w:rsidR="00B94030" w:rsidRPr="000D5771">
              <w:rPr>
                <w:sz w:val="20"/>
                <w:szCs w:val="16"/>
              </w:rPr>
              <w:t>;</w:t>
            </w:r>
          </w:p>
          <w:p w14:paraId="304CFEB6" w14:textId="0E3AE953" w:rsidR="003C356C" w:rsidRPr="000D5771" w:rsidRDefault="003C356C" w:rsidP="005A21B6">
            <w:pPr>
              <w:pStyle w:val="enumlev2"/>
              <w:tabs>
                <w:tab w:val="clear" w:pos="1134"/>
                <w:tab w:val="clear" w:pos="1871"/>
                <w:tab w:val="left" w:pos="889"/>
              </w:tabs>
              <w:spacing w:before="40"/>
              <w:ind w:left="889" w:hanging="425"/>
              <w:rPr>
                <w:sz w:val="20"/>
                <w:szCs w:val="16"/>
              </w:rPr>
            </w:pPr>
            <w:r w:rsidRPr="000D5771">
              <w:rPr>
                <w:sz w:val="20"/>
                <w:szCs w:val="16"/>
              </w:rPr>
              <w:t>c)</w:t>
            </w:r>
            <w:r w:rsidRPr="000D5771">
              <w:rPr>
                <w:sz w:val="20"/>
                <w:szCs w:val="16"/>
              </w:rPr>
              <w:tab/>
            </w:r>
            <w:r w:rsidR="00BF10A8" w:rsidRPr="000D5771">
              <w:rPr>
                <w:sz w:val="20"/>
                <w:szCs w:val="16"/>
              </w:rPr>
              <w:t>c</w:t>
            </w:r>
            <w:r w:rsidR="004244F2" w:rsidRPr="000D5771">
              <w:rPr>
                <w:sz w:val="20"/>
                <w:szCs w:val="16"/>
              </w:rPr>
              <w:t>onditions techniques pour les IMT conformes à celles actuellement applicables à la bande de fréquences 3</w:t>
            </w:r>
            <w:r w:rsidR="002A24B6" w:rsidRPr="000D5771">
              <w:rPr>
                <w:sz w:val="20"/>
                <w:szCs w:val="16"/>
              </w:rPr>
              <w:t> </w:t>
            </w:r>
            <w:r w:rsidR="004244F2" w:rsidRPr="000D5771">
              <w:rPr>
                <w:sz w:val="20"/>
                <w:szCs w:val="16"/>
              </w:rPr>
              <w:t>400</w:t>
            </w:r>
            <w:r w:rsidR="002A24B6" w:rsidRPr="000D5771">
              <w:rPr>
                <w:sz w:val="20"/>
                <w:szCs w:val="16"/>
              </w:rPr>
              <w:noBreakHyphen/>
            </w:r>
            <w:r w:rsidR="004244F2" w:rsidRPr="000D5771">
              <w:rPr>
                <w:sz w:val="20"/>
                <w:szCs w:val="16"/>
              </w:rPr>
              <w:t>3</w:t>
            </w:r>
            <w:r w:rsidR="002A24B6" w:rsidRPr="000D5771">
              <w:rPr>
                <w:sz w:val="20"/>
                <w:szCs w:val="16"/>
              </w:rPr>
              <w:t> </w:t>
            </w:r>
            <w:r w:rsidR="004244F2" w:rsidRPr="000D5771">
              <w:rPr>
                <w:sz w:val="20"/>
                <w:szCs w:val="16"/>
              </w:rPr>
              <w:t>600</w:t>
            </w:r>
            <w:r w:rsidR="002A24B6" w:rsidRPr="000D5771">
              <w:rPr>
                <w:sz w:val="20"/>
                <w:szCs w:val="16"/>
              </w:rPr>
              <w:t> </w:t>
            </w:r>
            <w:r w:rsidR="004244F2" w:rsidRPr="000D5771">
              <w:rPr>
                <w:sz w:val="20"/>
                <w:szCs w:val="16"/>
              </w:rPr>
              <w:t>MHz (c'est</w:t>
            </w:r>
            <w:r w:rsidR="00E7386F" w:rsidRPr="000D5771">
              <w:rPr>
                <w:sz w:val="20"/>
                <w:szCs w:val="16"/>
              </w:rPr>
              <w:noBreakHyphen/>
            </w:r>
            <w:r w:rsidR="004244F2" w:rsidRPr="000D5771">
              <w:rPr>
                <w:sz w:val="20"/>
                <w:szCs w:val="16"/>
              </w:rPr>
              <w:t>à</w:t>
            </w:r>
            <w:r w:rsidR="00E7386F" w:rsidRPr="000D5771">
              <w:rPr>
                <w:sz w:val="20"/>
                <w:szCs w:val="16"/>
              </w:rPr>
              <w:noBreakHyphen/>
            </w:r>
            <w:r w:rsidR="004244F2" w:rsidRPr="000D5771">
              <w:rPr>
                <w:sz w:val="20"/>
                <w:szCs w:val="16"/>
              </w:rPr>
              <w:t xml:space="preserve">dire celles du renvoi </w:t>
            </w:r>
            <w:r w:rsidR="004244F2" w:rsidRPr="000D5771">
              <w:rPr>
                <w:b/>
                <w:bCs/>
                <w:sz w:val="20"/>
                <w:szCs w:val="16"/>
              </w:rPr>
              <w:t>5.430A</w:t>
            </w:r>
            <w:r w:rsidR="004244F2" w:rsidRPr="000D5771">
              <w:rPr>
                <w:sz w:val="20"/>
                <w:szCs w:val="16"/>
              </w:rPr>
              <w:t xml:space="preserve"> du RR)</w:t>
            </w:r>
            <w:r w:rsidR="00B94030" w:rsidRPr="000D5771">
              <w:rPr>
                <w:sz w:val="20"/>
                <w:szCs w:val="16"/>
              </w:rPr>
              <w:t>;</w:t>
            </w:r>
          </w:p>
          <w:p w14:paraId="77C245DD" w14:textId="2DD3604E" w:rsidR="003C356C" w:rsidRPr="000D5771" w:rsidRDefault="003C356C" w:rsidP="005A21B6">
            <w:pPr>
              <w:pStyle w:val="enumlev2"/>
              <w:tabs>
                <w:tab w:val="clear" w:pos="1134"/>
                <w:tab w:val="clear" w:pos="1871"/>
                <w:tab w:val="left" w:pos="889"/>
              </w:tabs>
              <w:spacing w:before="40"/>
              <w:ind w:left="889" w:hanging="425"/>
              <w:rPr>
                <w:sz w:val="20"/>
                <w:szCs w:val="16"/>
              </w:rPr>
            </w:pPr>
            <w:r w:rsidRPr="000D5771">
              <w:rPr>
                <w:sz w:val="20"/>
                <w:szCs w:val="16"/>
              </w:rPr>
              <w:t>d)</w:t>
            </w:r>
            <w:r w:rsidRPr="000D5771">
              <w:rPr>
                <w:sz w:val="20"/>
                <w:szCs w:val="16"/>
              </w:rPr>
              <w:tab/>
            </w:r>
            <w:r w:rsidR="00BF10A8" w:rsidRPr="000D5771">
              <w:rPr>
                <w:sz w:val="20"/>
                <w:szCs w:val="16"/>
              </w:rPr>
              <w:t>l</w:t>
            </w:r>
            <w:r w:rsidR="004244F2" w:rsidRPr="000D5771">
              <w:rPr>
                <w:sz w:val="20"/>
                <w:szCs w:val="16"/>
              </w:rPr>
              <w:t xml:space="preserve">a mise en œuvre de l'Accord de coordination </w:t>
            </w:r>
            <w:r w:rsidR="00893412" w:rsidRPr="000D5771">
              <w:rPr>
                <w:sz w:val="20"/>
                <w:szCs w:val="16"/>
              </w:rPr>
              <w:t xml:space="preserve">pourra </w:t>
            </w:r>
            <w:r w:rsidR="004244F2" w:rsidRPr="000D5771">
              <w:rPr>
                <w:sz w:val="20"/>
                <w:szCs w:val="16"/>
              </w:rPr>
              <w:t>être entreprise dans le cadre de l'Accord sur la méthode de calcul harmonisée pour l'Afrique (HCM4A), signé par la majorité des administrations africaines.</w:t>
            </w:r>
          </w:p>
          <w:p w14:paraId="3793AFE4" w14:textId="3FAE2545" w:rsidR="003C356C" w:rsidRPr="000D5771" w:rsidRDefault="003C356C" w:rsidP="005A21B6">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00615D20" w:rsidRPr="000D5771">
              <w:rPr>
                <w:b/>
                <w:sz w:val="20"/>
                <w:szCs w:val="16"/>
              </w:rPr>
              <w:t>Assurer</w:t>
            </w:r>
            <w:r w:rsidR="00615D20" w:rsidRPr="000D5771">
              <w:rPr>
                <w:sz w:val="20"/>
                <w:szCs w:val="16"/>
              </w:rPr>
              <w:t xml:space="preserve"> la protection des services par satellite existants fonctionnant dans la bande</w:t>
            </w:r>
            <w:r w:rsidR="002A24B6" w:rsidRPr="000D5771">
              <w:rPr>
                <w:sz w:val="20"/>
                <w:szCs w:val="16"/>
              </w:rPr>
              <w:t xml:space="preserve"> </w:t>
            </w:r>
            <w:r w:rsidR="00615D20" w:rsidRPr="000D5771">
              <w:rPr>
                <w:sz w:val="20"/>
                <w:szCs w:val="16"/>
              </w:rPr>
              <w:t>C, tels que les services radioaéronautiques, par le mécanisme suivant</w:t>
            </w:r>
            <w:r w:rsidR="00B94030" w:rsidRPr="000D5771">
              <w:rPr>
                <w:sz w:val="20"/>
                <w:szCs w:val="16"/>
              </w:rPr>
              <w:t>:</w:t>
            </w:r>
          </w:p>
          <w:p w14:paraId="61EFE216" w14:textId="387885A8" w:rsidR="003C356C" w:rsidRPr="000D5771" w:rsidRDefault="003C356C" w:rsidP="005A21B6">
            <w:pPr>
              <w:pStyle w:val="enumlev2"/>
              <w:tabs>
                <w:tab w:val="clear" w:pos="1134"/>
                <w:tab w:val="clear" w:pos="1871"/>
                <w:tab w:val="left" w:pos="889"/>
              </w:tabs>
              <w:spacing w:before="40"/>
              <w:ind w:left="889" w:hanging="425"/>
              <w:rPr>
                <w:sz w:val="20"/>
                <w:szCs w:val="16"/>
              </w:rPr>
            </w:pPr>
            <w:r w:rsidRPr="000D5771">
              <w:rPr>
                <w:sz w:val="20"/>
                <w:szCs w:val="16"/>
              </w:rPr>
              <w:t>a)</w:t>
            </w:r>
            <w:r w:rsidRPr="000D5771">
              <w:rPr>
                <w:sz w:val="20"/>
                <w:szCs w:val="16"/>
              </w:rPr>
              <w:tab/>
            </w:r>
            <w:r w:rsidR="00BF10A8" w:rsidRPr="000D5771">
              <w:rPr>
                <w:sz w:val="20"/>
                <w:szCs w:val="16"/>
              </w:rPr>
              <w:t>c</w:t>
            </w:r>
            <w:r w:rsidR="00615D20" w:rsidRPr="000D5771">
              <w:rPr>
                <w:sz w:val="20"/>
                <w:szCs w:val="16"/>
              </w:rPr>
              <w:t xml:space="preserve">réer un Groupe d'action de l'UAT ayant pour </w:t>
            </w:r>
            <w:r w:rsidR="004244F2" w:rsidRPr="000D5771">
              <w:rPr>
                <w:sz w:val="20"/>
                <w:szCs w:val="16"/>
              </w:rPr>
              <w:t>mission</w:t>
            </w:r>
            <w:r w:rsidR="00615D20" w:rsidRPr="000D5771">
              <w:rPr>
                <w:sz w:val="20"/>
                <w:szCs w:val="16"/>
              </w:rPr>
              <w:t xml:space="preserve"> d'élaborer une stratégie de mise en œuvre comprenant des propositions sur un éventuel mécanisme de transfert, par exemple des délais de transfert et une forme de compensation</w:t>
            </w:r>
            <w:r w:rsidR="00893412" w:rsidRPr="000D5771">
              <w:rPr>
                <w:sz w:val="20"/>
                <w:szCs w:val="16"/>
              </w:rPr>
              <w:t xml:space="preserve">, </w:t>
            </w:r>
            <w:r w:rsidR="00615D20" w:rsidRPr="000D5771">
              <w:rPr>
                <w:sz w:val="20"/>
                <w:szCs w:val="16"/>
              </w:rPr>
              <w:t>au lieu du transfert hors bande que les administrations pourraient envisager.</w:t>
            </w:r>
            <w:r w:rsidR="00615D20" w:rsidRPr="000D5771">
              <w:rPr>
                <w:rFonts w:ascii="Segoe UI" w:hAnsi="Segoe UI" w:cs="Segoe UI"/>
                <w:color w:val="000000"/>
                <w:sz w:val="20"/>
                <w:szCs w:val="16"/>
                <w:shd w:val="clear" w:color="auto" w:fill="FFFFFF"/>
              </w:rPr>
              <w:t xml:space="preserve"> </w:t>
            </w:r>
            <w:r w:rsidR="00615D20" w:rsidRPr="000D5771">
              <w:rPr>
                <w:sz w:val="20"/>
                <w:szCs w:val="16"/>
              </w:rPr>
              <w:t xml:space="preserve">Ces mécanismes de compensation pourraient inclure des dispositions prévoyant qu'une partie du fonds provenant de l'attribution aux IMT </w:t>
            </w:r>
            <w:r w:rsidR="00893412" w:rsidRPr="000D5771">
              <w:rPr>
                <w:sz w:val="20"/>
                <w:szCs w:val="16"/>
              </w:rPr>
              <w:t>de fréquences</w:t>
            </w:r>
            <w:r w:rsidR="00615D20" w:rsidRPr="000D5771">
              <w:rPr>
                <w:sz w:val="20"/>
                <w:szCs w:val="16"/>
              </w:rPr>
              <w:t xml:space="preserve"> dans la bande de fréquences 3</w:t>
            </w:r>
            <w:r w:rsidR="002A24B6" w:rsidRPr="000D5771">
              <w:rPr>
                <w:sz w:val="20"/>
                <w:szCs w:val="16"/>
              </w:rPr>
              <w:t xml:space="preserve"> </w:t>
            </w:r>
            <w:r w:rsidR="00615D20" w:rsidRPr="000D5771">
              <w:rPr>
                <w:sz w:val="20"/>
                <w:szCs w:val="16"/>
              </w:rPr>
              <w:t>600</w:t>
            </w:r>
            <w:r w:rsidR="002A24B6" w:rsidRPr="000D5771">
              <w:rPr>
                <w:sz w:val="20"/>
                <w:szCs w:val="16"/>
              </w:rPr>
              <w:noBreakHyphen/>
            </w:r>
            <w:r w:rsidR="00615D20" w:rsidRPr="000D5771">
              <w:rPr>
                <w:sz w:val="20"/>
                <w:szCs w:val="16"/>
              </w:rPr>
              <w:t>3</w:t>
            </w:r>
            <w:r w:rsidR="002A24B6" w:rsidRPr="000D5771">
              <w:rPr>
                <w:sz w:val="20"/>
                <w:szCs w:val="16"/>
              </w:rPr>
              <w:t xml:space="preserve"> </w:t>
            </w:r>
            <w:r w:rsidR="00615D20" w:rsidRPr="000D5771">
              <w:rPr>
                <w:sz w:val="20"/>
                <w:szCs w:val="16"/>
              </w:rPr>
              <w:t>800 MHz soit affectée au remplacement de l'infrastructure «obsolète» existante dans les nouvelles bandes de fréquences supérieures à 3</w:t>
            </w:r>
            <w:r w:rsidR="002A24B6" w:rsidRPr="000D5771">
              <w:rPr>
                <w:sz w:val="20"/>
                <w:szCs w:val="16"/>
              </w:rPr>
              <w:t xml:space="preserve"> </w:t>
            </w:r>
            <w:r w:rsidR="00615D20" w:rsidRPr="000D5771">
              <w:rPr>
                <w:sz w:val="20"/>
                <w:szCs w:val="16"/>
              </w:rPr>
              <w:t>800 MHz</w:t>
            </w:r>
            <w:r w:rsidR="00A140A5" w:rsidRPr="000D5771">
              <w:rPr>
                <w:sz w:val="20"/>
                <w:szCs w:val="16"/>
              </w:rPr>
              <w:t>;</w:t>
            </w:r>
          </w:p>
          <w:p w14:paraId="3100E023" w14:textId="2E738E08" w:rsidR="003C356C" w:rsidRPr="000D5771" w:rsidRDefault="003C356C" w:rsidP="005A21B6">
            <w:pPr>
              <w:pStyle w:val="enumlev2"/>
              <w:tabs>
                <w:tab w:val="clear" w:pos="1134"/>
                <w:tab w:val="clear" w:pos="1871"/>
                <w:tab w:val="left" w:pos="889"/>
              </w:tabs>
              <w:spacing w:before="40"/>
              <w:ind w:left="889" w:hanging="425"/>
              <w:rPr>
                <w:sz w:val="20"/>
                <w:szCs w:val="16"/>
              </w:rPr>
            </w:pPr>
            <w:r w:rsidRPr="000D5771">
              <w:rPr>
                <w:sz w:val="20"/>
                <w:szCs w:val="16"/>
              </w:rPr>
              <w:t>b)</w:t>
            </w:r>
            <w:r w:rsidRPr="000D5771">
              <w:rPr>
                <w:sz w:val="20"/>
                <w:szCs w:val="16"/>
              </w:rPr>
              <w:tab/>
            </w:r>
            <w:r w:rsidR="00BF10A8" w:rsidRPr="000D5771">
              <w:rPr>
                <w:sz w:val="20"/>
                <w:szCs w:val="16"/>
              </w:rPr>
              <w:t>e</w:t>
            </w:r>
            <w:r w:rsidR="00615D20" w:rsidRPr="000D5771">
              <w:rPr>
                <w:sz w:val="20"/>
                <w:szCs w:val="16"/>
              </w:rPr>
              <w:t>n outre, le Groupe d'action déterminerait et proposerait une période de transition</w:t>
            </w:r>
            <w:r w:rsidR="00893412" w:rsidRPr="000D5771">
              <w:rPr>
                <w:sz w:val="20"/>
                <w:szCs w:val="16"/>
              </w:rPr>
              <w:t xml:space="preserve">, </w:t>
            </w:r>
            <w:r w:rsidR="00615D20" w:rsidRPr="000D5771">
              <w:rPr>
                <w:sz w:val="20"/>
                <w:szCs w:val="16"/>
              </w:rPr>
              <w:t xml:space="preserve">pour examen par les administrations, pendant laquelle les services IMT ne </w:t>
            </w:r>
            <w:r w:rsidR="00893412" w:rsidRPr="000D5771">
              <w:rPr>
                <w:sz w:val="20"/>
                <w:szCs w:val="16"/>
              </w:rPr>
              <w:t xml:space="preserve">devront </w:t>
            </w:r>
            <w:r w:rsidR="00615D20" w:rsidRPr="000D5771">
              <w:rPr>
                <w:sz w:val="20"/>
                <w:szCs w:val="16"/>
              </w:rPr>
              <w:t>pas être déployés à des distances définies des installations aéronautiques (zones d'exclusion)</w:t>
            </w:r>
            <w:r w:rsidR="00893412" w:rsidRPr="000D5771">
              <w:rPr>
                <w:sz w:val="20"/>
                <w:szCs w:val="16"/>
              </w:rPr>
              <w:t xml:space="preserve">, </w:t>
            </w:r>
            <w:r w:rsidR="00615D20" w:rsidRPr="000D5771">
              <w:rPr>
                <w:sz w:val="20"/>
                <w:szCs w:val="16"/>
              </w:rPr>
              <w:t xml:space="preserve">afin de protéger les services existants qui assurent des communications relatives </w:t>
            </w:r>
            <w:r w:rsidR="00F30CDD" w:rsidRPr="000D5771">
              <w:rPr>
                <w:sz w:val="20"/>
                <w:szCs w:val="16"/>
              </w:rPr>
              <w:t>à la sécurité de la vie humaine</w:t>
            </w:r>
            <w:r w:rsidR="00B94030" w:rsidRPr="000D5771">
              <w:rPr>
                <w:sz w:val="20"/>
                <w:szCs w:val="16"/>
              </w:rPr>
              <w:t>.</w:t>
            </w:r>
          </w:p>
          <w:p w14:paraId="3B6220A2" w14:textId="1CEF3C3C" w:rsidR="003C356C" w:rsidRPr="000D5771" w:rsidRDefault="003C356C" w:rsidP="005A21B6">
            <w:pPr>
              <w:pStyle w:val="TableText0"/>
              <w:spacing w:before="120"/>
              <w:rPr>
                <w:i/>
                <w:iCs/>
                <w:sz w:val="20"/>
                <w:szCs w:val="20"/>
                <w:u w:val="single"/>
                <w:lang w:val="fr-FR"/>
              </w:rPr>
            </w:pPr>
            <w:r w:rsidRPr="000D5771">
              <w:rPr>
                <w:i/>
                <w:iCs/>
                <w:sz w:val="20"/>
                <w:szCs w:val="20"/>
                <w:u w:val="single"/>
                <w:lang w:val="fr-FR"/>
              </w:rPr>
              <w:t>Partie 2:</w:t>
            </w:r>
            <w:r w:rsidR="00615D20" w:rsidRPr="000D5771">
              <w:rPr>
                <w:i/>
                <w:iCs/>
                <w:sz w:val="20"/>
                <w:szCs w:val="20"/>
                <w:u w:val="single"/>
                <w:lang w:val="fr-FR"/>
              </w:rPr>
              <w:t xml:space="preserve"> Marche à suivre</w:t>
            </w:r>
          </w:p>
          <w:p w14:paraId="03D1CAA0" w14:textId="45AAF96D" w:rsidR="003C356C" w:rsidRPr="000D5771" w:rsidRDefault="00615D20" w:rsidP="005A21B6">
            <w:pPr>
              <w:pStyle w:val="TableText0"/>
              <w:spacing w:before="120"/>
              <w:rPr>
                <w:b/>
                <w:i/>
                <w:sz w:val="20"/>
                <w:szCs w:val="20"/>
                <w:lang w:val="fr-FR"/>
              </w:rPr>
            </w:pPr>
            <w:r w:rsidRPr="000D5771">
              <w:rPr>
                <w:b/>
                <w:i/>
                <w:sz w:val="20"/>
                <w:szCs w:val="20"/>
                <w:lang w:val="fr-FR"/>
              </w:rPr>
              <w:t xml:space="preserve">Demander aux administrations des </w:t>
            </w:r>
            <w:r w:rsidR="00893412" w:rsidRPr="000D5771">
              <w:rPr>
                <w:b/>
                <w:i/>
                <w:sz w:val="20"/>
                <w:szCs w:val="20"/>
                <w:lang w:val="fr-FR"/>
              </w:rPr>
              <w:t>pays membres de l'UAT</w:t>
            </w:r>
            <w:r w:rsidRPr="000D5771">
              <w:rPr>
                <w:b/>
                <w:bCs/>
                <w:sz w:val="20"/>
                <w:szCs w:val="20"/>
                <w:lang w:val="fr-FR"/>
              </w:rPr>
              <w:t>:</w:t>
            </w:r>
          </w:p>
          <w:p w14:paraId="5D027A7F" w14:textId="22E130C6" w:rsidR="00615D20" w:rsidRPr="000D5771" w:rsidRDefault="00BF10A8" w:rsidP="006316B9">
            <w:pPr>
              <w:pStyle w:val="TableText0"/>
              <w:rPr>
                <w:sz w:val="20"/>
                <w:szCs w:val="20"/>
                <w:lang w:val="fr-FR"/>
              </w:rPr>
            </w:pPr>
            <w:r w:rsidRPr="000D5771">
              <w:rPr>
                <w:sz w:val="20"/>
                <w:szCs w:val="20"/>
                <w:lang w:val="fr-FR"/>
              </w:rPr>
              <w:t>d</w:t>
            </w:r>
            <w:r w:rsidR="00615D20" w:rsidRPr="000D5771">
              <w:rPr>
                <w:sz w:val="20"/>
                <w:szCs w:val="20"/>
                <w:lang w:val="fr-FR"/>
              </w:rPr>
              <w:t>'</w:t>
            </w:r>
            <w:r w:rsidR="00615D20" w:rsidRPr="000D5771">
              <w:rPr>
                <w:b/>
                <w:sz w:val="20"/>
                <w:szCs w:val="20"/>
                <w:lang w:val="fr-FR"/>
              </w:rPr>
              <w:t>appuyer</w:t>
            </w:r>
            <w:r w:rsidR="00615D20" w:rsidRPr="000D5771">
              <w:rPr>
                <w:sz w:val="20"/>
                <w:szCs w:val="20"/>
                <w:lang w:val="fr-FR"/>
              </w:rPr>
              <w:t xml:space="preserve"> la proposition africaine commune au titre de ce point de l'ordre du jour.</w:t>
            </w:r>
          </w:p>
        </w:tc>
      </w:tr>
      <w:tr w:rsidR="00613B30" w:rsidRPr="000D5771" w14:paraId="766FD6DB" w14:textId="77777777" w:rsidTr="00913168">
        <w:tc>
          <w:tcPr>
            <w:tcW w:w="2972" w:type="dxa"/>
            <w:tcBorders>
              <w:top w:val="single" w:sz="6" w:space="0" w:color="auto"/>
              <w:left w:val="single" w:sz="4" w:space="0" w:color="auto"/>
              <w:bottom w:val="single" w:sz="6" w:space="0" w:color="auto"/>
            </w:tcBorders>
          </w:tcPr>
          <w:p w14:paraId="74C3AFB9" w14:textId="3FE49209" w:rsidR="00613B30" w:rsidRPr="000D5771" w:rsidRDefault="00613B30" w:rsidP="00031728">
            <w:pPr>
              <w:pStyle w:val="TableText0"/>
              <w:keepNext/>
              <w:keepLines/>
              <w:spacing w:before="120"/>
              <w:rPr>
                <w:rFonts w:eastAsia="Calibri"/>
                <w:b/>
                <w:iCs/>
                <w:sz w:val="20"/>
                <w:szCs w:val="20"/>
                <w:lang w:val="fr-FR"/>
              </w:rPr>
            </w:pPr>
            <w:bookmarkStart w:id="8" w:name="lt_pId072"/>
            <w:r w:rsidRPr="000D5771">
              <w:rPr>
                <w:rFonts w:eastAsia="Calibri"/>
                <w:b/>
                <w:iCs/>
                <w:sz w:val="20"/>
                <w:szCs w:val="20"/>
                <w:lang w:val="fr-FR"/>
              </w:rPr>
              <w:lastRenderedPageBreak/>
              <w:t>1.4</w:t>
            </w:r>
            <w:bookmarkEnd w:id="8"/>
          </w:p>
          <w:p w14:paraId="1624A1F9" w14:textId="337277F1" w:rsidR="003C356C" w:rsidRPr="000D5771" w:rsidRDefault="00615D20" w:rsidP="00031728">
            <w:pPr>
              <w:pStyle w:val="TableText0"/>
              <w:keepNext/>
              <w:keepLines/>
              <w:spacing w:before="120"/>
              <w:rPr>
                <w:iCs/>
                <w:sz w:val="20"/>
                <w:szCs w:val="20"/>
                <w:lang w:val="fr-FR"/>
              </w:rPr>
            </w:pPr>
            <w:r w:rsidRPr="000D5771">
              <w:rPr>
                <w:bCs/>
                <w:iCs/>
                <w:sz w:val="20"/>
                <w:szCs w:val="20"/>
                <w:lang w:val="fr-FR"/>
              </w:rPr>
              <w:t>E</w:t>
            </w:r>
            <w:r w:rsidR="003C356C" w:rsidRPr="000D5771">
              <w:rPr>
                <w:bCs/>
                <w:iCs/>
                <w:sz w:val="20"/>
                <w:szCs w:val="20"/>
                <w:lang w:val="fr-FR"/>
              </w:rPr>
              <w:t>xaminer, conformément à la Résolution</w:t>
            </w:r>
            <w:r w:rsidR="00805B09" w:rsidRPr="000D5771">
              <w:rPr>
                <w:bCs/>
                <w:iCs/>
                <w:sz w:val="20"/>
                <w:szCs w:val="20"/>
                <w:lang w:val="fr-FR"/>
              </w:rPr>
              <w:t> </w:t>
            </w:r>
            <w:r w:rsidR="003C356C" w:rsidRPr="000D5771">
              <w:rPr>
                <w:b/>
                <w:iCs/>
                <w:sz w:val="20"/>
                <w:szCs w:val="20"/>
                <w:lang w:val="fr-FR"/>
              </w:rPr>
              <w:t>247 (CMR-19)</w:t>
            </w:r>
            <w:r w:rsidR="003C356C" w:rsidRPr="000D5771">
              <w:rPr>
                <w:bCs/>
                <w:iCs/>
                <w:sz w:val="20"/>
                <w:szCs w:val="20"/>
                <w:lang w:val="fr-FR"/>
              </w:rPr>
              <w:t>, l'utilisation de stations placées sur des plates</w:t>
            </w:r>
            <w:r w:rsidR="00805B09" w:rsidRPr="000D5771">
              <w:rPr>
                <w:bCs/>
                <w:iCs/>
                <w:sz w:val="20"/>
                <w:szCs w:val="20"/>
                <w:lang w:val="fr-FR"/>
              </w:rPr>
              <w:noBreakHyphen/>
            </w:r>
            <w:r w:rsidR="003C356C" w:rsidRPr="000D5771">
              <w:rPr>
                <w:bCs/>
                <w:iCs/>
                <w:sz w:val="20"/>
                <w:szCs w:val="20"/>
                <w:lang w:val="fr-FR"/>
              </w:rPr>
              <w:t>formes à haute altitude en tant que stations de base IMT (</w:t>
            </w:r>
            <w:r w:rsidR="003C356C" w:rsidRPr="000D5771">
              <w:rPr>
                <w:b/>
                <w:iCs/>
                <w:sz w:val="20"/>
                <w:szCs w:val="20"/>
                <w:lang w:val="fr-FR"/>
              </w:rPr>
              <w:t>HIBS</w:t>
            </w:r>
            <w:r w:rsidR="003C356C" w:rsidRPr="000D5771">
              <w:rPr>
                <w:bCs/>
                <w:iCs/>
                <w:sz w:val="20"/>
                <w:szCs w:val="20"/>
                <w:lang w:val="fr-FR"/>
              </w:rPr>
              <w:t>) dans le service mobile dans certaines bandes au</w:t>
            </w:r>
            <w:r w:rsidR="002A24B6" w:rsidRPr="000D5771">
              <w:rPr>
                <w:bCs/>
                <w:iCs/>
                <w:sz w:val="20"/>
                <w:szCs w:val="20"/>
                <w:lang w:val="fr-FR"/>
              </w:rPr>
              <w:noBreakHyphen/>
            </w:r>
            <w:r w:rsidR="003C356C" w:rsidRPr="000D5771">
              <w:rPr>
                <w:bCs/>
                <w:iCs/>
                <w:sz w:val="20"/>
                <w:szCs w:val="20"/>
                <w:lang w:val="fr-FR"/>
              </w:rPr>
              <w:t>dessous de 2,7 GHz qui sont déjà identifiées pour les IMT, à l'échelle mondiale ou régionale</w:t>
            </w:r>
            <w:r w:rsidRPr="000D5771">
              <w:rPr>
                <w:bCs/>
                <w:iCs/>
                <w:sz w:val="20"/>
                <w:szCs w:val="20"/>
                <w:lang w:val="fr-FR"/>
              </w:rPr>
              <w:t>.</w:t>
            </w:r>
          </w:p>
        </w:tc>
        <w:tc>
          <w:tcPr>
            <w:tcW w:w="7174" w:type="dxa"/>
            <w:tcBorders>
              <w:top w:val="single" w:sz="4" w:space="0" w:color="auto"/>
              <w:bottom w:val="single" w:sz="6" w:space="0" w:color="auto"/>
              <w:right w:val="single" w:sz="4" w:space="0" w:color="auto"/>
            </w:tcBorders>
          </w:tcPr>
          <w:p w14:paraId="740737E0" w14:textId="20E68BF6" w:rsidR="00613B30" w:rsidRPr="000D5771" w:rsidRDefault="003C356C" w:rsidP="005A21B6">
            <w:pPr>
              <w:pStyle w:val="TableText0"/>
              <w:spacing w:before="120"/>
              <w:rPr>
                <w:i/>
                <w:iCs/>
                <w:sz w:val="20"/>
                <w:szCs w:val="20"/>
                <w:u w:val="single"/>
                <w:lang w:val="fr-FR"/>
              </w:rPr>
            </w:pPr>
            <w:r w:rsidRPr="000D5771">
              <w:rPr>
                <w:i/>
                <w:iCs/>
                <w:sz w:val="20"/>
                <w:szCs w:val="20"/>
                <w:u w:val="single"/>
                <w:lang w:val="fr-FR"/>
              </w:rPr>
              <w:t>Partie</w:t>
            </w:r>
            <w:r w:rsidR="00996A3B" w:rsidRPr="000D5771">
              <w:rPr>
                <w:i/>
                <w:iCs/>
                <w:sz w:val="20"/>
                <w:szCs w:val="20"/>
                <w:u w:val="single"/>
                <w:lang w:val="fr-FR"/>
              </w:rPr>
              <w:t xml:space="preserve"> </w:t>
            </w:r>
            <w:r w:rsidR="00B94030" w:rsidRPr="000D5771">
              <w:rPr>
                <w:i/>
                <w:iCs/>
                <w:sz w:val="20"/>
                <w:szCs w:val="20"/>
                <w:u w:val="single"/>
                <w:lang w:val="fr-FR"/>
              </w:rPr>
              <w:t>1</w:t>
            </w:r>
            <w:r w:rsidRPr="000D5771">
              <w:rPr>
                <w:i/>
                <w:iCs/>
                <w:sz w:val="20"/>
                <w:szCs w:val="20"/>
                <w:u w:val="single"/>
                <w:lang w:val="fr-FR"/>
              </w:rPr>
              <w:t>:</w:t>
            </w:r>
            <w:r w:rsidR="00615D20" w:rsidRPr="000D5771">
              <w:rPr>
                <w:i/>
                <w:iCs/>
                <w:sz w:val="20"/>
                <w:szCs w:val="20"/>
                <w:u w:val="single"/>
                <w:lang w:val="fr-FR"/>
              </w:rPr>
              <w:t xml:space="preserve"> Position commune</w:t>
            </w:r>
          </w:p>
          <w:p w14:paraId="577A824F" w14:textId="41C31D63" w:rsidR="003C356C" w:rsidRPr="000D5771" w:rsidRDefault="00615D20" w:rsidP="005A21B6">
            <w:pPr>
              <w:pStyle w:val="TableText0"/>
              <w:spacing w:before="120"/>
              <w:rPr>
                <w:sz w:val="20"/>
                <w:szCs w:val="20"/>
                <w:lang w:val="fr-FR"/>
              </w:rPr>
            </w:pPr>
            <w:r w:rsidRPr="000D5771">
              <w:rPr>
                <w:b/>
                <w:sz w:val="20"/>
                <w:szCs w:val="20"/>
                <w:lang w:val="fr-FR"/>
              </w:rPr>
              <w:t>Appuyer les Méthodes A3, B3, C3 et D3</w:t>
            </w:r>
            <w:r w:rsidR="004C5CEE" w:rsidRPr="000D5771">
              <w:rPr>
                <w:sz w:val="20"/>
                <w:szCs w:val="20"/>
                <w:lang w:val="fr-FR"/>
              </w:rPr>
              <w:t xml:space="preserve">, qui visent à identifier les bandes de fréquences suivantes </w:t>
            </w:r>
            <w:r w:rsidR="00893412" w:rsidRPr="000D5771">
              <w:rPr>
                <w:sz w:val="20"/>
                <w:szCs w:val="20"/>
                <w:lang w:val="fr-FR"/>
              </w:rPr>
              <w:t>en vue de leur utilisation</w:t>
            </w:r>
            <w:r w:rsidR="004C5CEE" w:rsidRPr="000D5771">
              <w:rPr>
                <w:sz w:val="20"/>
                <w:szCs w:val="20"/>
                <w:lang w:val="fr-FR"/>
              </w:rPr>
              <w:t xml:space="preserve"> par les stations placées sur des plates</w:t>
            </w:r>
            <w:r w:rsidR="00EF217A" w:rsidRPr="000D5771">
              <w:rPr>
                <w:sz w:val="20"/>
                <w:szCs w:val="20"/>
                <w:lang w:val="fr-FR"/>
              </w:rPr>
              <w:noBreakHyphen/>
            </w:r>
            <w:r w:rsidR="004C5CEE" w:rsidRPr="000D5771">
              <w:rPr>
                <w:sz w:val="20"/>
                <w:szCs w:val="20"/>
                <w:lang w:val="fr-FR"/>
              </w:rPr>
              <w:t>formes à haute altitude en tant que stations de base des Télécommunications mobiles internationales (IMT) (HIBS)</w:t>
            </w:r>
            <w:r w:rsidRPr="000D5771">
              <w:rPr>
                <w:sz w:val="20"/>
                <w:szCs w:val="20"/>
                <w:lang w:val="fr-FR"/>
              </w:rPr>
              <w:t xml:space="preserve"> </w:t>
            </w:r>
            <w:r w:rsidR="004C5CEE" w:rsidRPr="000D5771">
              <w:rPr>
                <w:sz w:val="20"/>
                <w:szCs w:val="20"/>
                <w:lang w:val="fr-FR"/>
              </w:rPr>
              <w:t>dans les conditions suivantes:</w:t>
            </w:r>
          </w:p>
          <w:p w14:paraId="3EAB078D" w14:textId="464BEA10" w:rsidR="003C356C" w:rsidRPr="000D5771" w:rsidRDefault="003C356C" w:rsidP="005A21B6">
            <w:pPr>
              <w:pStyle w:val="TableText0"/>
              <w:rPr>
                <w:sz w:val="20"/>
                <w:szCs w:val="20"/>
                <w:lang w:val="fr-FR"/>
              </w:rPr>
            </w:pPr>
            <w:r w:rsidRPr="000D5771">
              <w:rPr>
                <w:rFonts w:eastAsia="Calibri"/>
                <w:b/>
                <w:sz w:val="20"/>
                <w:szCs w:val="20"/>
                <w:lang w:val="fr-FR"/>
              </w:rPr>
              <w:t>Bande de fréquences 694</w:t>
            </w:r>
            <w:r w:rsidRPr="000D5771">
              <w:rPr>
                <w:rFonts w:eastAsia="Calibri"/>
                <w:b/>
                <w:sz w:val="20"/>
                <w:szCs w:val="20"/>
                <w:lang w:val="fr-FR"/>
              </w:rPr>
              <w:noBreakHyphen/>
              <w:t>960</w:t>
            </w:r>
            <w:r w:rsidR="002A24B6" w:rsidRPr="000D5771">
              <w:rPr>
                <w:rFonts w:eastAsia="Calibri"/>
                <w:b/>
                <w:sz w:val="20"/>
                <w:szCs w:val="20"/>
                <w:lang w:val="fr-FR"/>
              </w:rPr>
              <w:t xml:space="preserve"> </w:t>
            </w:r>
            <w:r w:rsidRPr="000D5771">
              <w:rPr>
                <w:rFonts w:eastAsia="Calibri"/>
                <w:b/>
                <w:sz w:val="20"/>
                <w:szCs w:val="20"/>
                <w:lang w:val="fr-FR"/>
              </w:rPr>
              <w:t>MHz</w:t>
            </w:r>
            <w:r w:rsidR="002B7DC9" w:rsidRPr="000D5771">
              <w:rPr>
                <w:rFonts w:eastAsia="Calibri"/>
                <w:bCs/>
                <w:sz w:val="20"/>
                <w:szCs w:val="20"/>
                <w:lang w:val="fr-FR"/>
              </w:rPr>
              <w:t>:</w:t>
            </w:r>
          </w:p>
          <w:p w14:paraId="24567CC6" w14:textId="6928614D" w:rsidR="003C356C" w:rsidRPr="000D5771" w:rsidRDefault="003C356C" w:rsidP="005A21B6">
            <w:pPr>
              <w:pStyle w:val="enumlev1"/>
              <w:tabs>
                <w:tab w:val="clear" w:pos="1134"/>
                <w:tab w:val="left" w:pos="464"/>
              </w:tabs>
              <w:spacing w:before="40"/>
              <w:ind w:left="464" w:hanging="464"/>
              <w:rPr>
                <w:sz w:val="20"/>
              </w:rPr>
            </w:pPr>
            <w:r w:rsidRPr="000D5771">
              <w:rPr>
                <w:sz w:val="20"/>
              </w:rPr>
              <w:t>1</w:t>
            </w:r>
            <w:r w:rsidRPr="000D5771">
              <w:rPr>
                <w:sz w:val="20"/>
              </w:rPr>
              <w:tab/>
            </w:r>
            <w:r w:rsidR="002B7DC9" w:rsidRPr="000D5771">
              <w:rPr>
                <w:sz w:val="20"/>
              </w:rPr>
              <w:t>e</w:t>
            </w:r>
            <w:r w:rsidR="004C5CEE" w:rsidRPr="000D5771">
              <w:rPr>
                <w:sz w:val="20"/>
              </w:rPr>
              <w:t xml:space="preserve">n ce qui concerne la protection </w:t>
            </w:r>
            <w:r w:rsidR="00893412" w:rsidRPr="000D5771">
              <w:rPr>
                <w:sz w:val="20"/>
              </w:rPr>
              <w:t xml:space="preserve">du service </w:t>
            </w:r>
            <w:r w:rsidR="004C5CEE" w:rsidRPr="000D5771">
              <w:rPr>
                <w:sz w:val="20"/>
              </w:rPr>
              <w:t xml:space="preserve">de radiodiffusion dans la zone </w:t>
            </w:r>
            <w:r w:rsidR="00893412" w:rsidRPr="000D5771">
              <w:rPr>
                <w:sz w:val="20"/>
              </w:rPr>
              <w:t xml:space="preserve">visée </w:t>
            </w:r>
            <w:r w:rsidR="004C5CEE" w:rsidRPr="000D5771">
              <w:rPr>
                <w:sz w:val="20"/>
              </w:rPr>
              <w:t xml:space="preserve">par l'Accord GE06: </w:t>
            </w:r>
            <w:r w:rsidR="004C5CEE" w:rsidRPr="000D5771">
              <w:rPr>
                <w:b/>
                <w:sz w:val="20"/>
              </w:rPr>
              <w:t xml:space="preserve">Exemple 2 pour les points 3 à 5 du </w:t>
            </w:r>
            <w:r w:rsidR="004C5CEE" w:rsidRPr="000D5771">
              <w:rPr>
                <w:b/>
                <w:i/>
                <w:iCs/>
                <w:sz w:val="20"/>
              </w:rPr>
              <w:t>décide</w:t>
            </w:r>
            <w:r w:rsidR="004C5CEE" w:rsidRPr="000D5771">
              <w:rPr>
                <w:sz w:val="20"/>
              </w:rPr>
              <w:t xml:space="preserve"> du projet de </w:t>
            </w:r>
            <w:r w:rsidR="00031728" w:rsidRPr="000D5771">
              <w:rPr>
                <w:sz w:val="20"/>
              </w:rPr>
              <w:t xml:space="preserve">résolution </w:t>
            </w:r>
            <w:r w:rsidR="008F2C65" w:rsidRPr="000D5771">
              <w:rPr>
                <w:sz w:val="20"/>
              </w:rPr>
              <w:t>associé</w:t>
            </w:r>
            <w:r w:rsidR="004C5CEE" w:rsidRPr="000D5771">
              <w:rPr>
                <w:sz w:val="20"/>
              </w:rPr>
              <w:t xml:space="preserve"> à la Méthode A3</w:t>
            </w:r>
            <w:r w:rsidR="00B94030" w:rsidRPr="000D5771">
              <w:rPr>
                <w:sz w:val="20"/>
              </w:rPr>
              <w:t>;</w:t>
            </w:r>
          </w:p>
          <w:p w14:paraId="135CEE92" w14:textId="66C32A47" w:rsidR="003C356C" w:rsidRPr="000D5771" w:rsidRDefault="003C356C" w:rsidP="005A21B6">
            <w:pPr>
              <w:pStyle w:val="enumlev1"/>
              <w:tabs>
                <w:tab w:val="clear" w:pos="1134"/>
                <w:tab w:val="left" w:pos="464"/>
              </w:tabs>
              <w:spacing w:before="40"/>
              <w:ind w:left="464" w:hanging="464"/>
              <w:rPr>
                <w:sz w:val="20"/>
              </w:rPr>
            </w:pPr>
            <w:r w:rsidRPr="000D5771">
              <w:rPr>
                <w:sz w:val="20"/>
              </w:rPr>
              <w:t>2</w:t>
            </w:r>
            <w:r w:rsidRPr="000D5771">
              <w:rPr>
                <w:sz w:val="20"/>
              </w:rPr>
              <w:tab/>
            </w:r>
            <w:r w:rsidR="002B7DC9" w:rsidRPr="000D5771">
              <w:rPr>
                <w:sz w:val="20"/>
              </w:rPr>
              <w:t>e</w:t>
            </w:r>
            <w:r w:rsidR="004C5CEE" w:rsidRPr="000D5771">
              <w:rPr>
                <w:sz w:val="20"/>
              </w:rPr>
              <w:t>n ce qui concerne la protection des stations mobiles et des stations de base</w:t>
            </w:r>
            <w:r w:rsidR="00031728" w:rsidRPr="000D5771">
              <w:rPr>
                <w:sz w:val="20"/>
              </w:rPr>
              <w:t> </w:t>
            </w:r>
            <w:r w:rsidR="004C5CEE" w:rsidRPr="000D5771">
              <w:rPr>
                <w:sz w:val="20"/>
              </w:rPr>
              <w:t xml:space="preserve">IMT: </w:t>
            </w:r>
            <w:r w:rsidR="004C5CEE" w:rsidRPr="000D5771">
              <w:rPr>
                <w:b/>
                <w:sz w:val="20"/>
              </w:rPr>
              <w:t xml:space="preserve">Exemple 2 pour les points 6.1 et 6.2 du </w:t>
            </w:r>
            <w:r w:rsidR="004C5CEE" w:rsidRPr="000D5771">
              <w:rPr>
                <w:b/>
                <w:i/>
                <w:iCs/>
                <w:sz w:val="20"/>
              </w:rPr>
              <w:t>décide</w:t>
            </w:r>
            <w:r w:rsidR="004C5CEE" w:rsidRPr="000D5771">
              <w:rPr>
                <w:sz w:val="20"/>
              </w:rPr>
              <w:t xml:space="preserve"> du projet de </w:t>
            </w:r>
            <w:r w:rsidR="00031728" w:rsidRPr="000D5771">
              <w:rPr>
                <w:sz w:val="20"/>
              </w:rPr>
              <w:t xml:space="preserve">résolution </w:t>
            </w:r>
            <w:r w:rsidR="008F2C65" w:rsidRPr="000D5771">
              <w:rPr>
                <w:sz w:val="20"/>
              </w:rPr>
              <w:t>associé</w:t>
            </w:r>
            <w:r w:rsidR="004C5CEE" w:rsidRPr="000D5771">
              <w:rPr>
                <w:sz w:val="20"/>
              </w:rPr>
              <w:t xml:space="preserve"> à la Méthode A3</w:t>
            </w:r>
            <w:r w:rsidR="00B94030" w:rsidRPr="000D5771">
              <w:rPr>
                <w:sz w:val="20"/>
              </w:rPr>
              <w:t>;</w:t>
            </w:r>
          </w:p>
          <w:p w14:paraId="50E20E1D" w14:textId="2583222C" w:rsidR="003C356C" w:rsidRPr="000D5771" w:rsidRDefault="003C356C" w:rsidP="005A21B6">
            <w:pPr>
              <w:pStyle w:val="enumlev1"/>
              <w:tabs>
                <w:tab w:val="clear" w:pos="1134"/>
                <w:tab w:val="left" w:pos="464"/>
              </w:tabs>
              <w:spacing w:before="40"/>
              <w:ind w:left="464" w:hanging="464"/>
              <w:rPr>
                <w:sz w:val="20"/>
              </w:rPr>
            </w:pPr>
            <w:r w:rsidRPr="000D5771">
              <w:rPr>
                <w:sz w:val="20"/>
              </w:rPr>
              <w:t>3</w:t>
            </w:r>
            <w:r w:rsidRPr="000D5771">
              <w:rPr>
                <w:sz w:val="20"/>
              </w:rPr>
              <w:tab/>
            </w:r>
            <w:r w:rsidR="002B7DC9" w:rsidRPr="000D5771">
              <w:rPr>
                <w:sz w:val="20"/>
              </w:rPr>
              <w:t>e</w:t>
            </w:r>
            <w:r w:rsidR="004C5CEE" w:rsidRPr="000D5771">
              <w:rPr>
                <w:sz w:val="20"/>
              </w:rPr>
              <w:t xml:space="preserve">n ce qui concerne la protection </w:t>
            </w:r>
            <w:r w:rsidR="00893412" w:rsidRPr="000D5771">
              <w:rPr>
                <w:sz w:val="20"/>
              </w:rPr>
              <w:t xml:space="preserve">du service </w:t>
            </w:r>
            <w:r w:rsidR="004C5CEE" w:rsidRPr="000D5771">
              <w:rPr>
                <w:sz w:val="20"/>
              </w:rPr>
              <w:t>de</w:t>
            </w:r>
            <w:r w:rsidR="00893412" w:rsidRPr="000D5771">
              <w:rPr>
                <w:sz w:val="20"/>
              </w:rPr>
              <w:t xml:space="preserve"> </w:t>
            </w:r>
            <w:r w:rsidR="004C5CEE" w:rsidRPr="000D5771">
              <w:rPr>
                <w:sz w:val="20"/>
              </w:rPr>
              <w:t>radioastronomie dans la bande de fréquences 1</w:t>
            </w:r>
            <w:r w:rsidR="002A24B6" w:rsidRPr="000D5771">
              <w:rPr>
                <w:sz w:val="20"/>
              </w:rPr>
              <w:t xml:space="preserve"> </w:t>
            </w:r>
            <w:r w:rsidR="004C5CEE" w:rsidRPr="000D5771">
              <w:rPr>
                <w:sz w:val="20"/>
              </w:rPr>
              <w:t>610,3-1</w:t>
            </w:r>
            <w:r w:rsidR="002A24B6" w:rsidRPr="000D5771">
              <w:rPr>
                <w:sz w:val="20"/>
              </w:rPr>
              <w:t xml:space="preserve"> </w:t>
            </w:r>
            <w:r w:rsidR="004C5CEE" w:rsidRPr="000D5771">
              <w:rPr>
                <w:sz w:val="20"/>
              </w:rPr>
              <w:t xml:space="preserve">613,6 MHz contre les rayonnements de deuxième harmonique provenant des stations HIBS fonctionnant dans la bande de fréquences 694-960 MHz: </w:t>
            </w:r>
            <w:r w:rsidR="004C5CEE" w:rsidRPr="000D5771">
              <w:rPr>
                <w:b/>
                <w:sz w:val="20"/>
              </w:rPr>
              <w:t>Exemple 2 pour les points</w:t>
            </w:r>
            <w:r w:rsidR="00A140A5" w:rsidRPr="000D5771">
              <w:rPr>
                <w:b/>
                <w:sz w:val="20"/>
              </w:rPr>
              <w:t> </w:t>
            </w:r>
            <w:r w:rsidR="004C5CEE" w:rsidRPr="000D5771">
              <w:rPr>
                <w:b/>
                <w:sz w:val="20"/>
              </w:rPr>
              <w:t>6.3 et</w:t>
            </w:r>
            <w:r w:rsidR="002A24B6" w:rsidRPr="000D5771">
              <w:rPr>
                <w:b/>
                <w:sz w:val="20"/>
              </w:rPr>
              <w:t> </w:t>
            </w:r>
            <w:r w:rsidR="004C5CEE" w:rsidRPr="000D5771">
              <w:rPr>
                <w:b/>
                <w:sz w:val="20"/>
              </w:rPr>
              <w:t xml:space="preserve">6.4 du </w:t>
            </w:r>
            <w:r w:rsidR="004C5CEE" w:rsidRPr="000D5771">
              <w:rPr>
                <w:b/>
                <w:i/>
                <w:iCs/>
                <w:sz w:val="20"/>
              </w:rPr>
              <w:t>décide</w:t>
            </w:r>
            <w:r w:rsidR="004C5CEE" w:rsidRPr="000D5771">
              <w:rPr>
                <w:b/>
                <w:sz w:val="20"/>
              </w:rPr>
              <w:t xml:space="preserve">, associé à l'Exemple 3 pour le point </w:t>
            </w:r>
            <w:r w:rsidR="004C5CEE" w:rsidRPr="000D5771">
              <w:rPr>
                <w:b/>
                <w:i/>
                <w:iCs/>
                <w:sz w:val="20"/>
              </w:rPr>
              <w:t>f)</w:t>
            </w:r>
            <w:r w:rsidR="004C5CEE" w:rsidRPr="000D5771">
              <w:rPr>
                <w:b/>
                <w:sz w:val="20"/>
              </w:rPr>
              <w:t xml:space="preserve"> du </w:t>
            </w:r>
            <w:r w:rsidR="004C5CEE" w:rsidRPr="000D5771">
              <w:rPr>
                <w:b/>
                <w:i/>
                <w:iCs/>
                <w:sz w:val="20"/>
              </w:rPr>
              <w:t>reconnaissant</w:t>
            </w:r>
            <w:r w:rsidR="004C5CEE" w:rsidRPr="000D5771">
              <w:rPr>
                <w:sz w:val="20"/>
              </w:rPr>
              <w:t xml:space="preserve"> du projet de </w:t>
            </w:r>
            <w:r w:rsidR="00031728" w:rsidRPr="000D5771">
              <w:rPr>
                <w:sz w:val="20"/>
              </w:rPr>
              <w:t xml:space="preserve">résolution </w:t>
            </w:r>
            <w:r w:rsidR="008F2C65" w:rsidRPr="000D5771">
              <w:rPr>
                <w:sz w:val="20"/>
              </w:rPr>
              <w:t>associé</w:t>
            </w:r>
            <w:r w:rsidR="004C5CEE" w:rsidRPr="000D5771">
              <w:rPr>
                <w:sz w:val="20"/>
              </w:rPr>
              <w:t xml:space="preserve"> à la Méthode A3</w:t>
            </w:r>
            <w:r w:rsidR="00B94030" w:rsidRPr="000D5771">
              <w:rPr>
                <w:sz w:val="20"/>
              </w:rPr>
              <w:t>.</w:t>
            </w:r>
          </w:p>
          <w:p w14:paraId="57C143B7" w14:textId="5FD49C94" w:rsidR="003C356C" w:rsidRPr="000D5771" w:rsidRDefault="003C356C" w:rsidP="005A21B6">
            <w:pPr>
              <w:pStyle w:val="TableText0"/>
              <w:rPr>
                <w:sz w:val="20"/>
                <w:szCs w:val="20"/>
                <w:lang w:val="fr-FR"/>
              </w:rPr>
            </w:pPr>
            <w:r w:rsidRPr="000D5771">
              <w:rPr>
                <w:rFonts w:eastAsia="Calibri"/>
                <w:b/>
                <w:sz w:val="20"/>
                <w:szCs w:val="20"/>
                <w:lang w:val="fr-FR"/>
              </w:rPr>
              <w:t>Bande de fréquences 1</w:t>
            </w:r>
            <w:r w:rsidR="002A24B6" w:rsidRPr="000D5771">
              <w:rPr>
                <w:rFonts w:eastAsia="Calibri"/>
                <w:b/>
                <w:sz w:val="20"/>
                <w:szCs w:val="20"/>
                <w:lang w:val="fr-FR"/>
              </w:rPr>
              <w:t xml:space="preserve"> </w:t>
            </w:r>
            <w:r w:rsidRPr="000D5771">
              <w:rPr>
                <w:rFonts w:eastAsia="Calibri"/>
                <w:b/>
                <w:sz w:val="20"/>
                <w:szCs w:val="20"/>
                <w:lang w:val="fr-FR"/>
              </w:rPr>
              <w:t>710</w:t>
            </w:r>
            <w:r w:rsidRPr="000D5771">
              <w:rPr>
                <w:rFonts w:eastAsia="Calibri"/>
                <w:b/>
                <w:sz w:val="20"/>
                <w:szCs w:val="20"/>
                <w:lang w:val="fr-FR"/>
              </w:rPr>
              <w:noBreakHyphen/>
              <w:t>1</w:t>
            </w:r>
            <w:r w:rsidR="002A24B6" w:rsidRPr="000D5771">
              <w:rPr>
                <w:rFonts w:eastAsia="Calibri"/>
                <w:b/>
                <w:sz w:val="20"/>
                <w:szCs w:val="20"/>
                <w:lang w:val="fr-FR"/>
              </w:rPr>
              <w:t xml:space="preserve"> </w:t>
            </w:r>
            <w:r w:rsidRPr="000D5771">
              <w:rPr>
                <w:rFonts w:eastAsia="Calibri"/>
                <w:b/>
                <w:sz w:val="20"/>
                <w:szCs w:val="20"/>
                <w:lang w:val="fr-FR"/>
              </w:rPr>
              <w:t>885</w:t>
            </w:r>
            <w:r w:rsidR="002A24B6" w:rsidRPr="000D5771">
              <w:rPr>
                <w:rFonts w:eastAsia="Calibri"/>
                <w:b/>
                <w:sz w:val="20"/>
                <w:szCs w:val="20"/>
                <w:lang w:val="fr-FR"/>
              </w:rPr>
              <w:t xml:space="preserve"> </w:t>
            </w:r>
            <w:r w:rsidRPr="000D5771">
              <w:rPr>
                <w:rFonts w:eastAsia="Calibri"/>
                <w:b/>
                <w:sz w:val="20"/>
                <w:szCs w:val="20"/>
                <w:lang w:val="fr-FR"/>
              </w:rPr>
              <w:t>MHz</w:t>
            </w:r>
            <w:r w:rsidR="002B7DC9" w:rsidRPr="000D5771">
              <w:rPr>
                <w:rFonts w:eastAsia="Calibri"/>
                <w:bCs/>
                <w:sz w:val="20"/>
                <w:szCs w:val="20"/>
                <w:lang w:val="fr-FR"/>
              </w:rPr>
              <w:t>:</w:t>
            </w:r>
          </w:p>
          <w:p w14:paraId="4EABA3EA" w14:textId="5282663E" w:rsidR="003C356C" w:rsidRPr="000D5771" w:rsidRDefault="003C356C" w:rsidP="005A21B6">
            <w:pPr>
              <w:pStyle w:val="enumlev1"/>
              <w:tabs>
                <w:tab w:val="clear" w:pos="1134"/>
                <w:tab w:val="left" w:pos="606"/>
              </w:tabs>
              <w:spacing w:before="40"/>
              <w:ind w:left="464" w:hanging="464"/>
              <w:rPr>
                <w:sz w:val="20"/>
                <w:szCs w:val="16"/>
              </w:rPr>
            </w:pPr>
            <w:r w:rsidRPr="000D5771">
              <w:rPr>
                <w:sz w:val="20"/>
                <w:szCs w:val="16"/>
              </w:rPr>
              <w:t>1</w:t>
            </w:r>
            <w:r w:rsidRPr="000D5771">
              <w:rPr>
                <w:sz w:val="20"/>
                <w:szCs w:val="16"/>
              </w:rPr>
              <w:tab/>
            </w:r>
            <w:r w:rsidR="002B7DC9" w:rsidRPr="000D5771">
              <w:rPr>
                <w:sz w:val="20"/>
                <w:szCs w:val="16"/>
              </w:rPr>
              <w:t>e</w:t>
            </w:r>
            <w:r w:rsidR="004C5CEE" w:rsidRPr="000D5771">
              <w:rPr>
                <w:sz w:val="20"/>
                <w:szCs w:val="16"/>
              </w:rPr>
              <w:t>n ce qui concerne la protection des stations mobiles et des stations de base</w:t>
            </w:r>
            <w:r w:rsidR="00031728" w:rsidRPr="000D5771">
              <w:rPr>
                <w:sz w:val="20"/>
                <w:szCs w:val="16"/>
              </w:rPr>
              <w:t> </w:t>
            </w:r>
            <w:r w:rsidR="008F2C65" w:rsidRPr="000D5771">
              <w:rPr>
                <w:sz w:val="20"/>
                <w:szCs w:val="16"/>
              </w:rPr>
              <w:t>IMT</w:t>
            </w:r>
            <w:r w:rsidR="004C5CEE" w:rsidRPr="000D5771">
              <w:rPr>
                <w:sz w:val="20"/>
                <w:szCs w:val="16"/>
              </w:rPr>
              <w:t xml:space="preserve">: </w:t>
            </w:r>
            <w:r w:rsidR="004C5CEE" w:rsidRPr="000D5771">
              <w:rPr>
                <w:b/>
                <w:sz w:val="20"/>
                <w:szCs w:val="16"/>
              </w:rPr>
              <w:t xml:space="preserve">Exemple 1 pour les points 1.2 et 1.3 du </w:t>
            </w:r>
            <w:r w:rsidR="004C5CEE" w:rsidRPr="000D5771">
              <w:rPr>
                <w:b/>
                <w:i/>
                <w:iCs/>
                <w:sz w:val="20"/>
                <w:szCs w:val="16"/>
              </w:rPr>
              <w:t>décide</w:t>
            </w:r>
            <w:r w:rsidR="004C5CEE" w:rsidRPr="000D5771">
              <w:rPr>
                <w:sz w:val="20"/>
                <w:szCs w:val="16"/>
              </w:rPr>
              <w:t xml:space="preserve"> du projet de </w:t>
            </w:r>
            <w:r w:rsidR="00031728" w:rsidRPr="000D5771">
              <w:rPr>
                <w:sz w:val="20"/>
                <w:szCs w:val="16"/>
              </w:rPr>
              <w:t xml:space="preserve">résolution </w:t>
            </w:r>
            <w:r w:rsidR="008F2C65" w:rsidRPr="000D5771">
              <w:rPr>
                <w:sz w:val="20"/>
                <w:szCs w:val="16"/>
              </w:rPr>
              <w:t>associé</w:t>
            </w:r>
            <w:r w:rsidR="004C5CEE" w:rsidRPr="000D5771">
              <w:rPr>
                <w:sz w:val="20"/>
                <w:szCs w:val="16"/>
              </w:rPr>
              <w:t xml:space="preserve"> à la Méthode B3</w:t>
            </w:r>
            <w:r w:rsidR="00B94030" w:rsidRPr="000D5771">
              <w:rPr>
                <w:sz w:val="20"/>
                <w:szCs w:val="16"/>
              </w:rPr>
              <w:t>;</w:t>
            </w:r>
          </w:p>
          <w:p w14:paraId="4A7D501A" w14:textId="37B5A156" w:rsidR="003C356C" w:rsidRPr="000D5771" w:rsidRDefault="003C356C" w:rsidP="005A21B6">
            <w:pPr>
              <w:pStyle w:val="enumlev1"/>
              <w:tabs>
                <w:tab w:val="clear" w:pos="1134"/>
                <w:tab w:val="left" w:pos="606"/>
              </w:tabs>
              <w:spacing w:before="40"/>
              <w:ind w:left="464" w:hanging="464"/>
              <w:rPr>
                <w:sz w:val="20"/>
                <w:szCs w:val="16"/>
              </w:rPr>
            </w:pPr>
            <w:r w:rsidRPr="000D5771">
              <w:rPr>
                <w:sz w:val="20"/>
                <w:szCs w:val="16"/>
              </w:rPr>
              <w:t>2</w:t>
            </w:r>
            <w:r w:rsidRPr="000D5771">
              <w:rPr>
                <w:sz w:val="20"/>
                <w:szCs w:val="16"/>
              </w:rPr>
              <w:tab/>
            </w:r>
            <w:r w:rsidR="002B7DC9" w:rsidRPr="000D5771">
              <w:rPr>
                <w:sz w:val="20"/>
                <w:szCs w:val="16"/>
              </w:rPr>
              <w:t>e</w:t>
            </w:r>
            <w:r w:rsidR="004C5CEE" w:rsidRPr="000D5771">
              <w:rPr>
                <w:sz w:val="20"/>
                <w:szCs w:val="16"/>
              </w:rPr>
              <w:t xml:space="preserve">n ce qui concerne la protection des stations du service fixe: </w:t>
            </w:r>
            <w:r w:rsidR="004C5CEE" w:rsidRPr="000D5771">
              <w:rPr>
                <w:b/>
                <w:sz w:val="20"/>
                <w:szCs w:val="16"/>
              </w:rPr>
              <w:t>Exemple</w:t>
            </w:r>
            <w:r w:rsidR="00E6704A" w:rsidRPr="000D5771">
              <w:rPr>
                <w:b/>
                <w:sz w:val="20"/>
                <w:szCs w:val="16"/>
              </w:rPr>
              <w:t> </w:t>
            </w:r>
            <w:r w:rsidR="004C5CEE" w:rsidRPr="000D5771">
              <w:rPr>
                <w:b/>
                <w:sz w:val="20"/>
                <w:szCs w:val="16"/>
              </w:rPr>
              <w:t xml:space="preserve">1 pour le point 1.6 du </w:t>
            </w:r>
            <w:r w:rsidR="004C5CEE" w:rsidRPr="000D5771">
              <w:rPr>
                <w:b/>
                <w:i/>
                <w:iCs/>
                <w:sz w:val="20"/>
                <w:szCs w:val="16"/>
              </w:rPr>
              <w:t>décide</w:t>
            </w:r>
            <w:r w:rsidR="004C5CEE" w:rsidRPr="000D5771">
              <w:rPr>
                <w:sz w:val="20"/>
                <w:szCs w:val="16"/>
              </w:rPr>
              <w:t xml:space="preserve"> du projet de </w:t>
            </w:r>
            <w:r w:rsidR="00031728" w:rsidRPr="000D5771">
              <w:rPr>
                <w:sz w:val="20"/>
                <w:szCs w:val="16"/>
              </w:rPr>
              <w:t xml:space="preserve">résolution </w:t>
            </w:r>
            <w:r w:rsidR="00360730" w:rsidRPr="000D5771">
              <w:rPr>
                <w:sz w:val="20"/>
                <w:szCs w:val="16"/>
              </w:rPr>
              <w:t>associé</w:t>
            </w:r>
            <w:r w:rsidR="004C5CEE" w:rsidRPr="000D5771">
              <w:rPr>
                <w:sz w:val="20"/>
                <w:szCs w:val="16"/>
              </w:rPr>
              <w:t xml:space="preserve"> à la Méthode</w:t>
            </w:r>
            <w:r w:rsidR="00E6704A" w:rsidRPr="000D5771">
              <w:rPr>
                <w:sz w:val="20"/>
                <w:szCs w:val="16"/>
              </w:rPr>
              <w:t> </w:t>
            </w:r>
            <w:r w:rsidR="004C5CEE" w:rsidRPr="000D5771">
              <w:rPr>
                <w:sz w:val="20"/>
                <w:szCs w:val="16"/>
              </w:rPr>
              <w:t>B3</w:t>
            </w:r>
            <w:r w:rsidR="00B94030" w:rsidRPr="000D5771">
              <w:rPr>
                <w:sz w:val="20"/>
                <w:szCs w:val="16"/>
              </w:rPr>
              <w:t>;</w:t>
            </w:r>
          </w:p>
          <w:p w14:paraId="6D3AF2D8" w14:textId="3C656319" w:rsidR="003C356C" w:rsidRPr="000D5771" w:rsidRDefault="003C356C" w:rsidP="005A21B6">
            <w:pPr>
              <w:pStyle w:val="enumlev1"/>
              <w:tabs>
                <w:tab w:val="clear" w:pos="1134"/>
                <w:tab w:val="left" w:pos="606"/>
              </w:tabs>
              <w:spacing w:before="40"/>
              <w:ind w:left="464" w:hanging="464"/>
              <w:rPr>
                <w:sz w:val="20"/>
                <w:szCs w:val="16"/>
              </w:rPr>
            </w:pPr>
            <w:r w:rsidRPr="000D5771">
              <w:rPr>
                <w:sz w:val="20"/>
                <w:szCs w:val="16"/>
              </w:rPr>
              <w:t>3</w:t>
            </w:r>
            <w:r w:rsidRPr="000D5771">
              <w:rPr>
                <w:sz w:val="20"/>
                <w:szCs w:val="16"/>
              </w:rPr>
              <w:tab/>
            </w:r>
            <w:r w:rsidR="002B7DC9" w:rsidRPr="000D5771">
              <w:rPr>
                <w:sz w:val="20"/>
                <w:szCs w:val="16"/>
              </w:rPr>
              <w:t>e</w:t>
            </w:r>
            <w:r w:rsidR="00EB48AB" w:rsidRPr="000D5771">
              <w:rPr>
                <w:sz w:val="20"/>
                <w:szCs w:val="16"/>
              </w:rPr>
              <w:t xml:space="preserve">n ce qui concerne la protection des systèmes du service mobile aéronautique: </w:t>
            </w:r>
            <w:r w:rsidR="00EB48AB" w:rsidRPr="000D5771">
              <w:rPr>
                <w:b/>
                <w:sz w:val="20"/>
                <w:szCs w:val="16"/>
              </w:rPr>
              <w:t xml:space="preserve">[Exemple 1/Exemple 3] pour les points 1.7 et 1.8 du </w:t>
            </w:r>
            <w:r w:rsidR="00EB48AB" w:rsidRPr="000D5771">
              <w:rPr>
                <w:b/>
                <w:i/>
                <w:iCs/>
                <w:sz w:val="20"/>
                <w:szCs w:val="16"/>
              </w:rPr>
              <w:t>décide</w:t>
            </w:r>
            <w:r w:rsidR="00EB48AB" w:rsidRPr="000D5771">
              <w:rPr>
                <w:sz w:val="20"/>
                <w:szCs w:val="16"/>
              </w:rPr>
              <w:t xml:space="preserve"> du projet de </w:t>
            </w:r>
            <w:r w:rsidR="00031728" w:rsidRPr="000D5771">
              <w:rPr>
                <w:sz w:val="20"/>
                <w:szCs w:val="16"/>
              </w:rPr>
              <w:t xml:space="preserve">résolution </w:t>
            </w:r>
            <w:r w:rsidR="00360730" w:rsidRPr="000D5771">
              <w:rPr>
                <w:sz w:val="20"/>
                <w:szCs w:val="16"/>
              </w:rPr>
              <w:t>associé</w:t>
            </w:r>
            <w:r w:rsidR="00EB48AB" w:rsidRPr="000D5771">
              <w:rPr>
                <w:sz w:val="20"/>
                <w:szCs w:val="16"/>
              </w:rPr>
              <w:t xml:space="preserve"> à la Méthode B3</w:t>
            </w:r>
            <w:r w:rsidR="00B94030" w:rsidRPr="000D5771">
              <w:rPr>
                <w:sz w:val="20"/>
                <w:szCs w:val="16"/>
              </w:rPr>
              <w:t>.</w:t>
            </w:r>
          </w:p>
          <w:p w14:paraId="0A3A7AD2" w14:textId="232CF7A9" w:rsidR="003C356C" w:rsidRPr="000D5771" w:rsidRDefault="003C356C" w:rsidP="005A21B6">
            <w:pPr>
              <w:spacing w:before="40"/>
              <w:jc w:val="both"/>
              <w:rPr>
                <w:rFonts w:eastAsia="Calibri"/>
                <w:b/>
                <w:sz w:val="20"/>
              </w:rPr>
            </w:pPr>
            <w:r w:rsidRPr="000D5771">
              <w:rPr>
                <w:rFonts w:eastAsia="Calibri"/>
                <w:b/>
                <w:sz w:val="20"/>
              </w:rPr>
              <w:t>Bandes de fréquences 1</w:t>
            </w:r>
            <w:r w:rsidR="00E6704A" w:rsidRPr="000D5771">
              <w:rPr>
                <w:rFonts w:eastAsia="Calibri"/>
                <w:b/>
                <w:sz w:val="20"/>
              </w:rPr>
              <w:t xml:space="preserve"> </w:t>
            </w:r>
            <w:r w:rsidRPr="000D5771">
              <w:rPr>
                <w:rFonts w:eastAsia="Calibri"/>
                <w:b/>
                <w:sz w:val="20"/>
              </w:rPr>
              <w:t>885</w:t>
            </w:r>
            <w:r w:rsidRPr="000D5771">
              <w:rPr>
                <w:rFonts w:eastAsia="Calibri"/>
                <w:b/>
                <w:sz w:val="20"/>
              </w:rPr>
              <w:noBreakHyphen/>
              <w:t>1</w:t>
            </w:r>
            <w:r w:rsidR="00E6704A" w:rsidRPr="000D5771">
              <w:rPr>
                <w:rFonts w:eastAsia="Calibri"/>
                <w:b/>
                <w:sz w:val="20"/>
              </w:rPr>
              <w:t xml:space="preserve"> </w:t>
            </w:r>
            <w:r w:rsidRPr="000D5771">
              <w:rPr>
                <w:rFonts w:eastAsia="Calibri"/>
                <w:b/>
                <w:sz w:val="20"/>
              </w:rPr>
              <w:t>980</w:t>
            </w:r>
            <w:r w:rsidR="00E6704A" w:rsidRPr="000D5771">
              <w:rPr>
                <w:rFonts w:eastAsia="Calibri"/>
                <w:b/>
                <w:sz w:val="20"/>
              </w:rPr>
              <w:t xml:space="preserve"> </w:t>
            </w:r>
            <w:r w:rsidRPr="000D5771">
              <w:rPr>
                <w:rFonts w:eastAsia="Calibri"/>
                <w:b/>
                <w:sz w:val="20"/>
              </w:rPr>
              <w:t>MHz, 2</w:t>
            </w:r>
            <w:r w:rsidR="00E6704A" w:rsidRPr="000D5771">
              <w:rPr>
                <w:rFonts w:eastAsia="Calibri"/>
                <w:b/>
                <w:sz w:val="20"/>
              </w:rPr>
              <w:t xml:space="preserve"> </w:t>
            </w:r>
            <w:r w:rsidRPr="000D5771">
              <w:rPr>
                <w:rFonts w:eastAsia="Calibri"/>
                <w:b/>
                <w:sz w:val="20"/>
              </w:rPr>
              <w:t>010</w:t>
            </w:r>
            <w:r w:rsidRPr="000D5771">
              <w:rPr>
                <w:rFonts w:eastAsia="Calibri"/>
                <w:b/>
                <w:sz w:val="20"/>
              </w:rPr>
              <w:noBreakHyphen/>
              <w:t>2</w:t>
            </w:r>
            <w:r w:rsidR="00E6704A" w:rsidRPr="000D5771">
              <w:rPr>
                <w:rFonts w:eastAsia="Calibri"/>
                <w:b/>
                <w:sz w:val="20"/>
              </w:rPr>
              <w:t xml:space="preserve"> </w:t>
            </w:r>
            <w:r w:rsidRPr="000D5771">
              <w:rPr>
                <w:rFonts w:eastAsia="Calibri"/>
                <w:b/>
                <w:sz w:val="20"/>
              </w:rPr>
              <w:t>025</w:t>
            </w:r>
            <w:r w:rsidR="00E6704A" w:rsidRPr="000D5771">
              <w:rPr>
                <w:rFonts w:eastAsia="Calibri"/>
                <w:b/>
                <w:sz w:val="20"/>
              </w:rPr>
              <w:t xml:space="preserve"> </w:t>
            </w:r>
            <w:r w:rsidRPr="000D5771">
              <w:rPr>
                <w:rFonts w:eastAsia="Calibri"/>
                <w:b/>
                <w:sz w:val="20"/>
              </w:rPr>
              <w:t>MHz et</w:t>
            </w:r>
            <w:r w:rsidR="00E6704A" w:rsidRPr="000D5771">
              <w:rPr>
                <w:rFonts w:eastAsia="Calibri"/>
                <w:b/>
                <w:sz w:val="20"/>
              </w:rPr>
              <w:t xml:space="preserve"> </w:t>
            </w:r>
            <w:r w:rsidRPr="000D5771">
              <w:rPr>
                <w:rFonts w:eastAsia="Calibri"/>
                <w:b/>
                <w:sz w:val="20"/>
              </w:rPr>
              <w:t>2</w:t>
            </w:r>
            <w:r w:rsidR="00E6704A" w:rsidRPr="000D5771">
              <w:rPr>
                <w:rFonts w:eastAsia="Calibri"/>
                <w:b/>
                <w:sz w:val="20"/>
              </w:rPr>
              <w:t xml:space="preserve"> </w:t>
            </w:r>
            <w:r w:rsidRPr="000D5771">
              <w:rPr>
                <w:rFonts w:eastAsia="Calibri"/>
                <w:b/>
                <w:sz w:val="20"/>
              </w:rPr>
              <w:t>110</w:t>
            </w:r>
            <w:r w:rsidRPr="000D5771">
              <w:rPr>
                <w:rFonts w:eastAsia="Calibri"/>
                <w:b/>
                <w:sz w:val="20"/>
              </w:rPr>
              <w:noBreakHyphen/>
              <w:t>2</w:t>
            </w:r>
            <w:r w:rsidR="00E6704A" w:rsidRPr="000D5771">
              <w:rPr>
                <w:rFonts w:eastAsia="Calibri"/>
                <w:b/>
                <w:sz w:val="20"/>
              </w:rPr>
              <w:t xml:space="preserve"> </w:t>
            </w:r>
            <w:r w:rsidRPr="000D5771">
              <w:rPr>
                <w:rFonts w:eastAsia="Calibri"/>
                <w:b/>
                <w:sz w:val="20"/>
              </w:rPr>
              <w:t>170</w:t>
            </w:r>
            <w:r w:rsidR="00E6704A" w:rsidRPr="000D5771">
              <w:rPr>
                <w:rFonts w:eastAsia="Calibri"/>
                <w:b/>
                <w:sz w:val="20"/>
              </w:rPr>
              <w:t xml:space="preserve"> </w:t>
            </w:r>
            <w:r w:rsidRPr="000D5771">
              <w:rPr>
                <w:rFonts w:eastAsia="Calibri"/>
                <w:b/>
                <w:sz w:val="20"/>
              </w:rPr>
              <w:t>MHz</w:t>
            </w:r>
            <w:r w:rsidR="002B7DC9" w:rsidRPr="000D5771">
              <w:rPr>
                <w:rFonts w:eastAsia="Calibri"/>
                <w:bCs/>
                <w:sz w:val="20"/>
              </w:rPr>
              <w:t>:</w:t>
            </w:r>
          </w:p>
          <w:p w14:paraId="398AB29F" w14:textId="37621316" w:rsidR="003C356C" w:rsidRPr="000D5771" w:rsidRDefault="003C356C" w:rsidP="005A21B6">
            <w:pPr>
              <w:pStyle w:val="enumlev1"/>
              <w:tabs>
                <w:tab w:val="clear" w:pos="1134"/>
                <w:tab w:val="left" w:pos="464"/>
              </w:tabs>
              <w:spacing w:before="40"/>
              <w:ind w:left="464" w:hanging="464"/>
              <w:rPr>
                <w:sz w:val="20"/>
                <w:szCs w:val="16"/>
              </w:rPr>
            </w:pPr>
            <w:r w:rsidRPr="000D5771">
              <w:rPr>
                <w:sz w:val="20"/>
                <w:szCs w:val="16"/>
              </w:rPr>
              <w:t>1</w:t>
            </w:r>
            <w:r w:rsidRPr="000D5771">
              <w:rPr>
                <w:sz w:val="20"/>
                <w:szCs w:val="16"/>
              </w:rPr>
              <w:tab/>
            </w:r>
            <w:r w:rsidR="002B7DC9" w:rsidRPr="000D5771">
              <w:rPr>
                <w:sz w:val="20"/>
                <w:szCs w:val="16"/>
              </w:rPr>
              <w:t>e</w:t>
            </w:r>
            <w:r w:rsidR="00EB48AB" w:rsidRPr="000D5771">
              <w:rPr>
                <w:sz w:val="20"/>
                <w:szCs w:val="16"/>
              </w:rPr>
              <w:t>n ce qui concerne la protection des stations mobiles et des stations de base</w:t>
            </w:r>
            <w:r w:rsidR="00564728" w:rsidRPr="000D5771">
              <w:rPr>
                <w:sz w:val="20"/>
                <w:szCs w:val="16"/>
              </w:rPr>
              <w:t> </w:t>
            </w:r>
            <w:r w:rsidR="00360730" w:rsidRPr="000D5771">
              <w:rPr>
                <w:sz w:val="20"/>
                <w:szCs w:val="16"/>
              </w:rPr>
              <w:t>IMT</w:t>
            </w:r>
            <w:r w:rsidR="00EB48AB" w:rsidRPr="000D5771">
              <w:rPr>
                <w:sz w:val="20"/>
                <w:szCs w:val="16"/>
              </w:rPr>
              <w:t xml:space="preserve">: </w:t>
            </w:r>
            <w:r w:rsidR="00EB48AB" w:rsidRPr="000D5771">
              <w:rPr>
                <w:b/>
                <w:sz w:val="20"/>
                <w:szCs w:val="16"/>
              </w:rPr>
              <w:t>Exemple 1 pour les points 1.1 et 1.2 du décide</w:t>
            </w:r>
            <w:r w:rsidR="00EB48AB" w:rsidRPr="000D5771">
              <w:rPr>
                <w:sz w:val="20"/>
                <w:szCs w:val="16"/>
              </w:rPr>
              <w:t xml:space="preserve"> du projet de </w:t>
            </w:r>
            <w:r w:rsidR="00031728" w:rsidRPr="000D5771">
              <w:rPr>
                <w:sz w:val="20"/>
                <w:szCs w:val="16"/>
              </w:rPr>
              <w:t xml:space="preserve">résolution </w:t>
            </w:r>
            <w:r w:rsidR="00EB48AB" w:rsidRPr="000D5771">
              <w:rPr>
                <w:sz w:val="20"/>
                <w:szCs w:val="16"/>
              </w:rPr>
              <w:t>associée à la Méthode C3</w:t>
            </w:r>
            <w:r w:rsidR="00B94030" w:rsidRPr="000D5771">
              <w:rPr>
                <w:sz w:val="20"/>
                <w:szCs w:val="16"/>
              </w:rPr>
              <w:t>;</w:t>
            </w:r>
          </w:p>
          <w:p w14:paraId="229AB641" w14:textId="2FBB8E94" w:rsidR="003C356C" w:rsidRPr="000D5771" w:rsidRDefault="003C356C" w:rsidP="005A21B6">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002B7DC9" w:rsidRPr="000D5771">
              <w:rPr>
                <w:sz w:val="20"/>
                <w:szCs w:val="16"/>
              </w:rPr>
              <w:t>e</w:t>
            </w:r>
            <w:r w:rsidR="00EB48AB" w:rsidRPr="000D5771">
              <w:rPr>
                <w:sz w:val="20"/>
                <w:szCs w:val="16"/>
              </w:rPr>
              <w:t xml:space="preserve">n ce qui concerne la protection des stations du service fixe: </w:t>
            </w:r>
            <w:r w:rsidR="00EB48AB" w:rsidRPr="000D5771">
              <w:rPr>
                <w:b/>
                <w:sz w:val="20"/>
                <w:szCs w:val="16"/>
              </w:rPr>
              <w:t>[Exemple</w:t>
            </w:r>
            <w:r w:rsidR="00E6704A" w:rsidRPr="000D5771">
              <w:rPr>
                <w:b/>
                <w:sz w:val="20"/>
                <w:szCs w:val="16"/>
              </w:rPr>
              <w:t> </w:t>
            </w:r>
            <w:r w:rsidR="00EB48AB" w:rsidRPr="000D5771">
              <w:rPr>
                <w:b/>
                <w:sz w:val="20"/>
                <w:szCs w:val="16"/>
              </w:rPr>
              <w:t xml:space="preserve">2 pour le point 1.5 du </w:t>
            </w:r>
            <w:r w:rsidR="00EB48AB" w:rsidRPr="000D5771">
              <w:rPr>
                <w:b/>
                <w:i/>
                <w:iCs/>
                <w:sz w:val="20"/>
                <w:szCs w:val="16"/>
              </w:rPr>
              <w:t>décide</w:t>
            </w:r>
            <w:r w:rsidR="00EB48AB" w:rsidRPr="000D5771">
              <w:rPr>
                <w:b/>
                <w:sz w:val="20"/>
                <w:szCs w:val="16"/>
              </w:rPr>
              <w:t xml:space="preserve">] et Exemple 1 pour le point 1.6 du </w:t>
            </w:r>
            <w:r w:rsidR="00EB48AB" w:rsidRPr="000D5771">
              <w:rPr>
                <w:b/>
                <w:i/>
                <w:iCs/>
                <w:sz w:val="20"/>
                <w:szCs w:val="16"/>
              </w:rPr>
              <w:t>décide</w:t>
            </w:r>
            <w:r w:rsidR="00EB48AB" w:rsidRPr="000D5771">
              <w:rPr>
                <w:sz w:val="20"/>
                <w:szCs w:val="16"/>
              </w:rPr>
              <w:t xml:space="preserve"> du projet de </w:t>
            </w:r>
            <w:r w:rsidR="00031728" w:rsidRPr="000D5771">
              <w:rPr>
                <w:sz w:val="20"/>
                <w:szCs w:val="16"/>
              </w:rPr>
              <w:t xml:space="preserve">résolution </w:t>
            </w:r>
            <w:r w:rsidR="00360730" w:rsidRPr="000D5771">
              <w:rPr>
                <w:sz w:val="20"/>
                <w:szCs w:val="16"/>
              </w:rPr>
              <w:t>associé</w:t>
            </w:r>
            <w:r w:rsidR="00EB48AB" w:rsidRPr="000D5771">
              <w:rPr>
                <w:sz w:val="20"/>
                <w:szCs w:val="16"/>
              </w:rPr>
              <w:t xml:space="preserve"> à la Méthode C3</w:t>
            </w:r>
            <w:r w:rsidR="00B94030" w:rsidRPr="000D5771">
              <w:rPr>
                <w:sz w:val="20"/>
                <w:szCs w:val="16"/>
              </w:rPr>
              <w:t>.</w:t>
            </w:r>
          </w:p>
          <w:p w14:paraId="00F1DD0F" w14:textId="6B922DB8" w:rsidR="007006C5" w:rsidRPr="000D5771" w:rsidRDefault="007006C5" w:rsidP="005A21B6">
            <w:pPr>
              <w:pStyle w:val="TableText0"/>
              <w:rPr>
                <w:sz w:val="20"/>
                <w:szCs w:val="20"/>
                <w:lang w:val="fr-FR"/>
              </w:rPr>
            </w:pPr>
            <w:r w:rsidRPr="000D5771">
              <w:rPr>
                <w:rFonts w:eastAsia="Calibri"/>
                <w:b/>
                <w:sz w:val="20"/>
                <w:szCs w:val="20"/>
                <w:lang w:val="fr-FR"/>
              </w:rPr>
              <w:t>Bande de fréquences 2</w:t>
            </w:r>
            <w:r w:rsidR="00E6704A" w:rsidRPr="000D5771">
              <w:rPr>
                <w:rFonts w:eastAsia="Calibri"/>
                <w:b/>
                <w:sz w:val="20"/>
                <w:szCs w:val="20"/>
                <w:lang w:val="fr-FR"/>
              </w:rPr>
              <w:t xml:space="preserve"> </w:t>
            </w:r>
            <w:r w:rsidRPr="000D5771">
              <w:rPr>
                <w:rFonts w:eastAsia="Calibri"/>
                <w:b/>
                <w:sz w:val="20"/>
                <w:szCs w:val="20"/>
                <w:lang w:val="fr-FR"/>
              </w:rPr>
              <w:t>500</w:t>
            </w:r>
            <w:r w:rsidRPr="000D5771">
              <w:rPr>
                <w:rFonts w:eastAsia="Calibri"/>
                <w:b/>
                <w:sz w:val="20"/>
                <w:szCs w:val="20"/>
                <w:lang w:val="fr-FR"/>
              </w:rPr>
              <w:noBreakHyphen/>
              <w:t>2</w:t>
            </w:r>
            <w:r w:rsidR="00E6704A" w:rsidRPr="000D5771">
              <w:rPr>
                <w:rFonts w:eastAsia="Calibri"/>
                <w:b/>
                <w:sz w:val="20"/>
                <w:szCs w:val="20"/>
                <w:lang w:val="fr-FR"/>
              </w:rPr>
              <w:t xml:space="preserve"> </w:t>
            </w:r>
            <w:r w:rsidRPr="000D5771">
              <w:rPr>
                <w:rFonts w:eastAsia="Calibri"/>
                <w:b/>
                <w:sz w:val="20"/>
                <w:szCs w:val="20"/>
                <w:lang w:val="fr-FR"/>
              </w:rPr>
              <w:t>690</w:t>
            </w:r>
            <w:r w:rsidR="00E6704A" w:rsidRPr="000D5771">
              <w:rPr>
                <w:rFonts w:eastAsia="Calibri"/>
                <w:b/>
                <w:sz w:val="20"/>
                <w:szCs w:val="20"/>
                <w:lang w:val="fr-FR"/>
              </w:rPr>
              <w:t xml:space="preserve"> </w:t>
            </w:r>
            <w:r w:rsidRPr="000D5771">
              <w:rPr>
                <w:rFonts w:eastAsia="Calibri"/>
                <w:b/>
                <w:sz w:val="20"/>
                <w:szCs w:val="20"/>
                <w:lang w:val="fr-FR"/>
              </w:rPr>
              <w:t>MHz</w:t>
            </w:r>
            <w:r w:rsidR="002B7DC9" w:rsidRPr="000D5771">
              <w:rPr>
                <w:rFonts w:eastAsia="Calibri"/>
                <w:bCs/>
                <w:sz w:val="20"/>
                <w:szCs w:val="20"/>
                <w:lang w:val="fr-FR"/>
              </w:rPr>
              <w:t>:</w:t>
            </w:r>
          </w:p>
          <w:p w14:paraId="0E01CDB3" w14:textId="5334CE8B" w:rsidR="007006C5" w:rsidRPr="000D5771" w:rsidRDefault="007006C5" w:rsidP="005A21B6">
            <w:pPr>
              <w:pStyle w:val="enumlev1"/>
              <w:tabs>
                <w:tab w:val="clear" w:pos="1134"/>
                <w:tab w:val="left" w:pos="464"/>
              </w:tabs>
              <w:spacing w:before="40"/>
              <w:ind w:left="464" w:hanging="464"/>
              <w:rPr>
                <w:sz w:val="20"/>
                <w:szCs w:val="16"/>
              </w:rPr>
            </w:pPr>
            <w:r w:rsidRPr="000D5771">
              <w:rPr>
                <w:sz w:val="20"/>
                <w:szCs w:val="16"/>
              </w:rPr>
              <w:t>1</w:t>
            </w:r>
            <w:r w:rsidRPr="000D5771">
              <w:rPr>
                <w:sz w:val="20"/>
                <w:szCs w:val="16"/>
              </w:rPr>
              <w:tab/>
            </w:r>
            <w:r w:rsidR="002B7DC9" w:rsidRPr="000D5771">
              <w:rPr>
                <w:sz w:val="20"/>
                <w:szCs w:val="16"/>
              </w:rPr>
              <w:t>e</w:t>
            </w:r>
            <w:r w:rsidR="007B34B4" w:rsidRPr="000D5771">
              <w:rPr>
                <w:sz w:val="20"/>
                <w:szCs w:val="16"/>
              </w:rPr>
              <w:t>n ce qui concerne la protection des stations mobiles et des stations de base</w:t>
            </w:r>
            <w:r w:rsidR="00564728" w:rsidRPr="000D5771">
              <w:rPr>
                <w:sz w:val="20"/>
                <w:szCs w:val="16"/>
              </w:rPr>
              <w:t> </w:t>
            </w:r>
            <w:r w:rsidR="00360730" w:rsidRPr="000D5771">
              <w:rPr>
                <w:sz w:val="20"/>
                <w:szCs w:val="16"/>
              </w:rPr>
              <w:t>IMT</w:t>
            </w:r>
            <w:r w:rsidR="007B34B4" w:rsidRPr="000D5771">
              <w:rPr>
                <w:sz w:val="20"/>
                <w:szCs w:val="16"/>
              </w:rPr>
              <w:t xml:space="preserve">: </w:t>
            </w:r>
            <w:r w:rsidR="007B34B4" w:rsidRPr="000D5771">
              <w:rPr>
                <w:b/>
                <w:sz w:val="20"/>
                <w:szCs w:val="16"/>
              </w:rPr>
              <w:t xml:space="preserve">Exemple 1 pour les points 1.1 et 1.2 du </w:t>
            </w:r>
            <w:r w:rsidR="007B34B4" w:rsidRPr="000D5771">
              <w:rPr>
                <w:b/>
                <w:i/>
                <w:iCs/>
                <w:sz w:val="20"/>
                <w:szCs w:val="16"/>
              </w:rPr>
              <w:t>décide</w:t>
            </w:r>
            <w:r w:rsidR="007B34B4" w:rsidRPr="000D5771">
              <w:rPr>
                <w:sz w:val="20"/>
                <w:szCs w:val="16"/>
              </w:rPr>
              <w:t xml:space="preserve"> du projet de </w:t>
            </w:r>
            <w:r w:rsidR="00031728" w:rsidRPr="000D5771">
              <w:rPr>
                <w:sz w:val="20"/>
                <w:szCs w:val="16"/>
              </w:rPr>
              <w:t xml:space="preserve">résolution </w:t>
            </w:r>
            <w:r w:rsidR="00360730" w:rsidRPr="000D5771">
              <w:rPr>
                <w:sz w:val="20"/>
                <w:szCs w:val="16"/>
              </w:rPr>
              <w:t>associé</w:t>
            </w:r>
            <w:r w:rsidR="007B34B4" w:rsidRPr="000D5771">
              <w:rPr>
                <w:sz w:val="20"/>
                <w:szCs w:val="16"/>
              </w:rPr>
              <w:t xml:space="preserve"> à la Méthode D3</w:t>
            </w:r>
            <w:r w:rsidR="00B94030" w:rsidRPr="000D5771">
              <w:rPr>
                <w:sz w:val="20"/>
                <w:szCs w:val="16"/>
              </w:rPr>
              <w:t>;</w:t>
            </w:r>
          </w:p>
          <w:p w14:paraId="46DC76D5" w14:textId="690B6F0E" w:rsidR="007006C5" w:rsidRPr="000D5771" w:rsidRDefault="007006C5" w:rsidP="005A21B6">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002B7DC9" w:rsidRPr="000D5771">
              <w:rPr>
                <w:sz w:val="20"/>
                <w:szCs w:val="16"/>
              </w:rPr>
              <w:t>e</w:t>
            </w:r>
            <w:r w:rsidR="007B34B4" w:rsidRPr="000D5771">
              <w:rPr>
                <w:sz w:val="20"/>
                <w:szCs w:val="16"/>
              </w:rPr>
              <w:t xml:space="preserve">n ce qui concerne la protection des stations du service fixe: </w:t>
            </w:r>
            <w:r w:rsidR="007B34B4" w:rsidRPr="000D5771">
              <w:rPr>
                <w:b/>
                <w:sz w:val="20"/>
                <w:szCs w:val="16"/>
              </w:rPr>
              <w:t>Exemple</w:t>
            </w:r>
            <w:r w:rsidR="00E6704A" w:rsidRPr="000D5771">
              <w:rPr>
                <w:b/>
                <w:sz w:val="20"/>
                <w:szCs w:val="16"/>
              </w:rPr>
              <w:t> </w:t>
            </w:r>
            <w:r w:rsidR="007B34B4" w:rsidRPr="000D5771">
              <w:rPr>
                <w:b/>
                <w:sz w:val="20"/>
                <w:szCs w:val="16"/>
              </w:rPr>
              <w:t xml:space="preserve">1 pour le point 1.3 du </w:t>
            </w:r>
            <w:r w:rsidR="007B34B4" w:rsidRPr="000D5771">
              <w:rPr>
                <w:b/>
                <w:i/>
                <w:iCs/>
                <w:sz w:val="20"/>
                <w:szCs w:val="16"/>
              </w:rPr>
              <w:t>décide</w:t>
            </w:r>
            <w:r w:rsidR="007B34B4" w:rsidRPr="000D5771">
              <w:rPr>
                <w:sz w:val="20"/>
                <w:szCs w:val="16"/>
              </w:rPr>
              <w:t xml:space="preserve"> du projet de </w:t>
            </w:r>
            <w:r w:rsidR="00031728" w:rsidRPr="000D5771">
              <w:rPr>
                <w:sz w:val="20"/>
                <w:szCs w:val="16"/>
              </w:rPr>
              <w:t xml:space="preserve">résolution </w:t>
            </w:r>
            <w:r w:rsidR="00360730" w:rsidRPr="000D5771">
              <w:rPr>
                <w:sz w:val="20"/>
                <w:szCs w:val="16"/>
              </w:rPr>
              <w:t>associé</w:t>
            </w:r>
            <w:r w:rsidR="007B34B4" w:rsidRPr="000D5771">
              <w:rPr>
                <w:sz w:val="20"/>
                <w:szCs w:val="16"/>
              </w:rPr>
              <w:t xml:space="preserve"> à la Méthode</w:t>
            </w:r>
            <w:r w:rsidR="00E6704A" w:rsidRPr="000D5771">
              <w:rPr>
                <w:sz w:val="20"/>
                <w:szCs w:val="16"/>
              </w:rPr>
              <w:t> </w:t>
            </w:r>
            <w:r w:rsidR="007B34B4" w:rsidRPr="000D5771">
              <w:rPr>
                <w:sz w:val="20"/>
                <w:szCs w:val="16"/>
              </w:rPr>
              <w:t>D3</w:t>
            </w:r>
            <w:r w:rsidR="00B94030" w:rsidRPr="000D5771">
              <w:rPr>
                <w:sz w:val="20"/>
                <w:szCs w:val="16"/>
              </w:rPr>
              <w:t>;</w:t>
            </w:r>
          </w:p>
          <w:p w14:paraId="09810F6C" w14:textId="7A269729" w:rsidR="003C356C" w:rsidRPr="000D5771" w:rsidRDefault="003C356C" w:rsidP="005A21B6">
            <w:pPr>
              <w:pStyle w:val="enumlev1"/>
              <w:tabs>
                <w:tab w:val="clear" w:pos="1134"/>
                <w:tab w:val="left" w:pos="464"/>
              </w:tabs>
              <w:spacing w:before="40"/>
              <w:ind w:left="464" w:hanging="464"/>
              <w:rPr>
                <w:sz w:val="20"/>
                <w:szCs w:val="16"/>
              </w:rPr>
            </w:pPr>
            <w:r w:rsidRPr="000D5771">
              <w:rPr>
                <w:sz w:val="20"/>
                <w:szCs w:val="16"/>
              </w:rPr>
              <w:t>3</w:t>
            </w:r>
            <w:r w:rsidRPr="000D5771">
              <w:rPr>
                <w:sz w:val="20"/>
                <w:szCs w:val="16"/>
              </w:rPr>
              <w:tab/>
            </w:r>
            <w:r w:rsidR="002B7DC9" w:rsidRPr="000D5771">
              <w:rPr>
                <w:sz w:val="20"/>
                <w:szCs w:val="16"/>
              </w:rPr>
              <w:t>e</w:t>
            </w:r>
            <w:r w:rsidR="007B34B4" w:rsidRPr="000D5771">
              <w:rPr>
                <w:sz w:val="20"/>
                <w:szCs w:val="16"/>
              </w:rPr>
              <w:t xml:space="preserve">n ce qui concerne la protection du service de radiodiffusion par satellite: </w:t>
            </w:r>
            <w:r w:rsidR="007B34B4" w:rsidRPr="000D5771">
              <w:rPr>
                <w:b/>
                <w:sz w:val="20"/>
                <w:szCs w:val="16"/>
              </w:rPr>
              <w:t xml:space="preserve">Exemple 2 pour le point 1.4 du </w:t>
            </w:r>
            <w:r w:rsidR="007B34B4" w:rsidRPr="000D5771">
              <w:rPr>
                <w:b/>
                <w:i/>
                <w:iCs/>
                <w:sz w:val="20"/>
                <w:szCs w:val="16"/>
              </w:rPr>
              <w:t>décide</w:t>
            </w:r>
            <w:r w:rsidR="007B34B4" w:rsidRPr="000D5771">
              <w:rPr>
                <w:sz w:val="20"/>
                <w:szCs w:val="16"/>
              </w:rPr>
              <w:t xml:space="preserve"> du projet de </w:t>
            </w:r>
            <w:r w:rsidR="00031728" w:rsidRPr="000D5771">
              <w:rPr>
                <w:sz w:val="20"/>
                <w:szCs w:val="16"/>
              </w:rPr>
              <w:t xml:space="preserve">résolution </w:t>
            </w:r>
            <w:r w:rsidR="00360730" w:rsidRPr="000D5771">
              <w:rPr>
                <w:sz w:val="20"/>
                <w:szCs w:val="16"/>
              </w:rPr>
              <w:t>associé</w:t>
            </w:r>
            <w:r w:rsidR="007B34B4" w:rsidRPr="000D5771">
              <w:rPr>
                <w:sz w:val="20"/>
                <w:szCs w:val="16"/>
              </w:rPr>
              <w:t xml:space="preserve"> à la Méthode D3</w:t>
            </w:r>
            <w:r w:rsidR="00B94030" w:rsidRPr="000D5771">
              <w:rPr>
                <w:sz w:val="20"/>
                <w:szCs w:val="16"/>
              </w:rPr>
              <w:t>;</w:t>
            </w:r>
          </w:p>
          <w:p w14:paraId="6FEA5835" w14:textId="55371D10" w:rsidR="003C356C" w:rsidRPr="000D5771" w:rsidRDefault="003C356C" w:rsidP="005A21B6">
            <w:pPr>
              <w:pStyle w:val="enumlev1"/>
              <w:tabs>
                <w:tab w:val="clear" w:pos="1134"/>
                <w:tab w:val="left" w:pos="464"/>
              </w:tabs>
              <w:spacing w:before="40"/>
              <w:ind w:left="464" w:hanging="464"/>
              <w:rPr>
                <w:sz w:val="20"/>
                <w:szCs w:val="16"/>
              </w:rPr>
            </w:pPr>
            <w:r w:rsidRPr="000D5771">
              <w:rPr>
                <w:sz w:val="20"/>
                <w:szCs w:val="16"/>
              </w:rPr>
              <w:t>4</w:t>
            </w:r>
            <w:r w:rsidRPr="000D5771">
              <w:rPr>
                <w:sz w:val="20"/>
                <w:szCs w:val="16"/>
              </w:rPr>
              <w:tab/>
            </w:r>
            <w:r w:rsidR="002B7DC9" w:rsidRPr="000D5771">
              <w:rPr>
                <w:sz w:val="20"/>
                <w:szCs w:val="16"/>
              </w:rPr>
              <w:t>e</w:t>
            </w:r>
            <w:r w:rsidR="00B12843" w:rsidRPr="000D5771">
              <w:rPr>
                <w:sz w:val="20"/>
                <w:szCs w:val="16"/>
              </w:rPr>
              <w:t xml:space="preserve">n ce qui concerne la protection du service de radiolocalisation: </w:t>
            </w:r>
            <w:r w:rsidR="00B12843" w:rsidRPr="000D5771">
              <w:rPr>
                <w:b/>
                <w:sz w:val="20"/>
                <w:szCs w:val="16"/>
              </w:rPr>
              <w:t xml:space="preserve">Exemple 1 pour le point 1.6 du </w:t>
            </w:r>
            <w:r w:rsidR="00B12843" w:rsidRPr="000D5771">
              <w:rPr>
                <w:b/>
                <w:i/>
                <w:iCs/>
                <w:sz w:val="20"/>
                <w:szCs w:val="16"/>
              </w:rPr>
              <w:t>décide</w:t>
            </w:r>
            <w:r w:rsidR="00B12843" w:rsidRPr="000D5771">
              <w:rPr>
                <w:sz w:val="20"/>
                <w:szCs w:val="16"/>
              </w:rPr>
              <w:t xml:space="preserve"> du projet de </w:t>
            </w:r>
            <w:r w:rsidR="00031728" w:rsidRPr="000D5771">
              <w:rPr>
                <w:sz w:val="20"/>
                <w:szCs w:val="16"/>
              </w:rPr>
              <w:t xml:space="preserve">résolution </w:t>
            </w:r>
            <w:r w:rsidR="00360730" w:rsidRPr="000D5771">
              <w:rPr>
                <w:sz w:val="20"/>
                <w:szCs w:val="16"/>
              </w:rPr>
              <w:t>associé</w:t>
            </w:r>
            <w:r w:rsidR="00B12843" w:rsidRPr="000D5771">
              <w:rPr>
                <w:sz w:val="20"/>
                <w:szCs w:val="16"/>
              </w:rPr>
              <w:t xml:space="preserve"> à la Méthode D3</w:t>
            </w:r>
            <w:r w:rsidR="00B94030" w:rsidRPr="000D5771">
              <w:rPr>
                <w:sz w:val="20"/>
                <w:szCs w:val="16"/>
              </w:rPr>
              <w:t>;</w:t>
            </w:r>
          </w:p>
          <w:p w14:paraId="119A761D" w14:textId="11C371CB" w:rsidR="003C356C" w:rsidRPr="000D5771" w:rsidRDefault="003C356C" w:rsidP="005A21B6">
            <w:pPr>
              <w:pStyle w:val="enumlev1"/>
              <w:tabs>
                <w:tab w:val="clear" w:pos="1134"/>
                <w:tab w:val="left" w:pos="464"/>
              </w:tabs>
              <w:spacing w:before="40"/>
              <w:ind w:left="464" w:hanging="464"/>
              <w:rPr>
                <w:sz w:val="20"/>
                <w:szCs w:val="16"/>
              </w:rPr>
            </w:pPr>
            <w:r w:rsidRPr="000D5771">
              <w:rPr>
                <w:sz w:val="20"/>
                <w:szCs w:val="16"/>
              </w:rPr>
              <w:t>5</w:t>
            </w:r>
            <w:r w:rsidRPr="000D5771">
              <w:rPr>
                <w:sz w:val="20"/>
                <w:szCs w:val="16"/>
              </w:rPr>
              <w:tab/>
            </w:r>
            <w:r w:rsidR="002B7DC9" w:rsidRPr="000D5771">
              <w:rPr>
                <w:sz w:val="20"/>
                <w:szCs w:val="16"/>
              </w:rPr>
              <w:t>e</w:t>
            </w:r>
            <w:r w:rsidR="00B12843" w:rsidRPr="000D5771">
              <w:rPr>
                <w:sz w:val="20"/>
                <w:szCs w:val="16"/>
              </w:rPr>
              <w:t xml:space="preserve">n ce qui concerne la protection du service mobile par satellite: </w:t>
            </w:r>
            <w:r w:rsidR="00B12843" w:rsidRPr="000D5771">
              <w:rPr>
                <w:b/>
                <w:sz w:val="20"/>
                <w:szCs w:val="16"/>
              </w:rPr>
              <w:t xml:space="preserve">Exemple 2 pour le point 1.9 du </w:t>
            </w:r>
            <w:r w:rsidR="00B12843" w:rsidRPr="000D5771">
              <w:rPr>
                <w:b/>
                <w:i/>
                <w:iCs/>
                <w:sz w:val="20"/>
                <w:szCs w:val="16"/>
              </w:rPr>
              <w:t>décide</w:t>
            </w:r>
            <w:r w:rsidR="00B12843" w:rsidRPr="000D5771">
              <w:rPr>
                <w:sz w:val="20"/>
                <w:szCs w:val="16"/>
              </w:rPr>
              <w:t xml:space="preserve"> du projet de </w:t>
            </w:r>
            <w:r w:rsidR="00031728" w:rsidRPr="000D5771">
              <w:rPr>
                <w:sz w:val="20"/>
                <w:szCs w:val="16"/>
              </w:rPr>
              <w:t xml:space="preserve">résolution </w:t>
            </w:r>
            <w:r w:rsidR="00360730" w:rsidRPr="000D5771">
              <w:rPr>
                <w:sz w:val="20"/>
                <w:szCs w:val="16"/>
              </w:rPr>
              <w:t>associé</w:t>
            </w:r>
            <w:r w:rsidR="00B12843" w:rsidRPr="000D5771">
              <w:rPr>
                <w:sz w:val="20"/>
                <w:szCs w:val="16"/>
              </w:rPr>
              <w:t xml:space="preserve"> à la Méthode D3</w:t>
            </w:r>
            <w:r w:rsidR="00564728" w:rsidRPr="000D5771">
              <w:rPr>
                <w:sz w:val="20"/>
                <w:szCs w:val="16"/>
              </w:rPr>
              <w:t>.</w:t>
            </w:r>
          </w:p>
          <w:p w14:paraId="327996E9" w14:textId="65D23AEC" w:rsidR="00E6704A" w:rsidRPr="000D5771" w:rsidRDefault="00564728" w:rsidP="005A21B6">
            <w:pPr>
              <w:pStyle w:val="enumlev1"/>
              <w:tabs>
                <w:tab w:val="clear" w:pos="1134"/>
                <w:tab w:val="left" w:pos="464"/>
              </w:tabs>
              <w:spacing w:before="40"/>
              <w:ind w:left="464" w:hanging="464"/>
              <w:rPr>
                <w:sz w:val="20"/>
                <w:szCs w:val="16"/>
              </w:rPr>
            </w:pPr>
            <w:r w:rsidRPr="000D5771">
              <w:rPr>
                <w:sz w:val="20"/>
                <w:szCs w:val="16"/>
              </w:rPr>
              <w:t>[</w:t>
            </w:r>
            <w:r w:rsidR="003C356C" w:rsidRPr="000D5771">
              <w:rPr>
                <w:sz w:val="20"/>
                <w:szCs w:val="16"/>
              </w:rPr>
              <w:t>6</w:t>
            </w:r>
            <w:r w:rsidR="003C356C" w:rsidRPr="000D5771">
              <w:rPr>
                <w:sz w:val="20"/>
                <w:szCs w:val="16"/>
              </w:rPr>
              <w:tab/>
            </w:r>
            <w:r w:rsidR="00A140A5" w:rsidRPr="000D5771">
              <w:rPr>
                <w:sz w:val="20"/>
                <w:szCs w:val="16"/>
              </w:rPr>
              <w:t>e</w:t>
            </w:r>
            <w:r w:rsidR="00B12843" w:rsidRPr="000D5771">
              <w:rPr>
                <w:sz w:val="20"/>
                <w:szCs w:val="16"/>
              </w:rPr>
              <w:t xml:space="preserve">n ce qui concerne la protection du service de radioastronomie: </w:t>
            </w:r>
            <w:r w:rsidR="00B12843" w:rsidRPr="000D5771">
              <w:rPr>
                <w:b/>
                <w:sz w:val="20"/>
                <w:szCs w:val="16"/>
              </w:rPr>
              <w:t>Exemple</w:t>
            </w:r>
            <w:r w:rsidR="00E6704A" w:rsidRPr="000D5771">
              <w:rPr>
                <w:b/>
                <w:sz w:val="20"/>
                <w:szCs w:val="16"/>
              </w:rPr>
              <w:t> </w:t>
            </w:r>
            <w:r w:rsidR="00B12843" w:rsidRPr="000D5771">
              <w:rPr>
                <w:b/>
                <w:sz w:val="20"/>
                <w:szCs w:val="16"/>
              </w:rPr>
              <w:t xml:space="preserve">1 </w:t>
            </w:r>
            <w:r w:rsidR="00360730" w:rsidRPr="000D5771">
              <w:rPr>
                <w:b/>
                <w:sz w:val="20"/>
                <w:szCs w:val="16"/>
              </w:rPr>
              <w:t>pour les</w:t>
            </w:r>
            <w:r w:rsidR="00B12843" w:rsidRPr="000D5771">
              <w:rPr>
                <w:b/>
                <w:sz w:val="20"/>
                <w:szCs w:val="16"/>
              </w:rPr>
              <w:t xml:space="preserve"> points 1.7 et 1.8 du </w:t>
            </w:r>
            <w:r w:rsidR="00B12843" w:rsidRPr="000D5771">
              <w:rPr>
                <w:b/>
                <w:i/>
                <w:iCs/>
                <w:sz w:val="20"/>
                <w:szCs w:val="16"/>
              </w:rPr>
              <w:t>décide</w:t>
            </w:r>
            <w:r w:rsidRPr="000D5771">
              <w:rPr>
                <w:bCs/>
                <w:i/>
                <w:iCs/>
                <w:sz w:val="20"/>
                <w:szCs w:val="16"/>
              </w:rPr>
              <w:t>.</w:t>
            </w:r>
            <w:r w:rsidR="00B12843" w:rsidRPr="000D5771">
              <w:rPr>
                <w:sz w:val="20"/>
                <w:szCs w:val="16"/>
              </w:rPr>
              <w:t>]</w:t>
            </w:r>
          </w:p>
          <w:p w14:paraId="34780F75" w14:textId="47941EC1" w:rsidR="003C356C" w:rsidRPr="000D5771" w:rsidRDefault="003C356C" w:rsidP="005A21B6">
            <w:pPr>
              <w:pStyle w:val="TableText0"/>
              <w:keepNext/>
              <w:spacing w:before="120"/>
              <w:rPr>
                <w:i/>
                <w:iCs/>
                <w:sz w:val="20"/>
                <w:szCs w:val="20"/>
                <w:u w:val="single"/>
                <w:lang w:val="fr-FR"/>
              </w:rPr>
            </w:pPr>
            <w:r w:rsidRPr="000D5771">
              <w:rPr>
                <w:i/>
                <w:iCs/>
                <w:sz w:val="20"/>
                <w:szCs w:val="20"/>
                <w:u w:val="single"/>
                <w:lang w:val="fr-FR"/>
              </w:rPr>
              <w:t>Partie 2:</w:t>
            </w:r>
            <w:r w:rsidR="00B12843" w:rsidRPr="000D5771">
              <w:rPr>
                <w:i/>
                <w:iCs/>
                <w:sz w:val="20"/>
                <w:szCs w:val="20"/>
                <w:u w:val="single"/>
                <w:lang w:val="fr-FR"/>
              </w:rPr>
              <w:t xml:space="preserve"> Marche à suivre</w:t>
            </w:r>
          </w:p>
          <w:p w14:paraId="41F307AB" w14:textId="5D4B3934" w:rsidR="00B12843" w:rsidRPr="000D5771" w:rsidRDefault="00B12843" w:rsidP="005A21B6">
            <w:pPr>
              <w:pStyle w:val="TableText0"/>
              <w:spacing w:before="120"/>
              <w:rPr>
                <w:b/>
                <w:i/>
                <w:sz w:val="20"/>
                <w:szCs w:val="20"/>
                <w:lang w:val="fr-FR"/>
              </w:rPr>
            </w:pPr>
            <w:r w:rsidRPr="000D5771">
              <w:rPr>
                <w:b/>
                <w:i/>
                <w:sz w:val="20"/>
                <w:szCs w:val="20"/>
                <w:lang w:val="fr-FR"/>
              </w:rPr>
              <w:t xml:space="preserve">Demander aux administrations des </w:t>
            </w:r>
            <w:r w:rsidR="00893412" w:rsidRPr="000D5771">
              <w:rPr>
                <w:b/>
                <w:i/>
                <w:sz w:val="20"/>
                <w:szCs w:val="20"/>
                <w:lang w:val="fr-FR"/>
              </w:rPr>
              <w:t>pays membres de l'UAT</w:t>
            </w:r>
            <w:r w:rsidRPr="000D5771">
              <w:rPr>
                <w:b/>
                <w:iCs/>
                <w:sz w:val="20"/>
                <w:szCs w:val="20"/>
                <w:lang w:val="fr-FR"/>
              </w:rPr>
              <w:t>:</w:t>
            </w:r>
          </w:p>
          <w:p w14:paraId="166687AE" w14:textId="2687AC74" w:rsidR="003C356C" w:rsidRPr="000D5771" w:rsidRDefault="002B7DC9" w:rsidP="006316B9">
            <w:pPr>
              <w:pStyle w:val="TableText0"/>
              <w:rPr>
                <w:sz w:val="20"/>
                <w:szCs w:val="20"/>
                <w:lang w:val="fr-FR"/>
              </w:rPr>
            </w:pPr>
            <w:r w:rsidRPr="000D5771">
              <w:rPr>
                <w:sz w:val="20"/>
                <w:szCs w:val="20"/>
                <w:lang w:val="fr-FR"/>
              </w:rPr>
              <w:t>d</w:t>
            </w:r>
            <w:r w:rsidR="00B12843" w:rsidRPr="000D5771">
              <w:rPr>
                <w:sz w:val="20"/>
                <w:szCs w:val="20"/>
                <w:lang w:val="fr-FR"/>
              </w:rPr>
              <w:t>'</w:t>
            </w:r>
            <w:r w:rsidR="00B12843" w:rsidRPr="000D5771">
              <w:rPr>
                <w:b/>
                <w:sz w:val="20"/>
                <w:szCs w:val="20"/>
                <w:lang w:val="fr-FR"/>
              </w:rPr>
              <w:t>appuyer</w:t>
            </w:r>
            <w:r w:rsidR="00B12843" w:rsidRPr="000D5771">
              <w:rPr>
                <w:sz w:val="20"/>
                <w:szCs w:val="20"/>
                <w:lang w:val="fr-FR"/>
              </w:rPr>
              <w:t xml:space="preserve"> la proposition africaine commune au titre de ce point de l'ordre du jour.</w:t>
            </w:r>
          </w:p>
        </w:tc>
      </w:tr>
      <w:tr w:rsidR="00613B30" w:rsidRPr="000D5771" w14:paraId="79D251E5" w14:textId="77777777" w:rsidTr="000D5771">
        <w:trPr>
          <w:cantSplit/>
        </w:trPr>
        <w:tc>
          <w:tcPr>
            <w:tcW w:w="2972" w:type="dxa"/>
            <w:tcBorders>
              <w:top w:val="single" w:sz="4" w:space="0" w:color="auto"/>
              <w:left w:val="single" w:sz="4" w:space="0" w:color="auto"/>
              <w:bottom w:val="single" w:sz="6" w:space="0" w:color="auto"/>
            </w:tcBorders>
          </w:tcPr>
          <w:p w14:paraId="089C0571" w14:textId="41A4E8E5" w:rsidR="00B94030" w:rsidRPr="000D5771" w:rsidRDefault="00613B30" w:rsidP="005A21B6">
            <w:pPr>
              <w:pStyle w:val="TableText0"/>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379"/>
              </w:tabs>
              <w:spacing w:before="120"/>
              <w:rPr>
                <w:rFonts w:eastAsia="Calibri"/>
                <w:b/>
                <w:iCs/>
                <w:sz w:val="20"/>
                <w:szCs w:val="20"/>
                <w:lang w:val="fr-FR"/>
              </w:rPr>
            </w:pPr>
            <w:bookmarkStart w:id="9" w:name="lt_pId097"/>
            <w:r w:rsidRPr="000D5771">
              <w:rPr>
                <w:rFonts w:eastAsia="Calibri"/>
                <w:b/>
                <w:iCs/>
                <w:sz w:val="20"/>
                <w:szCs w:val="20"/>
                <w:lang w:val="fr-FR"/>
              </w:rPr>
              <w:lastRenderedPageBreak/>
              <w:t>1.5</w:t>
            </w:r>
            <w:bookmarkEnd w:id="9"/>
          </w:p>
          <w:p w14:paraId="3B9275B0" w14:textId="6AFB46BB" w:rsidR="00613B30" w:rsidRPr="000D5771" w:rsidRDefault="00B009B8" w:rsidP="005A21B6">
            <w:pPr>
              <w:pStyle w:val="TableText0"/>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379"/>
              </w:tabs>
              <w:spacing w:before="120"/>
              <w:rPr>
                <w:sz w:val="20"/>
                <w:szCs w:val="20"/>
                <w:lang w:val="fr-FR"/>
              </w:rPr>
            </w:pPr>
            <w:r w:rsidRPr="000D5771">
              <w:rPr>
                <w:bCs/>
                <w:iCs/>
                <w:sz w:val="20"/>
                <w:szCs w:val="20"/>
                <w:lang w:val="fr-FR"/>
              </w:rPr>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0D5771">
              <w:rPr>
                <w:b/>
                <w:bCs/>
                <w:iCs/>
                <w:sz w:val="20"/>
                <w:szCs w:val="20"/>
                <w:lang w:val="fr-FR"/>
              </w:rPr>
              <w:t>235 (CMR-15)</w:t>
            </w:r>
          </w:p>
        </w:tc>
        <w:tc>
          <w:tcPr>
            <w:tcW w:w="7174" w:type="dxa"/>
            <w:tcBorders>
              <w:top w:val="single" w:sz="4" w:space="0" w:color="auto"/>
              <w:bottom w:val="single" w:sz="4" w:space="0" w:color="auto"/>
              <w:right w:val="single" w:sz="4" w:space="0" w:color="auto"/>
            </w:tcBorders>
          </w:tcPr>
          <w:p w14:paraId="545EA3BE" w14:textId="186CA968" w:rsidR="00613B30" w:rsidRPr="000D5771" w:rsidRDefault="00B94030" w:rsidP="005A21B6">
            <w:pPr>
              <w:pStyle w:val="TableText0"/>
              <w:spacing w:before="120"/>
              <w:rPr>
                <w:i/>
                <w:iCs/>
                <w:sz w:val="20"/>
                <w:szCs w:val="20"/>
                <w:u w:val="single"/>
                <w:lang w:val="fr-FR"/>
              </w:rPr>
            </w:pPr>
            <w:r w:rsidRPr="000D5771">
              <w:rPr>
                <w:i/>
                <w:iCs/>
                <w:sz w:val="20"/>
                <w:szCs w:val="20"/>
                <w:u w:val="single"/>
                <w:lang w:val="fr-FR"/>
              </w:rPr>
              <w:t>Partie 1:</w:t>
            </w:r>
            <w:r w:rsidR="005408F2" w:rsidRPr="000D5771">
              <w:rPr>
                <w:i/>
                <w:iCs/>
                <w:sz w:val="20"/>
                <w:szCs w:val="20"/>
                <w:u w:val="single"/>
                <w:lang w:val="fr-FR"/>
              </w:rPr>
              <w:t xml:space="preserve"> Proposition commune</w:t>
            </w:r>
          </w:p>
          <w:p w14:paraId="53EFD824" w14:textId="3E58A8B9" w:rsidR="00B94030" w:rsidRPr="000D5771" w:rsidRDefault="00B94030" w:rsidP="005A21B6">
            <w:pPr>
              <w:pStyle w:val="enumlev1"/>
              <w:tabs>
                <w:tab w:val="clear" w:pos="1134"/>
                <w:tab w:val="left" w:pos="464"/>
              </w:tabs>
              <w:spacing w:before="120"/>
              <w:ind w:left="464" w:hanging="464"/>
              <w:rPr>
                <w:sz w:val="20"/>
                <w:szCs w:val="16"/>
              </w:rPr>
            </w:pPr>
            <w:r w:rsidRPr="000D5771">
              <w:rPr>
                <w:sz w:val="20"/>
                <w:szCs w:val="16"/>
              </w:rPr>
              <w:t>1</w:t>
            </w:r>
            <w:r w:rsidRPr="000D5771">
              <w:rPr>
                <w:sz w:val="20"/>
                <w:szCs w:val="16"/>
              </w:rPr>
              <w:tab/>
            </w:r>
            <w:r w:rsidR="0012798A" w:rsidRPr="000D5771">
              <w:rPr>
                <w:b/>
                <w:sz w:val="20"/>
                <w:szCs w:val="16"/>
              </w:rPr>
              <w:t>A</w:t>
            </w:r>
            <w:r w:rsidR="005408F2" w:rsidRPr="000D5771">
              <w:rPr>
                <w:b/>
                <w:sz w:val="20"/>
                <w:szCs w:val="16"/>
              </w:rPr>
              <w:t>ppuyer</w:t>
            </w:r>
            <w:r w:rsidR="005408F2" w:rsidRPr="000D5771">
              <w:rPr>
                <w:sz w:val="20"/>
                <w:szCs w:val="16"/>
              </w:rPr>
              <w:t xml:space="preserve"> la Méthode A1 en tant que proposition africaine commune</w:t>
            </w:r>
            <w:r w:rsidR="0012798A" w:rsidRPr="000D5771">
              <w:rPr>
                <w:sz w:val="20"/>
                <w:szCs w:val="16"/>
              </w:rPr>
              <w:t>.</w:t>
            </w:r>
          </w:p>
          <w:p w14:paraId="43972161" w14:textId="4B53DA5B" w:rsidR="00B94030" w:rsidRPr="000D5771" w:rsidRDefault="00B94030" w:rsidP="005A21B6">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0012798A" w:rsidRPr="000D5771">
              <w:rPr>
                <w:b/>
                <w:sz w:val="20"/>
                <w:szCs w:val="16"/>
              </w:rPr>
              <w:t>P</w:t>
            </w:r>
            <w:r w:rsidR="005408F2" w:rsidRPr="000D5771">
              <w:rPr>
                <w:b/>
                <w:sz w:val="20"/>
                <w:szCs w:val="16"/>
              </w:rPr>
              <w:t>rendre note</w:t>
            </w:r>
            <w:r w:rsidR="005408F2" w:rsidRPr="000D5771">
              <w:rPr>
                <w:sz w:val="20"/>
                <w:szCs w:val="16"/>
              </w:rPr>
              <w:t xml:space="preserve"> des positions nationales </w:t>
            </w:r>
            <w:r w:rsidR="00B009B8" w:rsidRPr="000D5771">
              <w:rPr>
                <w:sz w:val="20"/>
                <w:szCs w:val="16"/>
              </w:rPr>
              <w:t>adoptées</w:t>
            </w:r>
            <w:r w:rsidR="005408F2" w:rsidRPr="000D5771">
              <w:rPr>
                <w:sz w:val="20"/>
                <w:szCs w:val="16"/>
              </w:rPr>
              <w:t xml:space="preserve"> par l'Égypte (Méthode</w:t>
            </w:r>
            <w:r w:rsidR="00564728" w:rsidRPr="000D5771">
              <w:rPr>
                <w:sz w:val="20"/>
                <w:szCs w:val="16"/>
              </w:rPr>
              <w:t xml:space="preserve"> </w:t>
            </w:r>
            <w:r w:rsidR="005408F2" w:rsidRPr="000D5771">
              <w:rPr>
                <w:sz w:val="20"/>
                <w:szCs w:val="16"/>
              </w:rPr>
              <w:t>C1), la Namibie (Méthode C1), le Nigéria (Méthode C1) et la Tanzanie (Méthode F2)</w:t>
            </w:r>
            <w:r w:rsidRPr="000D5771">
              <w:rPr>
                <w:sz w:val="20"/>
                <w:szCs w:val="16"/>
              </w:rPr>
              <w:t>.</w:t>
            </w:r>
          </w:p>
          <w:p w14:paraId="0DD34862" w14:textId="1BABC5B6" w:rsidR="00B94030" w:rsidRPr="000D5771" w:rsidRDefault="00B94030" w:rsidP="005A21B6">
            <w:pPr>
              <w:pStyle w:val="TableText0"/>
              <w:spacing w:before="120"/>
              <w:rPr>
                <w:i/>
                <w:iCs/>
                <w:sz w:val="20"/>
                <w:szCs w:val="20"/>
                <w:u w:val="single"/>
                <w:lang w:val="fr-FR"/>
              </w:rPr>
            </w:pPr>
            <w:r w:rsidRPr="000D5771">
              <w:rPr>
                <w:i/>
                <w:iCs/>
                <w:sz w:val="20"/>
                <w:szCs w:val="20"/>
                <w:u w:val="single"/>
                <w:lang w:val="fr-FR"/>
              </w:rPr>
              <w:t>Partie 2:</w:t>
            </w:r>
            <w:r w:rsidR="005408F2" w:rsidRPr="000D5771">
              <w:rPr>
                <w:i/>
                <w:iCs/>
                <w:sz w:val="20"/>
                <w:szCs w:val="20"/>
                <w:u w:val="single"/>
                <w:lang w:val="fr-FR"/>
              </w:rPr>
              <w:t xml:space="preserve"> Marche à suivre</w:t>
            </w:r>
          </w:p>
          <w:p w14:paraId="331FC328" w14:textId="2947B5D9" w:rsidR="005408F2" w:rsidRPr="000D5771" w:rsidRDefault="005408F2" w:rsidP="005A21B6">
            <w:pPr>
              <w:pStyle w:val="TableText0"/>
              <w:spacing w:before="120"/>
              <w:rPr>
                <w:b/>
                <w:i/>
                <w:sz w:val="20"/>
                <w:szCs w:val="20"/>
                <w:lang w:val="fr-FR"/>
              </w:rPr>
            </w:pPr>
            <w:r w:rsidRPr="000D5771">
              <w:rPr>
                <w:b/>
                <w:i/>
                <w:sz w:val="20"/>
                <w:szCs w:val="20"/>
                <w:lang w:val="fr-FR"/>
              </w:rPr>
              <w:t xml:space="preserve">Demander aux administrations des </w:t>
            </w:r>
            <w:r w:rsidR="00893412" w:rsidRPr="000D5771">
              <w:rPr>
                <w:b/>
                <w:i/>
                <w:sz w:val="20"/>
                <w:szCs w:val="20"/>
                <w:lang w:val="fr-FR"/>
              </w:rPr>
              <w:t>pays membres de l'UAT</w:t>
            </w:r>
            <w:r w:rsidRPr="000D5771">
              <w:rPr>
                <w:b/>
                <w:iCs/>
                <w:sz w:val="20"/>
                <w:szCs w:val="20"/>
                <w:lang w:val="fr-FR"/>
              </w:rPr>
              <w:t>:</w:t>
            </w:r>
          </w:p>
          <w:p w14:paraId="7CB9AA97" w14:textId="6747F410" w:rsidR="00B94030" w:rsidRPr="000D5771" w:rsidRDefault="002B7DC9" w:rsidP="006316B9">
            <w:pPr>
              <w:pStyle w:val="TableText0"/>
              <w:rPr>
                <w:sz w:val="20"/>
                <w:szCs w:val="20"/>
                <w:lang w:val="fr-FR"/>
              </w:rPr>
            </w:pPr>
            <w:r w:rsidRPr="000D5771">
              <w:rPr>
                <w:sz w:val="20"/>
                <w:szCs w:val="20"/>
                <w:lang w:val="fr-FR"/>
              </w:rPr>
              <w:t>d</w:t>
            </w:r>
            <w:r w:rsidR="005408F2" w:rsidRPr="000D5771">
              <w:rPr>
                <w:sz w:val="20"/>
                <w:szCs w:val="20"/>
                <w:lang w:val="fr-FR"/>
              </w:rPr>
              <w:t>'</w:t>
            </w:r>
            <w:r w:rsidR="005408F2" w:rsidRPr="000D5771">
              <w:rPr>
                <w:b/>
                <w:sz w:val="20"/>
                <w:szCs w:val="20"/>
                <w:lang w:val="fr-FR"/>
              </w:rPr>
              <w:t>appuyer</w:t>
            </w:r>
            <w:r w:rsidR="005408F2" w:rsidRPr="000D5771">
              <w:rPr>
                <w:sz w:val="20"/>
                <w:szCs w:val="20"/>
                <w:lang w:val="fr-FR"/>
              </w:rPr>
              <w:t xml:space="preserve"> la proposition africaine commune au titre de ce point de l'ordre du jour.</w:t>
            </w:r>
          </w:p>
        </w:tc>
      </w:tr>
      <w:tr w:rsidR="00613B30" w:rsidRPr="000D5771" w14:paraId="5755D81C" w14:textId="77777777" w:rsidTr="00913168">
        <w:tc>
          <w:tcPr>
            <w:tcW w:w="2972" w:type="dxa"/>
            <w:tcBorders>
              <w:top w:val="single" w:sz="6" w:space="0" w:color="auto"/>
              <w:left w:val="single" w:sz="4" w:space="0" w:color="auto"/>
              <w:bottom w:val="single" w:sz="6" w:space="0" w:color="auto"/>
            </w:tcBorders>
          </w:tcPr>
          <w:p w14:paraId="302BE95F" w14:textId="43E0029F" w:rsidR="00613B30" w:rsidRPr="000D5771" w:rsidRDefault="00613B30" w:rsidP="005A21B6">
            <w:pPr>
              <w:pStyle w:val="TableText0"/>
              <w:tabs>
                <w:tab w:val="clear" w:pos="284"/>
              </w:tabs>
              <w:spacing w:before="120"/>
              <w:rPr>
                <w:rFonts w:eastAsia="Calibri"/>
                <w:b/>
                <w:color w:val="000000"/>
                <w:sz w:val="20"/>
                <w:szCs w:val="20"/>
                <w:lang w:val="fr-FR"/>
              </w:rPr>
            </w:pPr>
            <w:r w:rsidRPr="000D5771">
              <w:rPr>
                <w:rFonts w:eastAsia="Calibri"/>
                <w:b/>
                <w:color w:val="000000"/>
                <w:sz w:val="20"/>
                <w:szCs w:val="20"/>
                <w:lang w:val="fr-FR"/>
              </w:rPr>
              <w:t>9.</w:t>
            </w:r>
            <w:r w:rsidR="00564728" w:rsidRPr="000D5771">
              <w:rPr>
                <w:rFonts w:eastAsia="Calibri"/>
                <w:b/>
                <w:color w:val="000000"/>
                <w:sz w:val="20"/>
                <w:szCs w:val="20"/>
                <w:lang w:val="fr-FR"/>
              </w:rPr>
              <w:t xml:space="preserve">1, </w:t>
            </w:r>
            <w:r w:rsidR="00DD06A6" w:rsidRPr="000D5771">
              <w:rPr>
                <w:rFonts w:eastAsia="Calibri"/>
                <w:b/>
                <w:color w:val="000000"/>
                <w:sz w:val="20"/>
                <w:szCs w:val="20"/>
                <w:lang w:val="fr-FR"/>
              </w:rPr>
              <w:t>Question C</w:t>
            </w:r>
          </w:p>
          <w:p w14:paraId="149CC5E4" w14:textId="722BB06F" w:rsidR="00B94030" w:rsidRPr="000D5771" w:rsidRDefault="00B94030" w:rsidP="005A21B6">
            <w:pPr>
              <w:pStyle w:val="TableText0"/>
              <w:spacing w:before="120"/>
              <w:rPr>
                <w:sz w:val="20"/>
                <w:szCs w:val="20"/>
                <w:lang w:val="fr-FR"/>
              </w:rPr>
            </w:pPr>
            <w:r w:rsidRPr="000D5771">
              <w:rPr>
                <w:sz w:val="20"/>
                <w:szCs w:val="20"/>
                <w:lang w:val="fr-FR"/>
              </w:rPr>
              <w:t>Étudier l'utilisation des systèmes de Télécommunications mobiles internationales pour le large bande hertzien fixe dans les bandes de fréquences attribuées au service fixe à titre primaire, conformément à la Résolution</w:t>
            </w:r>
            <w:r w:rsidR="00805B09" w:rsidRPr="000D5771">
              <w:rPr>
                <w:sz w:val="20"/>
                <w:szCs w:val="20"/>
                <w:lang w:val="fr-FR"/>
              </w:rPr>
              <w:t> </w:t>
            </w:r>
            <w:r w:rsidRPr="000D5771">
              <w:rPr>
                <w:b/>
                <w:bCs/>
                <w:sz w:val="20"/>
                <w:szCs w:val="20"/>
                <w:lang w:val="fr-FR"/>
              </w:rPr>
              <w:t>175 (CMR</w:t>
            </w:r>
            <w:r w:rsidRPr="000D5771">
              <w:rPr>
                <w:b/>
                <w:bCs/>
                <w:sz w:val="20"/>
                <w:szCs w:val="20"/>
                <w:lang w:val="fr-FR"/>
              </w:rPr>
              <w:noBreakHyphen/>
              <w:t>19)</w:t>
            </w:r>
          </w:p>
        </w:tc>
        <w:tc>
          <w:tcPr>
            <w:tcW w:w="7174" w:type="dxa"/>
            <w:tcBorders>
              <w:top w:val="single" w:sz="4" w:space="0" w:color="auto"/>
              <w:bottom w:val="single" w:sz="6" w:space="0" w:color="auto"/>
              <w:right w:val="single" w:sz="4" w:space="0" w:color="auto"/>
            </w:tcBorders>
          </w:tcPr>
          <w:p w14:paraId="352E7239" w14:textId="3E800E8C" w:rsidR="00613B30" w:rsidRPr="000D5771" w:rsidRDefault="00B94030" w:rsidP="005A21B6">
            <w:pPr>
              <w:pStyle w:val="TableText0"/>
              <w:spacing w:before="120"/>
              <w:rPr>
                <w:i/>
                <w:iCs/>
                <w:sz w:val="20"/>
                <w:szCs w:val="20"/>
                <w:u w:val="single"/>
                <w:lang w:val="fr-FR"/>
              </w:rPr>
            </w:pPr>
            <w:r w:rsidRPr="000D5771">
              <w:rPr>
                <w:i/>
                <w:iCs/>
                <w:sz w:val="20"/>
                <w:szCs w:val="20"/>
                <w:u w:val="single"/>
                <w:lang w:val="fr-FR"/>
              </w:rPr>
              <w:t>Partie 1:</w:t>
            </w:r>
            <w:r w:rsidR="00FC2285" w:rsidRPr="000D5771">
              <w:rPr>
                <w:i/>
                <w:iCs/>
                <w:sz w:val="20"/>
                <w:szCs w:val="20"/>
                <w:u w:val="single"/>
                <w:lang w:val="fr-FR"/>
              </w:rPr>
              <w:t xml:space="preserve"> Position commune</w:t>
            </w:r>
          </w:p>
          <w:p w14:paraId="06DD1002" w14:textId="31952C01" w:rsidR="00B94030" w:rsidRPr="000D5771" w:rsidRDefault="00B94030" w:rsidP="005A21B6">
            <w:pPr>
              <w:pStyle w:val="enumlev1"/>
              <w:tabs>
                <w:tab w:val="clear" w:pos="1134"/>
                <w:tab w:val="left" w:pos="464"/>
              </w:tabs>
              <w:spacing w:before="120"/>
              <w:ind w:left="464" w:hanging="464"/>
              <w:rPr>
                <w:sz w:val="20"/>
                <w:szCs w:val="16"/>
              </w:rPr>
            </w:pPr>
            <w:r w:rsidRPr="000D5771">
              <w:rPr>
                <w:sz w:val="20"/>
                <w:szCs w:val="16"/>
              </w:rPr>
              <w:t>1</w:t>
            </w:r>
            <w:r w:rsidRPr="000D5771">
              <w:rPr>
                <w:sz w:val="20"/>
                <w:szCs w:val="16"/>
              </w:rPr>
              <w:tab/>
            </w:r>
            <w:r w:rsidR="0012798A" w:rsidRPr="000D5771">
              <w:rPr>
                <w:b/>
                <w:sz w:val="20"/>
                <w:szCs w:val="16"/>
              </w:rPr>
              <w:t>A</w:t>
            </w:r>
            <w:r w:rsidR="00FC2285" w:rsidRPr="000D5771">
              <w:rPr>
                <w:b/>
                <w:sz w:val="20"/>
                <w:szCs w:val="16"/>
              </w:rPr>
              <w:t>ppuyer</w:t>
            </w:r>
            <w:r w:rsidR="00B009B8" w:rsidRPr="000D5771">
              <w:rPr>
                <w:sz w:val="20"/>
                <w:szCs w:val="16"/>
              </w:rPr>
              <w:t xml:space="preserve"> </w:t>
            </w:r>
            <w:r w:rsidR="00FC2285" w:rsidRPr="000D5771">
              <w:rPr>
                <w:sz w:val="20"/>
                <w:szCs w:val="16"/>
              </w:rPr>
              <w:t>la Méthode 2, Variante 2</w:t>
            </w:r>
            <w:r w:rsidR="0012798A" w:rsidRPr="000D5771">
              <w:rPr>
                <w:sz w:val="20"/>
                <w:szCs w:val="16"/>
              </w:rPr>
              <w:t>.</w:t>
            </w:r>
          </w:p>
          <w:p w14:paraId="537BAFCE" w14:textId="5B4A9E2E" w:rsidR="00B94030" w:rsidRPr="000D5771" w:rsidRDefault="00B94030" w:rsidP="005A21B6">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0012798A" w:rsidRPr="000D5771">
              <w:rPr>
                <w:b/>
                <w:sz w:val="20"/>
                <w:szCs w:val="16"/>
              </w:rPr>
              <w:t>D</w:t>
            </w:r>
            <w:r w:rsidR="00FC2285" w:rsidRPr="000D5771">
              <w:rPr>
                <w:b/>
                <w:sz w:val="20"/>
                <w:szCs w:val="16"/>
              </w:rPr>
              <w:t>écider</w:t>
            </w:r>
            <w:r w:rsidR="00FC2285" w:rsidRPr="000D5771">
              <w:rPr>
                <w:sz w:val="20"/>
                <w:szCs w:val="16"/>
              </w:rPr>
              <w:t xml:space="preserve"> qu'aucune nouvelle </w:t>
            </w:r>
            <w:r w:rsidR="0061141A" w:rsidRPr="000D5771">
              <w:rPr>
                <w:sz w:val="20"/>
                <w:szCs w:val="16"/>
              </w:rPr>
              <w:t xml:space="preserve">recommandation </w:t>
            </w:r>
            <w:r w:rsidR="00FC2285" w:rsidRPr="000D5771">
              <w:rPr>
                <w:sz w:val="20"/>
                <w:szCs w:val="16"/>
              </w:rPr>
              <w:t xml:space="preserve">ou qu'aucun nouveau </w:t>
            </w:r>
            <w:r w:rsidR="00D43129" w:rsidRPr="000D5771">
              <w:rPr>
                <w:sz w:val="20"/>
                <w:szCs w:val="16"/>
              </w:rPr>
              <w:t xml:space="preserve">rapport </w:t>
            </w:r>
            <w:r w:rsidR="00FC2285" w:rsidRPr="000D5771">
              <w:rPr>
                <w:sz w:val="20"/>
                <w:szCs w:val="16"/>
              </w:rPr>
              <w:t xml:space="preserve">ou </w:t>
            </w:r>
            <w:r w:rsidR="00D43129" w:rsidRPr="000D5771">
              <w:rPr>
                <w:sz w:val="20"/>
                <w:szCs w:val="16"/>
              </w:rPr>
              <w:t xml:space="preserve">manuel </w:t>
            </w:r>
            <w:r w:rsidR="00FC2285" w:rsidRPr="000D5771">
              <w:rPr>
                <w:sz w:val="20"/>
                <w:szCs w:val="16"/>
              </w:rPr>
              <w:t xml:space="preserve">de l'UIT-R ne </w:t>
            </w:r>
            <w:r w:rsidR="00D43129" w:rsidRPr="000D5771">
              <w:rPr>
                <w:sz w:val="20"/>
                <w:szCs w:val="16"/>
              </w:rPr>
              <w:t xml:space="preserve">devra </w:t>
            </w:r>
            <w:r w:rsidR="00FC2285" w:rsidRPr="000D5771">
              <w:rPr>
                <w:sz w:val="20"/>
                <w:szCs w:val="16"/>
              </w:rPr>
              <w:t xml:space="preserve">être élaboré tant que les modifications apportées aux </w:t>
            </w:r>
            <w:r w:rsidR="00805B09" w:rsidRPr="000D5771">
              <w:rPr>
                <w:sz w:val="20"/>
                <w:szCs w:val="16"/>
              </w:rPr>
              <w:t>r</w:t>
            </w:r>
            <w:r w:rsidR="00FC2285" w:rsidRPr="000D5771">
              <w:rPr>
                <w:sz w:val="20"/>
                <w:szCs w:val="16"/>
              </w:rPr>
              <w:t xml:space="preserve">ecommandations, </w:t>
            </w:r>
            <w:r w:rsidR="00D43129" w:rsidRPr="000D5771">
              <w:rPr>
                <w:sz w:val="20"/>
                <w:szCs w:val="16"/>
              </w:rPr>
              <w:t xml:space="preserve">rapports </w:t>
            </w:r>
            <w:r w:rsidR="00FC2285" w:rsidRPr="000D5771">
              <w:rPr>
                <w:sz w:val="20"/>
                <w:szCs w:val="16"/>
              </w:rPr>
              <w:t xml:space="preserve">ou </w:t>
            </w:r>
            <w:r w:rsidR="00D43129" w:rsidRPr="000D5771">
              <w:rPr>
                <w:sz w:val="20"/>
                <w:szCs w:val="16"/>
              </w:rPr>
              <w:t xml:space="preserve">manuels </w:t>
            </w:r>
            <w:r w:rsidR="00B009B8" w:rsidRPr="000D5771">
              <w:rPr>
                <w:sz w:val="20"/>
                <w:szCs w:val="16"/>
              </w:rPr>
              <w:t xml:space="preserve">existants </w:t>
            </w:r>
            <w:r w:rsidR="00FC2285" w:rsidRPr="000D5771">
              <w:rPr>
                <w:sz w:val="20"/>
                <w:szCs w:val="16"/>
              </w:rPr>
              <w:t>de l'UIT-R ne permettent pas de remédier au problème (Méthode 2)</w:t>
            </w:r>
            <w:r w:rsidR="0061141A" w:rsidRPr="000D5771">
              <w:rPr>
                <w:sz w:val="20"/>
                <w:szCs w:val="16"/>
              </w:rPr>
              <w:t>.</w:t>
            </w:r>
          </w:p>
          <w:p w14:paraId="1D1005AB" w14:textId="3FCDEF8C" w:rsidR="00B94030" w:rsidRPr="000D5771" w:rsidRDefault="00B94030" w:rsidP="005A21B6">
            <w:pPr>
              <w:pStyle w:val="enumlev1"/>
              <w:tabs>
                <w:tab w:val="clear" w:pos="1134"/>
                <w:tab w:val="left" w:pos="464"/>
              </w:tabs>
              <w:spacing w:before="40"/>
              <w:ind w:left="464" w:hanging="464"/>
              <w:rPr>
                <w:sz w:val="20"/>
                <w:szCs w:val="16"/>
              </w:rPr>
            </w:pPr>
            <w:r w:rsidRPr="000D5771">
              <w:rPr>
                <w:sz w:val="20"/>
                <w:szCs w:val="16"/>
              </w:rPr>
              <w:t>3</w:t>
            </w:r>
            <w:r w:rsidRPr="000D5771">
              <w:rPr>
                <w:sz w:val="20"/>
                <w:szCs w:val="16"/>
              </w:rPr>
              <w:tab/>
            </w:r>
            <w:r w:rsidR="0012798A" w:rsidRPr="000D5771">
              <w:rPr>
                <w:b/>
                <w:sz w:val="20"/>
                <w:szCs w:val="16"/>
              </w:rPr>
              <w:t>P</w:t>
            </w:r>
            <w:r w:rsidR="00FC2285" w:rsidRPr="000D5771">
              <w:rPr>
                <w:b/>
                <w:sz w:val="20"/>
                <w:szCs w:val="16"/>
              </w:rPr>
              <w:t>rendre note</w:t>
            </w:r>
            <w:r w:rsidR="00FC2285" w:rsidRPr="000D5771">
              <w:rPr>
                <w:sz w:val="20"/>
                <w:szCs w:val="16"/>
              </w:rPr>
              <w:t xml:space="preserve"> du fait que l'Égypte appuie la Méthode 1, Variante 1</w:t>
            </w:r>
            <w:r w:rsidRPr="000D5771">
              <w:rPr>
                <w:sz w:val="20"/>
                <w:szCs w:val="16"/>
              </w:rPr>
              <w:t>.</w:t>
            </w:r>
          </w:p>
          <w:p w14:paraId="05C9E330" w14:textId="1A6F64F0" w:rsidR="00FC2285" w:rsidRPr="000D5771" w:rsidRDefault="00FC2285" w:rsidP="005A21B6">
            <w:pPr>
              <w:pStyle w:val="TableText0"/>
              <w:spacing w:before="120"/>
              <w:rPr>
                <w:i/>
                <w:iCs/>
                <w:sz w:val="20"/>
                <w:szCs w:val="20"/>
                <w:u w:val="single"/>
                <w:lang w:val="fr-FR"/>
              </w:rPr>
            </w:pPr>
            <w:r w:rsidRPr="000D5771">
              <w:rPr>
                <w:i/>
                <w:iCs/>
                <w:sz w:val="20"/>
                <w:szCs w:val="20"/>
                <w:u w:val="single"/>
                <w:lang w:val="fr-FR"/>
              </w:rPr>
              <w:t>Partie 2: Marche à suivre</w:t>
            </w:r>
          </w:p>
          <w:p w14:paraId="2D1D4A15" w14:textId="3C3E468D" w:rsidR="00FC2285" w:rsidRPr="000D5771" w:rsidRDefault="00FC2285" w:rsidP="005A21B6">
            <w:pPr>
              <w:pStyle w:val="TableText0"/>
              <w:spacing w:before="120"/>
              <w:rPr>
                <w:b/>
                <w:i/>
                <w:sz w:val="20"/>
                <w:szCs w:val="20"/>
                <w:lang w:val="fr-FR"/>
              </w:rPr>
            </w:pPr>
            <w:r w:rsidRPr="000D5771">
              <w:rPr>
                <w:b/>
                <w:i/>
                <w:sz w:val="20"/>
                <w:szCs w:val="20"/>
                <w:lang w:val="fr-FR"/>
              </w:rPr>
              <w:t xml:space="preserve">Demander aux administrations des </w:t>
            </w:r>
            <w:r w:rsidR="00893412" w:rsidRPr="000D5771">
              <w:rPr>
                <w:b/>
                <w:i/>
                <w:sz w:val="20"/>
                <w:szCs w:val="20"/>
                <w:lang w:val="fr-FR"/>
              </w:rPr>
              <w:t>pays membres de l'UAT</w:t>
            </w:r>
            <w:r w:rsidRPr="000D5771">
              <w:rPr>
                <w:b/>
                <w:iCs/>
                <w:sz w:val="20"/>
                <w:szCs w:val="20"/>
                <w:lang w:val="fr-FR"/>
              </w:rPr>
              <w:t>:</w:t>
            </w:r>
          </w:p>
          <w:p w14:paraId="5D606D81" w14:textId="2D0E3D5F" w:rsidR="00B94030" w:rsidRPr="000D5771" w:rsidRDefault="002B7DC9" w:rsidP="006316B9">
            <w:pPr>
              <w:pStyle w:val="TableText0"/>
              <w:rPr>
                <w:sz w:val="20"/>
                <w:szCs w:val="20"/>
                <w:u w:val="single"/>
                <w:lang w:val="fr-FR"/>
              </w:rPr>
            </w:pPr>
            <w:r w:rsidRPr="000D5771">
              <w:rPr>
                <w:sz w:val="20"/>
                <w:szCs w:val="20"/>
                <w:lang w:val="fr-FR"/>
              </w:rPr>
              <w:t>d</w:t>
            </w:r>
            <w:r w:rsidR="00FC2285" w:rsidRPr="000D5771">
              <w:rPr>
                <w:sz w:val="20"/>
                <w:szCs w:val="20"/>
                <w:lang w:val="fr-FR"/>
              </w:rPr>
              <w:t>'</w:t>
            </w:r>
            <w:r w:rsidR="00FC2285" w:rsidRPr="000D5771">
              <w:rPr>
                <w:b/>
                <w:sz w:val="20"/>
                <w:szCs w:val="20"/>
                <w:lang w:val="fr-FR"/>
              </w:rPr>
              <w:t>appuyer</w:t>
            </w:r>
            <w:r w:rsidR="00FC2285" w:rsidRPr="000D5771">
              <w:rPr>
                <w:sz w:val="20"/>
                <w:szCs w:val="20"/>
                <w:lang w:val="fr-FR"/>
              </w:rPr>
              <w:t xml:space="preserve"> la proposition africaine commune au titre de ce point de l'ordre du jour.</w:t>
            </w:r>
          </w:p>
        </w:tc>
      </w:tr>
      <w:tr w:rsidR="00613B30" w:rsidRPr="000D5771" w14:paraId="6A835E85" w14:textId="77777777" w:rsidTr="004E7333">
        <w:trPr>
          <w:trHeight w:val="437"/>
        </w:trPr>
        <w:tc>
          <w:tcPr>
            <w:tcW w:w="2972" w:type="dxa"/>
            <w:tcBorders>
              <w:top w:val="single" w:sz="6" w:space="0" w:color="auto"/>
              <w:left w:val="single" w:sz="4" w:space="0" w:color="auto"/>
              <w:bottom w:val="single" w:sz="4" w:space="0" w:color="auto"/>
            </w:tcBorders>
            <w:shd w:val="clear" w:color="auto" w:fill="auto"/>
          </w:tcPr>
          <w:p w14:paraId="34915A8C" w14:textId="68AD27E5" w:rsidR="00613B30" w:rsidRPr="000D5771" w:rsidRDefault="00613B30" w:rsidP="005A21B6">
            <w:pPr>
              <w:pStyle w:val="TableText0"/>
              <w:spacing w:before="120"/>
              <w:rPr>
                <w:rFonts w:eastAsia="Calibri"/>
                <w:b/>
                <w:sz w:val="20"/>
                <w:szCs w:val="20"/>
                <w:lang w:val="fr-FR"/>
              </w:rPr>
            </w:pPr>
            <w:bookmarkStart w:id="10" w:name="lt_pId114"/>
            <w:r w:rsidRPr="000D5771">
              <w:rPr>
                <w:rFonts w:eastAsia="Calibri"/>
                <w:b/>
                <w:sz w:val="20"/>
                <w:szCs w:val="20"/>
                <w:lang w:val="fr-FR"/>
              </w:rPr>
              <w:t>9</w:t>
            </w:r>
            <w:r w:rsidR="0061141A" w:rsidRPr="000D5771">
              <w:rPr>
                <w:rFonts w:eastAsia="Calibri"/>
                <w:b/>
                <w:sz w:val="20"/>
                <w:szCs w:val="20"/>
                <w:lang w:val="fr-FR"/>
              </w:rPr>
              <w:t xml:space="preserve"> (</w:t>
            </w:r>
            <w:r w:rsidRPr="000D5771">
              <w:rPr>
                <w:rFonts w:eastAsia="Calibri"/>
                <w:b/>
                <w:sz w:val="20"/>
                <w:szCs w:val="20"/>
                <w:lang w:val="fr-FR"/>
              </w:rPr>
              <w:t>RR</w:t>
            </w:r>
            <w:r w:rsidR="0061141A" w:rsidRPr="000D5771">
              <w:rPr>
                <w:rFonts w:eastAsia="Calibri"/>
                <w:b/>
                <w:sz w:val="20"/>
                <w:szCs w:val="20"/>
                <w:lang w:val="fr-FR"/>
              </w:rPr>
              <w:t xml:space="preserve"> </w:t>
            </w:r>
            <w:r w:rsidRPr="000D5771">
              <w:rPr>
                <w:rFonts w:eastAsia="Calibri"/>
                <w:b/>
                <w:sz w:val="20"/>
                <w:szCs w:val="20"/>
                <w:lang w:val="fr-FR"/>
              </w:rPr>
              <w:t>21.5)</w:t>
            </w:r>
            <w:bookmarkEnd w:id="10"/>
          </w:p>
          <w:p w14:paraId="135099BE" w14:textId="05A707EF" w:rsidR="00B94030" w:rsidRPr="000D5771" w:rsidRDefault="004E47A0" w:rsidP="005A21B6">
            <w:pPr>
              <w:pStyle w:val="TableText0"/>
              <w:spacing w:before="120"/>
              <w:rPr>
                <w:sz w:val="20"/>
                <w:szCs w:val="20"/>
                <w:lang w:val="fr-FR"/>
              </w:rPr>
            </w:pPr>
            <w:r w:rsidRPr="000D5771">
              <w:rPr>
                <w:sz w:val="20"/>
                <w:szCs w:val="20"/>
                <w:lang w:val="fr-FR"/>
              </w:rPr>
              <w:t>Modalités d'application du numéro</w:t>
            </w:r>
            <w:r w:rsidR="00805B09" w:rsidRPr="000D5771">
              <w:rPr>
                <w:sz w:val="20"/>
                <w:szCs w:val="20"/>
                <w:lang w:val="fr-FR"/>
              </w:rPr>
              <w:t> </w:t>
            </w:r>
            <w:r w:rsidRPr="000D5771">
              <w:rPr>
                <w:b/>
                <w:sz w:val="20"/>
                <w:szCs w:val="20"/>
                <w:lang w:val="fr-FR"/>
              </w:rPr>
              <w:t>21.5</w:t>
            </w:r>
            <w:r w:rsidRPr="000D5771">
              <w:rPr>
                <w:sz w:val="20"/>
                <w:szCs w:val="20"/>
                <w:lang w:val="fr-FR"/>
              </w:rPr>
              <w:t xml:space="preserve"> du RR aux stations</w:t>
            </w:r>
            <w:r w:rsidR="0061141A" w:rsidRPr="000D5771">
              <w:rPr>
                <w:sz w:val="20"/>
                <w:szCs w:val="20"/>
                <w:lang w:val="fr-FR"/>
              </w:rPr>
              <w:t> </w:t>
            </w:r>
            <w:r w:rsidRPr="000D5771">
              <w:rPr>
                <w:sz w:val="20"/>
                <w:szCs w:val="20"/>
                <w:lang w:val="fr-FR"/>
              </w:rPr>
              <w:t xml:space="preserve">IMT utilisant un système d'antenne </w:t>
            </w:r>
            <w:r w:rsidR="00805B09" w:rsidRPr="000D5771">
              <w:rPr>
                <w:sz w:val="20"/>
                <w:szCs w:val="20"/>
                <w:lang w:val="fr-FR"/>
              </w:rPr>
              <w:t>évolué (</w:t>
            </w:r>
            <w:r w:rsidRPr="000D5771">
              <w:rPr>
                <w:sz w:val="20"/>
                <w:szCs w:val="20"/>
                <w:lang w:val="fr-FR"/>
              </w:rPr>
              <w:t>AAS)</w:t>
            </w:r>
          </w:p>
        </w:tc>
        <w:tc>
          <w:tcPr>
            <w:tcW w:w="7174" w:type="dxa"/>
            <w:tcBorders>
              <w:top w:val="single" w:sz="6" w:space="0" w:color="auto"/>
              <w:bottom w:val="single" w:sz="6" w:space="0" w:color="auto"/>
              <w:right w:val="single" w:sz="4" w:space="0" w:color="auto"/>
            </w:tcBorders>
          </w:tcPr>
          <w:p w14:paraId="3A92314A" w14:textId="6DC4D53C" w:rsidR="00613B30" w:rsidRPr="000D5771" w:rsidRDefault="00B94030" w:rsidP="005A21B6">
            <w:pPr>
              <w:pStyle w:val="TableText0"/>
              <w:spacing w:before="120"/>
              <w:rPr>
                <w:i/>
                <w:sz w:val="20"/>
                <w:szCs w:val="20"/>
                <w:u w:val="single"/>
                <w:lang w:val="fr-FR"/>
              </w:rPr>
            </w:pPr>
            <w:r w:rsidRPr="000D5771">
              <w:rPr>
                <w:i/>
                <w:sz w:val="20"/>
                <w:szCs w:val="20"/>
                <w:u w:val="single"/>
                <w:lang w:val="fr-FR"/>
              </w:rPr>
              <w:t>Partie 1:</w:t>
            </w:r>
            <w:r w:rsidR="004E47A0" w:rsidRPr="000D5771">
              <w:rPr>
                <w:i/>
                <w:sz w:val="20"/>
                <w:szCs w:val="20"/>
                <w:u w:val="single"/>
                <w:lang w:val="fr-FR"/>
              </w:rPr>
              <w:t xml:space="preserve"> Position commune</w:t>
            </w:r>
          </w:p>
          <w:p w14:paraId="7A959232" w14:textId="1AFADAF3" w:rsidR="00B94030" w:rsidRPr="000D5771" w:rsidRDefault="004E47A0" w:rsidP="005A21B6">
            <w:pPr>
              <w:pStyle w:val="TableText0"/>
              <w:spacing w:before="120"/>
              <w:rPr>
                <w:sz w:val="20"/>
                <w:szCs w:val="20"/>
                <w:lang w:val="fr-FR"/>
              </w:rPr>
            </w:pPr>
            <w:r w:rsidRPr="000D5771">
              <w:rPr>
                <w:b/>
                <w:sz w:val="20"/>
                <w:szCs w:val="20"/>
                <w:lang w:val="fr-FR"/>
              </w:rPr>
              <w:t>Appuyer</w:t>
            </w:r>
            <w:r w:rsidRPr="000D5771">
              <w:rPr>
                <w:sz w:val="20"/>
                <w:szCs w:val="20"/>
                <w:lang w:val="fr-FR"/>
              </w:rPr>
              <w:t xml:space="preserve"> l'examen de cette question à la CMR-23</w:t>
            </w:r>
            <w:r w:rsidR="00D43129" w:rsidRPr="000D5771">
              <w:rPr>
                <w:sz w:val="20"/>
                <w:szCs w:val="20"/>
                <w:lang w:val="fr-FR"/>
              </w:rPr>
              <w:t>,</w:t>
            </w:r>
            <w:r w:rsidRPr="000D5771">
              <w:rPr>
                <w:sz w:val="20"/>
                <w:szCs w:val="20"/>
                <w:lang w:val="fr-FR"/>
              </w:rPr>
              <w:t xml:space="preserve"> sur la base des éléments </w:t>
            </w:r>
            <w:r w:rsidR="00D43129" w:rsidRPr="000D5771">
              <w:rPr>
                <w:sz w:val="20"/>
                <w:szCs w:val="20"/>
                <w:lang w:val="fr-FR"/>
              </w:rPr>
              <w:t xml:space="preserve">figurant </w:t>
            </w:r>
            <w:r w:rsidRPr="000D5771">
              <w:rPr>
                <w:sz w:val="20"/>
                <w:szCs w:val="20"/>
                <w:lang w:val="fr-FR"/>
              </w:rPr>
              <w:t>dans le Rapport du Directeur du Bureau</w:t>
            </w:r>
            <w:r w:rsidR="008F19D1" w:rsidRPr="000D5771">
              <w:rPr>
                <w:sz w:val="20"/>
                <w:szCs w:val="20"/>
                <w:lang w:val="fr-FR"/>
              </w:rPr>
              <w:t xml:space="preserve"> des radiocommunications sur la portée de l'application </w:t>
            </w:r>
            <w:r w:rsidRPr="000D5771">
              <w:rPr>
                <w:sz w:val="20"/>
                <w:szCs w:val="20"/>
                <w:lang w:val="fr-FR"/>
              </w:rPr>
              <w:t xml:space="preserve">des limites indiquées dans le numéro </w:t>
            </w:r>
            <w:r w:rsidRPr="000D5771">
              <w:rPr>
                <w:b/>
                <w:sz w:val="20"/>
                <w:szCs w:val="20"/>
                <w:lang w:val="fr-FR"/>
              </w:rPr>
              <w:t>21.5</w:t>
            </w:r>
            <w:r w:rsidRPr="000D5771">
              <w:rPr>
                <w:sz w:val="20"/>
                <w:szCs w:val="20"/>
                <w:lang w:val="fr-FR"/>
              </w:rPr>
              <w:t xml:space="preserve"> du RR aux stations IMT utilisant </w:t>
            </w:r>
            <w:r w:rsidR="00D43129" w:rsidRPr="000D5771">
              <w:rPr>
                <w:sz w:val="20"/>
                <w:szCs w:val="20"/>
                <w:lang w:val="fr-FR"/>
              </w:rPr>
              <w:t xml:space="preserve">des </w:t>
            </w:r>
            <w:r w:rsidRPr="000D5771">
              <w:rPr>
                <w:sz w:val="20"/>
                <w:szCs w:val="20"/>
                <w:lang w:val="fr-FR"/>
              </w:rPr>
              <w:t>système</w:t>
            </w:r>
            <w:r w:rsidR="00D43129" w:rsidRPr="000D5771">
              <w:rPr>
                <w:sz w:val="20"/>
                <w:szCs w:val="20"/>
                <w:lang w:val="fr-FR"/>
              </w:rPr>
              <w:t>s</w:t>
            </w:r>
            <w:r w:rsidRPr="000D5771">
              <w:rPr>
                <w:sz w:val="20"/>
                <w:szCs w:val="20"/>
                <w:lang w:val="fr-FR"/>
              </w:rPr>
              <w:t xml:space="preserve"> d'antenne actif</w:t>
            </w:r>
            <w:r w:rsidR="00D43129" w:rsidRPr="000D5771">
              <w:rPr>
                <w:sz w:val="20"/>
                <w:szCs w:val="20"/>
                <w:lang w:val="fr-FR"/>
              </w:rPr>
              <w:t xml:space="preserve">s (AAS) </w:t>
            </w:r>
            <w:r w:rsidRPr="000D5771">
              <w:rPr>
                <w:sz w:val="20"/>
                <w:szCs w:val="20"/>
                <w:lang w:val="fr-FR"/>
              </w:rPr>
              <w:t>et sur la vérification du respect du numéro</w:t>
            </w:r>
            <w:r w:rsidR="00805B09" w:rsidRPr="000D5771">
              <w:rPr>
                <w:sz w:val="20"/>
                <w:szCs w:val="20"/>
                <w:lang w:val="fr-FR"/>
              </w:rPr>
              <w:t> </w:t>
            </w:r>
            <w:r w:rsidRPr="000D5771">
              <w:rPr>
                <w:b/>
                <w:sz w:val="20"/>
                <w:szCs w:val="20"/>
                <w:lang w:val="fr-FR"/>
              </w:rPr>
              <w:t>21.5</w:t>
            </w:r>
            <w:r w:rsidRPr="000D5771">
              <w:rPr>
                <w:sz w:val="20"/>
                <w:szCs w:val="20"/>
                <w:lang w:val="fr-FR"/>
              </w:rPr>
              <w:t xml:space="preserve"> du RR concernant la notification des stations IMT qui utilisent un système AAS dans la bande des 26</w:t>
            </w:r>
            <w:r w:rsidR="00805B09" w:rsidRPr="000D5771">
              <w:rPr>
                <w:sz w:val="20"/>
                <w:szCs w:val="20"/>
                <w:lang w:val="fr-FR"/>
              </w:rPr>
              <w:t xml:space="preserve"> </w:t>
            </w:r>
            <w:r w:rsidRPr="000D5771">
              <w:rPr>
                <w:sz w:val="20"/>
                <w:szCs w:val="20"/>
                <w:lang w:val="fr-FR"/>
              </w:rPr>
              <w:t xml:space="preserve">GHz, conformément au Document </w:t>
            </w:r>
            <w:r w:rsidRPr="000D5771">
              <w:rPr>
                <w:b/>
                <w:sz w:val="20"/>
                <w:szCs w:val="20"/>
                <w:lang w:val="fr-FR"/>
              </w:rPr>
              <w:t>550</w:t>
            </w:r>
            <w:r w:rsidRPr="000D5771">
              <w:rPr>
                <w:sz w:val="20"/>
                <w:szCs w:val="20"/>
                <w:lang w:val="fr-FR"/>
              </w:rPr>
              <w:t xml:space="preserve"> de la</w:t>
            </w:r>
            <w:r w:rsidR="0061141A" w:rsidRPr="000D5771">
              <w:rPr>
                <w:sz w:val="20"/>
                <w:szCs w:val="20"/>
                <w:lang w:val="fr-FR"/>
              </w:rPr>
              <w:t> </w:t>
            </w:r>
            <w:r w:rsidRPr="000D5771">
              <w:rPr>
                <w:sz w:val="20"/>
                <w:szCs w:val="20"/>
                <w:lang w:val="fr-FR"/>
              </w:rPr>
              <w:t>CMR</w:t>
            </w:r>
            <w:r w:rsidR="00805B09" w:rsidRPr="000D5771">
              <w:rPr>
                <w:sz w:val="20"/>
                <w:szCs w:val="20"/>
                <w:lang w:val="fr-FR"/>
              </w:rPr>
              <w:noBreakHyphen/>
            </w:r>
            <w:r w:rsidRPr="000D5771">
              <w:rPr>
                <w:sz w:val="20"/>
                <w:szCs w:val="20"/>
                <w:lang w:val="fr-FR"/>
              </w:rPr>
              <w:t xml:space="preserve">19 et </w:t>
            </w:r>
            <w:r w:rsidR="00B0782A" w:rsidRPr="000D5771">
              <w:rPr>
                <w:sz w:val="20"/>
                <w:szCs w:val="20"/>
                <w:lang w:val="fr-FR"/>
              </w:rPr>
              <w:t>à la Circulaire CA/251(</w:t>
            </w:r>
            <w:r w:rsidR="00B0782A" w:rsidRPr="000D5771">
              <w:rPr>
                <w:rFonts w:cs="Times New Roman"/>
                <w:sz w:val="20"/>
                <w:szCs w:val="20"/>
                <w:lang w:val="fr-FR"/>
              </w:rPr>
              <w:t>«</w:t>
            </w:r>
            <w:r w:rsidRPr="000D5771">
              <w:rPr>
                <w:sz w:val="20"/>
                <w:szCs w:val="20"/>
                <w:lang w:val="fr-FR"/>
              </w:rPr>
              <w:t xml:space="preserve">Vérification du respect du numéro </w:t>
            </w:r>
            <w:r w:rsidRPr="000D5771">
              <w:rPr>
                <w:b/>
                <w:sz w:val="20"/>
                <w:szCs w:val="20"/>
                <w:lang w:val="fr-FR"/>
              </w:rPr>
              <w:t>21.5</w:t>
            </w:r>
            <w:r w:rsidRPr="000D5771">
              <w:rPr>
                <w:sz w:val="20"/>
                <w:szCs w:val="20"/>
                <w:lang w:val="fr-FR"/>
              </w:rPr>
              <w:t xml:space="preserve"> du RR concernant la notification des stations IMT fonctionnant dans la bande de fréquences 24,45</w:t>
            </w:r>
            <w:r w:rsidR="00805B09" w:rsidRPr="000D5771">
              <w:rPr>
                <w:sz w:val="20"/>
                <w:szCs w:val="20"/>
                <w:lang w:val="fr-FR"/>
              </w:rPr>
              <w:noBreakHyphen/>
            </w:r>
            <w:r w:rsidRPr="000D5771">
              <w:rPr>
                <w:sz w:val="20"/>
                <w:szCs w:val="20"/>
                <w:lang w:val="fr-FR"/>
              </w:rPr>
              <w:t>27,5</w:t>
            </w:r>
            <w:r w:rsidR="00805B09" w:rsidRPr="000D5771">
              <w:rPr>
                <w:sz w:val="20"/>
                <w:szCs w:val="20"/>
                <w:lang w:val="fr-FR"/>
              </w:rPr>
              <w:t> </w:t>
            </w:r>
            <w:r w:rsidRPr="000D5771">
              <w:rPr>
                <w:sz w:val="20"/>
                <w:szCs w:val="20"/>
                <w:lang w:val="fr-FR"/>
              </w:rPr>
              <w:t>GHz et qui utilisent une antenne composée d'un réseau d'éléments actifs</w:t>
            </w:r>
            <w:r w:rsidR="00B0782A" w:rsidRPr="000D5771">
              <w:rPr>
                <w:rFonts w:cs="Times New Roman"/>
                <w:sz w:val="20"/>
                <w:szCs w:val="20"/>
                <w:lang w:val="fr-FR"/>
              </w:rPr>
              <w:t>»</w:t>
            </w:r>
            <w:r w:rsidR="00B0782A" w:rsidRPr="000D5771">
              <w:rPr>
                <w:sz w:val="20"/>
                <w:szCs w:val="20"/>
                <w:lang w:val="fr-FR"/>
              </w:rPr>
              <w:t>)</w:t>
            </w:r>
            <w:r w:rsidR="00805B09" w:rsidRPr="000D5771">
              <w:rPr>
                <w:sz w:val="20"/>
                <w:szCs w:val="20"/>
                <w:lang w:val="fr-FR"/>
              </w:rPr>
              <w:t>.</w:t>
            </w:r>
          </w:p>
          <w:p w14:paraId="6F8F396D" w14:textId="33354FF1" w:rsidR="00B94030" w:rsidRPr="000D5771" w:rsidRDefault="00B0782A" w:rsidP="005A21B6">
            <w:pPr>
              <w:pStyle w:val="TableText0"/>
              <w:spacing w:before="120"/>
              <w:rPr>
                <w:i/>
                <w:sz w:val="20"/>
                <w:szCs w:val="20"/>
                <w:u w:val="single"/>
                <w:lang w:val="fr-FR"/>
              </w:rPr>
            </w:pPr>
            <w:r w:rsidRPr="000D5771">
              <w:rPr>
                <w:i/>
                <w:sz w:val="20"/>
                <w:szCs w:val="20"/>
                <w:u w:val="single"/>
                <w:lang w:val="fr-FR"/>
              </w:rPr>
              <w:t>P</w:t>
            </w:r>
            <w:r w:rsidR="00B94030" w:rsidRPr="000D5771">
              <w:rPr>
                <w:i/>
                <w:sz w:val="20"/>
                <w:szCs w:val="20"/>
                <w:u w:val="single"/>
                <w:lang w:val="fr-FR"/>
              </w:rPr>
              <w:t>artie 2:</w:t>
            </w:r>
            <w:r w:rsidRPr="000D5771">
              <w:rPr>
                <w:i/>
                <w:sz w:val="20"/>
                <w:szCs w:val="20"/>
                <w:u w:val="single"/>
                <w:lang w:val="fr-FR"/>
              </w:rPr>
              <w:t xml:space="preserve"> Marche à suivre</w:t>
            </w:r>
          </w:p>
          <w:p w14:paraId="27A472B5" w14:textId="7A787ED4" w:rsidR="00B94030" w:rsidRPr="000D5771" w:rsidRDefault="00B0782A" w:rsidP="005A21B6">
            <w:pPr>
              <w:pStyle w:val="TableText0"/>
              <w:spacing w:before="120"/>
              <w:rPr>
                <w:b/>
                <w:i/>
                <w:sz w:val="20"/>
                <w:szCs w:val="20"/>
                <w:lang w:val="fr-FR"/>
              </w:rPr>
            </w:pPr>
            <w:r w:rsidRPr="000D5771">
              <w:rPr>
                <w:b/>
                <w:i/>
                <w:sz w:val="20"/>
                <w:szCs w:val="20"/>
                <w:lang w:val="fr-FR"/>
              </w:rPr>
              <w:t>L'APM23-4 est convenue de demander au Secrétaire général de l'UAT</w:t>
            </w:r>
            <w:r w:rsidRPr="000D5771">
              <w:rPr>
                <w:b/>
                <w:iCs/>
                <w:sz w:val="20"/>
                <w:szCs w:val="20"/>
                <w:lang w:val="fr-FR"/>
              </w:rPr>
              <w:t>:</w:t>
            </w:r>
          </w:p>
          <w:p w14:paraId="799F6129" w14:textId="00A5AEC4" w:rsidR="00B94030" w:rsidRPr="000D5771" w:rsidRDefault="00240B97" w:rsidP="006316B9">
            <w:pPr>
              <w:pStyle w:val="TableText0"/>
              <w:rPr>
                <w:sz w:val="20"/>
                <w:szCs w:val="20"/>
                <w:lang w:val="fr-FR"/>
              </w:rPr>
            </w:pPr>
            <w:r w:rsidRPr="000D5771">
              <w:rPr>
                <w:sz w:val="20"/>
                <w:szCs w:val="20"/>
                <w:lang w:val="fr-FR"/>
              </w:rPr>
              <w:t>d</w:t>
            </w:r>
            <w:r w:rsidR="00B0782A" w:rsidRPr="000D5771">
              <w:rPr>
                <w:sz w:val="20"/>
                <w:szCs w:val="20"/>
                <w:lang w:val="fr-FR"/>
              </w:rPr>
              <w:t>'</w:t>
            </w:r>
            <w:r w:rsidR="00B0782A" w:rsidRPr="000D5771">
              <w:rPr>
                <w:b/>
                <w:sz w:val="20"/>
                <w:szCs w:val="20"/>
                <w:lang w:val="fr-FR"/>
              </w:rPr>
              <w:t>organiser</w:t>
            </w:r>
            <w:r w:rsidR="00B0782A" w:rsidRPr="000D5771">
              <w:rPr>
                <w:sz w:val="20"/>
                <w:szCs w:val="20"/>
                <w:lang w:val="fr-FR"/>
              </w:rPr>
              <w:t xml:space="preserve"> un atelier pour</w:t>
            </w:r>
            <w:r w:rsidR="00D43129" w:rsidRPr="000D5771">
              <w:rPr>
                <w:sz w:val="20"/>
                <w:szCs w:val="20"/>
                <w:lang w:val="fr-FR"/>
              </w:rPr>
              <w:t xml:space="preserve"> familiariser </w:t>
            </w:r>
            <w:r w:rsidR="00B0782A" w:rsidRPr="000D5771">
              <w:rPr>
                <w:sz w:val="20"/>
                <w:szCs w:val="20"/>
                <w:lang w:val="fr-FR"/>
              </w:rPr>
              <w:t xml:space="preserve">les administrations </w:t>
            </w:r>
            <w:r w:rsidR="00D43129" w:rsidRPr="000D5771">
              <w:rPr>
                <w:sz w:val="20"/>
                <w:szCs w:val="20"/>
                <w:lang w:val="fr-FR"/>
              </w:rPr>
              <w:t xml:space="preserve">avec </w:t>
            </w:r>
            <w:r w:rsidR="00B0782A" w:rsidRPr="000D5771">
              <w:rPr>
                <w:sz w:val="20"/>
                <w:szCs w:val="20"/>
                <w:lang w:val="fr-FR"/>
              </w:rPr>
              <w:t xml:space="preserve">les détails techniques des dispositions du numéro </w:t>
            </w:r>
            <w:r w:rsidR="00B0782A" w:rsidRPr="000D5771">
              <w:rPr>
                <w:b/>
                <w:sz w:val="20"/>
                <w:szCs w:val="20"/>
                <w:lang w:val="fr-FR"/>
              </w:rPr>
              <w:t>21.5</w:t>
            </w:r>
            <w:r w:rsidR="00B0782A" w:rsidRPr="000D5771">
              <w:rPr>
                <w:sz w:val="20"/>
                <w:szCs w:val="20"/>
                <w:lang w:val="fr-FR"/>
              </w:rPr>
              <w:t xml:space="preserve"> du RR et les </w:t>
            </w:r>
            <w:r w:rsidR="008F19D1" w:rsidRPr="000D5771">
              <w:rPr>
                <w:sz w:val="20"/>
                <w:szCs w:val="20"/>
                <w:lang w:val="fr-FR"/>
              </w:rPr>
              <w:t>objectifs</w:t>
            </w:r>
            <w:r w:rsidR="00B0782A" w:rsidRPr="000D5771">
              <w:rPr>
                <w:sz w:val="20"/>
                <w:szCs w:val="20"/>
                <w:lang w:val="fr-FR"/>
              </w:rPr>
              <w:t xml:space="preserve"> des études </w:t>
            </w:r>
            <w:r w:rsidR="008F19D1" w:rsidRPr="000D5771">
              <w:rPr>
                <w:sz w:val="20"/>
                <w:szCs w:val="20"/>
                <w:lang w:val="fr-FR"/>
              </w:rPr>
              <w:t>qu'il est demandé d'entreprendre</w:t>
            </w:r>
            <w:r w:rsidR="00B0782A" w:rsidRPr="000D5771">
              <w:rPr>
                <w:sz w:val="20"/>
                <w:szCs w:val="20"/>
                <w:lang w:val="fr-FR"/>
              </w:rPr>
              <w:t xml:space="preserve"> dans le Document </w:t>
            </w:r>
            <w:r w:rsidR="00B0782A" w:rsidRPr="000D5771">
              <w:rPr>
                <w:b/>
                <w:bCs/>
                <w:sz w:val="20"/>
                <w:szCs w:val="20"/>
                <w:lang w:val="fr-FR"/>
              </w:rPr>
              <w:t>550</w:t>
            </w:r>
            <w:r w:rsidR="00B0782A" w:rsidRPr="000D5771">
              <w:rPr>
                <w:sz w:val="20"/>
                <w:szCs w:val="20"/>
                <w:lang w:val="fr-FR"/>
              </w:rPr>
              <w:t xml:space="preserve"> de la CMR-19, </w:t>
            </w:r>
            <w:r w:rsidR="00717F65" w:rsidRPr="000D5771">
              <w:rPr>
                <w:sz w:val="20"/>
                <w:szCs w:val="20"/>
                <w:lang w:val="fr-FR"/>
              </w:rPr>
              <w:t xml:space="preserve">afin </w:t>
            </w:r>
            <w:r w:rsidR="00B0782A" w:rsidRPr="000D5771">
              <w:rPr>
                <w:sz w:val="20"/>
                <w:szCs w:val="20"/>
                <w:lang w:val="fr-FR"/>
              </w:rPr>
              <w:t>de mi</w:t>
            </w:r>
            <w:r w:rsidR="00717F65" w:rsidRPr="000D5771">
              <w:rPr>
                <w:sz w:val="20"/>
                <w:szCs w:val="20"/>
                <w:lang w:val="fr-FR"/>
              </w:rPr>
              <w:t xml:space="preserve">eux comprendre ces dispositions et de </w:t>
            </w:r>
            <w:r w:rsidR="00D43129" w:rsidRPr="000D5771">
              <w:rPr>
                <w:sz w:val="20"/>
                <w:szCs w:val="20"/>
                <w:lang w:val="fr-FR"/>
              </w:rPr>
              <w:t>veiller à ce qu'</w:t>
            </w:r>
            <w:r w:rsidR="00694D9B" w:rsidRPr="000D5771">
              <w:rPr>
                <w:sz w:val="20"/>
                <w:szCs w:val="20"/>
                <w:lang w:val="fr-FR"/>
              </w:rPr>
              <w:t>elle</w:t>
            </w:r>
            <w:r w:rsidR="00D43129" w:rsidRPr="000D5771">
              <w:rPr>
                <w:sz w:val="20"/>
                <w:szCs w:val="20"/>
                <w:lang w:val="fr-FR"/>
              </w:rPr>
              <w:t xml:space="preserve">s soient </w:t>
            </w:r>
            <w:r w:rsidR="00B0782A" w:rsidRPr="000D5771">
              <w:rPr>
                <w:sz w:val="20"/>
                <w:szCs w:val="20"/>
                <w:lang w:val="fr-FR"/>
              </w:rPr>
              <w:t>correctement</w:t>
            </w:r>
            <w:r w:rsidR="00D43129" w:rsidRPr="000D5771">
              <w:rPr>
                <w:sz w:val="20"/>
                <w:szCs w:val="20"/>
                <w:lang w:val="fr-FR"/>
              </w:rPr>
              <w:t xml:space="preserve"> interprété</w:t>
            </w:r>
            <w:r w:rsidR="00694D9B" w:rsidRPr="000D5771">
              <w:rPr>
                <w:sz w:val="20"/>
                <w:szCs w:val="20"/>
                <w:lang w:val="fr-FR"/>
              </w:rPr>
              <w:t>e</w:t>
            </w:r>
            <w:r w:rsidR="00D43129" w:rsidRPr="000D5771">
              <w:rPr>
                <w:sz w:val="20"/>
                <w:szCs w:val="20"/>
                <w:lang w:val="fr-FR"/>
              </w:rPr>
              <w:t>s</w:t>
            </w:r>
            <w:r w:rsidR="00B0782A" w:rsidRPr="000D5771">
              <w:rPr>
                <w:sz w:val="20"/>
                <w:szCs w:val="20"/>
                <w:lang w:val="fr-FR"/>
              </w:rPr>
              <w:t xml:space="preserve"> lors de l'examen du Rapport à la CMR-23</w:t>
            </w:r>
            <w:r w:rsidR="00D43129" w:rsidRPr="000D5771">
              <w:rPr>
                <w:sz w:val="20"/>
                <w:szCs w:val="20"/>
                <w:lang w:val="fr-FR"/>
              </w:rPr>
              <w:t xml:space="preserve">, en collaboration </w:t>
            </w:r>
            <w:r w:rsidR="00B0782A" w:rsidRPr="000D5771">
              <w:rPr>
                <w:sz w:val="20"/>
                <w:szCs w:val="20"/>
                <w:lang w:val="fr-FR"/>
              </w:rPr>
              <w:t>avec l'équipe de direction du Groupe de travail</w:t>
            </w:r>
            <w:r w:rsidR="00805B09" w:rsidRPr="000D5771">
              <w:rPr>
                <w:sz w:val="20"/>
                <w:szCs w:val="20"/>
                <w:lang w:val="fr-FR"/>
              </w:rPr>
              <w:t> </w:t>
            </w:r>
            <w:r w:rsidR="00B0782A" w:rsidRPr="000D5771">
              <w:rPr>
                <w:sz w:val="20"/>
                <w:szCs w:val="20"/>
                <w:lang w:val="fr-FR"/>
              </w:rPr>
              <w:t>1A, en temps utile avant la CMR-23.</w:t>
            </w:r>
          </w:p>
          <w:p w14:paraId="61C941D9" w14:textId="7B7A94D1" w:rsidR="00603A20" w:rsidRPr="000D5771" w:rsidRDefault="00603A20" w:rsidP="005A21B6">
            <w:pPr>
              <w:pStyle w:val="TableText0"/>
              <w:spacing w:before="120"/>
              <w:rPr>
                <w:sz w:val="20"/>
                <w:szCs w:val="20"/>
                <w:lang w:val="fr-FR"/>
              </w:rPr>
            </w:pPr>
            <w:r w:rsidRPr="000D5771">
              <w:rPr>
                <w:b/>
                <w:i/>
                <w:sz w:val="20"/>
                <w:szCs w:val="20"/>
                <w:lang w:val="fr-FR"/>
              </w:rPr>
              <w:t xml:space="preserve">L'APM23-4 est convenue de demander aux administrations des </w:t>
            </w:r>
            <w:r w:rsidR="00893412" w:rsidRPr="000D5771">
              <w:rPr>
                <w:b/>
                <w:i/>
                <w:sz w:val="20"/>
                <w:szCs w:val="20"/>
                <w:lang w:val="fr-FR"/>
              </w:rPr>
              <w:t>pays membres de l'UAT</w:t>
            </w:r>
            <w:r w:rsidRPr="000D5771">
              <w:rPr>
                <w:b/>
                <w:iCs/>
                <w:sz w:val="20"/>
                <w:szCs w:val="20"/>
                <w:lang w:val="fr-FR"/>
              </w:rPr>
              <w:t>:</w:t>
            </w:r>
          </w:p>
          <w:p w14:paraId="010CCF56" w14:textId="327E64E0" w:rsidR="00B94030" w:rsidRPr="000D5771" w:rsidRDefault="00B94030" w:rsidP="005A21B6">
            <w:pPr>
              <w:pStyle w:val="enumlev1"/>
              <w:tabs>
                <w:tab w:val="clear" w:pos="1134"/>
                <w:tab w:val="left" w:pos="464"/>
              </w:tabs>
              <w:ind w:left="464" w:hanging="464"/>
              <w:rPr>
                <w:sz w:val="20"/>
                <w:szCs w:val="16"/>
              </w:rPr>
            </w:pPr>
            <w:r w:rsidRPr="000D5771">
              <w:rPr>
                <w:sz w:val="20"/>
                <w:szCs w:val="16"/>
              </w:rPr>
              <w:t>1</w:t>
            </w:r>
            <w:r w:rsidRPr="000D5771">
              <w:rPr>
                <w:sz w:val="20"/>
                <w:szCs w:val="16"/>
              </w:rPr>
              <w:tab/>
            </w:r>
            <w:r w:rsidR="00240B97" w:rsidRPr="000D5771">
              <w:rPr>
                <w:sz w:val="20"/>
                <w:szCs w:val="16"/>
              </w:rPr>
              <w:t>d</w:t>
            </w:r>
            <w:r w:rsidR="00603A20" w:rsidRPr="000D5771">
              <w:rPr>
                <w:sz w:val="20"/>
                <w:szCs w:val="16"/>
              </w:rPr>
              <w:t>'</w:t>
            </w:r>
            <w:r w:rsidR="00603A20" w:rsidRPr="000D5771">
              <w:rPr>
                <w:b/>
                <w:sz w:val="20"/>
                <w:szCs w:val="16"/>
              </w:rPr>
              <w:t>examiner</w:t>
            </w:r>
            <w:r w:rsidR="00603A20" w:rsidRPr="000D5771">
              <w:rPr>
                <w:sz w:val="20"/>
                <w:szCs w:val="16"/>
              </w:rPr>
              <w:t xml:space="preserve"> et de</w:t>
            </w:r>
            <w:r w:rsidR="00603A20" w:rsidRPr="000D5771">
              <w:rPr>
                <w:bCs/>
                <w:sz w:val="20"/>
                <w:szCs w:val="16"/>
              </w:rPr>
              <w:t xml:space="preserve"> </w:t>
            </w:r>
            <w:r w:rsidR="00603A20" w:rsidRPr="000D5771">
              <w:rPr>
                <w:b/>
                <w:sz w:val="20"/>
                <w:szCs w:val="16"/>
              </w:rPr>
              <w:t>revoir</w:t>
            </w:r>
            <w:r w:rsidR="00603A20" w:rsidRPr="000D5771">
              <w:rPr>
                <w:sz w:val="20"/>
                <w:szCs w:val="16"/>
              </w:rPr>
              <w:t xml:space="preserve"> les données disponibles à partir des différents éléments examinés dans le cadre des études menées par l'UIT</w:t>
            </w:r>
            <w:r w:rsidR="00BB1B2D" w:rsidRPr="000D5771">
              <w:rPr>
                <w:sz w:val="20"/>
                <w:szCs w:val="16"/>
              </w:rPr>
              <w:noBreakHyphen/>
            </w:r>
            <w:r w:rsidR="00603A20" w:rsidRPr="000D5771">
              <w:rPr>
                <w:sz w:val="20"/>
                <w:szCs w:val="16"/>
              </w:rPr>
              <w:t>R (Annexe 4.5 du Rapport du Président du GT</w:t>
            </w:r>
            <w:r w:rsidR="00BB1B2D" w:rsidRPr="000D5771">
              <w:rPr>
                <w:sz w:val="20"/>
                <w:szCs w:val="16"/>
              </w:rPr>
              <w:t xml:space="preserve"> </w:t>
            </w:r>
            <w:r w:rsidR="00603A20" w:rsidRPr="000D5771">
              <w:rPr>
                <w:sz w:val="20"/>
                <w:szCs w:val="16"/>
              </w:rPr>
              <w:t xml:space="preserve">5D (Document 5D/1555)) sur les études </w:t>
            </w:r>
            <w:r w:rsidR="00240B97" w:rsidRPr="000D5771">
              <w:rPr>
                <w:sz w:val="20"/>
                <w:szCs w:val="16"/>
              </w:rPr>
              <w:t>qu'il est demandé d'entreprendre</w:t>
            </w:r>
            <w:r w:rsidR="00603A20" w:rsidRPr="000D5771">
              <w:rPr>
                <w:sz w:val="20"/>
                <w:szCs w:val="16"/>
              </w:rPr>
              <w:t xml:space="preserve"> dans le Document 550 de la</w:t>
            </w:r>
            <w:r w:rsidR="00694D9B" w:rsidRPr="000D5771">
              <w:rPr>
                <w:sz w:val="20"/>
                <w:szCs w:val="16"/>
              </w:rPr>
              <w:t xml:space="preserve"> </w:t>
            </w:r>
            <w:r w:rsidR="00603A20" w:rsidRPr="000D5771">
              <w:rPr>
                <w:sz w:val="20"/>
                <w:szCs w:val="16"/>
              </w:rPr>
              <w:t>CMR-19</w:t>
            </w:r>
            <w:r w:rsidRPr="000D5771">
              <w:rPr>
                <w:sz w:val="20"/>
                <w:szCs w:val="16"/>
              </w:rPr>
              <w:t>;</w:t>
            </w:r>
          </w:p>
          <w:p w14:paraId="2D29611D" w14:textId="2181DF75" w:rsidR="00B94030" w:rsidRPr="000D5771" w:rsidRDefault="00B94030" w:rsidP="000D5771">
            <w:pPr>
              <w:pStyle w:val="enumlev1"/>
              <w:tabs>
                <w:tab w:val="clear" w:pos="1134"/>
                <w:tab w:val="left" w:pos="464"/>
              </w:tabs>
              <w:spacing w:before="40" w:after="40"/>
              <w:ind w:left="464" w:hanging="464"/>
              <w:rPr>
                <w:sz w:val="20"/>
                <w:szCs w:val="16"/>
              </w:rPr>
            </w:pPr>
            <w:r w:rsidRPr="000D5771">
              <w:rPr>
                <w:sz w:val="20"/>
                <w:szCs w:val="16"/>
              </w:rPr>
              <w:t>2</w:t>
            </w:r>
            <w:r w:rsidRPr="000D5771">
              <w:rPr>
                <w:sz w:val="20"/>
                <w:szCs w:val="16"/>
              </w:rPr>
              <w:tab/>
            </w:r>
            <w:r w:rsidR="00240B97" w:rsidRPr="000D5771">
              <w:rPr>
                <w:sz w:val="20"/>
                <w:szCs w:val="16"/>
              </w:rPr>
              <w:t>d</w:t>
            </w:r>
            <w:r w:rsidR="00603A20" w:rsidRPr="000D5771">
              <w:rPr>
                <w:sz w:val="20"/>
                <w:szCs w:val="16"/>
              </w:rPr>
              <w:t xml:space="preserve">e </w:t>
            </w:r>
            <w:r w:rsidR="00603A20" w:rsidRPr="000D5771">
              <w:rPr>
                <w:b/>
                <w:sz w:val="20"/>
                <w:szCs w:val="16"/>
              </w:rPr>
              <w:t>participer activement</w:t>
            </w:r>
            <w:r w:rsidR="00603A20" w:rsidRPr="000D5771">
              <w:rPr>
                <w:sz w:val="20"/>
                <w:szCs w:val="16"/>
              </w:rPr>
              <w:t xml:space="preserve"> au futur atelier qui </w:t>
            </w:r>
            <w:r w:rsidR="00240B97" w:rsidRPr="000D5771">
              <w:rPr>
                <w:sz w:val="20"/>
                <w:szCs w:val="16"/>
              </w:rPr>
              <w:t>aura pour objet de mener un examen et des discussions sur l</w:t>
            </w:r>
            <w:r w:rsidR="00603A20" w:rsidRPr="000D5771">
              <w:rPr>
                <w:sz w:val="20"/>
                <w:szCs w:val="16"/>
              </w:rPr>
              <w:t xml:space="preserve">es résultats possibles concernant les </w:t>
            </w:r>
            <w:r w:rsidR="00E22EB5" w:rsidRPr="000D5771">
              <w:rPr>
                <w:sz w:val="20"/>
                <w:szCs w:val="16"/>
              </w:rPr>
              <w:t xml:space="preserve">approches et différents aspects </w:t>
            </w:r>
            <w:r w:rsidR="00240B97" w:rsidRPr="000D5771">
              <w:rPr>
                <w:sz w:val="20"/>
                <w:szCs w:val="16"/>
              </w:rPr>
              <w:t>liés au</w:t>
            </w:r>
            <w:r w:rsidR="00E22EB5" w:rsidRPr="000D5771">
              <w:rPr>
                <w:sz w:val="20"/>
                <w:szCs w:val="16"/>
              </w:rPr>
              <w:t xml:space="preserve"> Document 550</w:t>
            </w:r>
            <w:r w:rsidRPr="000D5771">
              <w:rPr>
                <w:sz w:val="20"/>
                <w:szCs w:val="16"/>
              </w:rPr>
              <w:t>;</w:t>
            </w:r>
          </w:p>
          <w:p w14:paraId="31E1458B" w14:textId="2008AC3D" w:rsidR="00B94030" w:rsidRPr="000D5771" w:rsidRDefault="00B94030" w:rsidP="00694D9B">
            <w:pPr>
              <w:pStyle w:val="enumlev1"/>
              <w:keepLines/>
              <w:tabs>
                <w:tab w:val="clear" w:pos="1134"/>
                <w:tab w:val="left" w:pos="464"/>
              </w:tabs>
              <w:spacing w:before="40"/>
              <w:ind w:left="464" w:hanging="464"/>
              <w:rPr>
                <w:sz w:val="20"/>
                <w:szCs w:val="16"/>
              </w:rPr>
            </w:pPr>
            <w:r w:rsidRPr="000D5771">
              <w:rPr>
                <w:sz w:val="20"/>
                <w:szCs w:val="16"/>
              </w:rPr>
              <w:lastRenderedPageBreak/>
              <w:t>3</w:t>
            </w:r>
            <w:r w:rsidRPr="000D5771">
              <w:rPr>
                <w:sz w:val="20"/>
                <w:szCs w:val="16"/>
              </w:rPr>
              <w:tab/>
            </w:r>
            <w:r w:rsidR="00240B97" w:rsidRPr="000D5771">
              <w:rPr>
                <w:sz w:val="20"/>
                <w:szCs w:val="16"/>
              </w:rPr>
              <w:t>d</w:t>
            </w:r>
            <w:r w:rsidR="00E22EB5" w:rsidRPr="000D5771">
              <w:rPr>
                <w:sz w:val="20"/>
                <w:szCs w:val="16"/>
              </w:rPr>
              <w:t xml:space="preserve">e </w:t>
            </w:r>
            <w:r w:rsidR="00E22EB5" w:rsidRPr="000D5771">
              <w:rPr>
                <w:b/>
                <w:sz w:val="20"/>
                <w:szCs w:val="16"/>
              </w:rPr>
              <w:t>contribuer efficacement</w:t>
            </w:r>
            <w:r w:rsidR="00E22EB5" w:rsidRPr="000D5771">
              <w:rPr>
                <w:sz w:val="20"/>
                <w:szCs w:val="16"/>
              </w:rPr>
              <w:t xml:space="preserve"> aux </w:t>
            </w:r>
            <w:r w:rsidR="00C02F81" w:rsidRPr="000D5771">
              <w:rPr>
                <w:sz w:val="20"/>
                <w:szCs w:val="16"/>
              </w:rPr>
              <w:t>travaux</w:t>
            </w:r>
            <w:r w:rsidR="00E22EB5" w:rsidRPr="000D5771">
              <w:rPr>
                <w:sz w:val="20"/>
                <w:szCs w:val="16"/>
              </w:rPr>
              <w:t xml:space="preserve"> de l'atelier </w:t>
            </w:r>
            <w:r w:rsidR="00C02F81" w:rsidRPr="000D5771">
              <w:rPr>
                <w:sz w:val="20"/>
                <w:szCs w:val="16"/>
              </w:rPr>
              <w:t xml:space="preserve">qui sera organisé, </w:t>
            </w:r>
            <w:r w:rsidR="00E22EB5" w:rsidRPr="000D5771">
              <w:rPr>
                <w:sz w:val="20"/>
                <w:szCs w:val="16"/>
              </w:rPr>
              <w:t xml:space="preserve">afin de </w:t>
            </w:r>
            <w:r w:rsidR="00235CE6" w:rsidRPr="000D5771">
              <w:rPr>
                <w:sz w:val="20"/>
                <w:szCs w:val="16"/>
              </w:rPr>
              <w:t xml:space="preserve">définir </w:t>
            </w:r>
            <w:r w:rsidR="00E22EB5" w:rsidRPr="000D5771">
              <w:rPr>
                <w:sz w:val="20"/>
                <w:szCs w:val="16"/>
              </w:rPr>
              <w:t>une position</w:t>
            </w:r>
            <w:r w:rsidR="00235CE6" w:rsidRPr="000D5771">
              <w:rPr>
                <w:sz w:val="20"/>
                <w:szCs w:val="16"/>
              </w:rPr>
              <w:t xml:space="preserve"> appropriée</w:t>
            </w:r>
            <w:r w:rsidR="00E22EB5" w:rsidRPr="000D5771">
              <w:rPr>
                <w:sz w:val="20"/>
                <w:szCs w:val="16"/>
              </w:rPr>
              <w:t xml:space="preserve">, à temps pour la CMR-23, sur l'applicabilité des limites indiquées dans le numéro </w:t>
            </w:r>
            <w:r w:rsidR="00E22EB5" w:rsidRPr="000D5771">
              <w:rPr>
                <w:b/>
                <w:sz w:val="20"/>
                <w:szCs w:val="16"/>
              </w:rPr>
              <w:t>21.5</w:t>
            </w:r>
            <w:r w:rsidR="00E22EB5" w:rsidRPr="000D5771">
              <w:rPr>
                <w:sz w:val="20"/>
                <w:szCs w:val="16"/>
              </w:rPr>
              <w:t xml:space="preserve"> du RR aux stations IMT utilisant des systèmes d'antenne actifs (AAS) et sur la vérification du respect du numéro </w:t>
            </w:r>
            <w:r w:rsidR="00E22EB5" w:rsidRPr="000D5771">
              <w:rPr>
                <w:b/>
                <w:sz w:val="20"/>
                <w:szCs w:val="16"/>
              </w:rPr>
              <w:t>21.5</w:t>
            </w:r>
            <w:r w:rsidR="00E22EB5" w:rsidRPr="000D5771">
              <w:rPr>
                <w:sz w:val="20"/>
                <w:szCs w:val="16"/>
              </w:rPr>
              <w:t xml:space="preserve"> du RR concernant la notification des stations IMT dans la bande des 26</w:t>
            </w:r>
            <w:r w:rsidR="00BB1B2D" w:rsidRPr="000D5771">
              <w:rPr>
                <w:sz w:val="20"/>
                <w:szCs w:val="16"/>
              </w:rPr>
              <w:t xml:space="preserve"> </w:t>
            </w:r>
            <w:r w:rsidR="00E22EB5" w:rsidRPr="000D5771">
              <w:rPr>
                <w:sz w:val="20"/>
                <w:szCs w:val="16"/>
              </w:rPr>
              <w:t>GHz</w:t>
            </w:r>
            <w:r w:rsidR="00240B97" w:rsidRPr="000D5771">
              <w:rPr>
                <w:sz w:val="20"/>
                <w:szCs w:val="16"/>
              </w:rPr>
              <w:t>;</w:t>
            </w:r>
          </w:p>
          <w:p w14:paraId="1626D343" w14:textId="678696B3" w:rsidR="00B94030" w:rsidRPr="000D5771" w:rsidRDefault="00B94030" w:rsidP="000D5771">
            <w:pPr>
              <w:pStyle w:val="enumlev1"/>
              <w:tabs>
                <w:tab w:val="clear" w:pos="1134"/>
                <w:tab w:val="left" w:pos="464"/>
              </w:tabs>
              <w:spacing w:after="40"/>
              <w:ind w:left="464" w:hanging="464"/>
              <w:rPr>
                <w:u w:val="single"/>
              </w:rPr>
            </w:pPr>
            <w:r w:rsidRPr="000D5771">
              <w:rPr>
                <w:sz w:val="20"/>
                <w:szCs w:val="16"/>
              </w:rPr>
              <w:t>4</w:t>
            </w:r>
            <w:r w:rsidRPr="000D5771">
              <w:rPr>
                <w:sz w:val="20"/>
                <w:szCs w:val="16"/>
              </w:rPr>
              <w:tab/>
            </w:r>
            <w:r w:rsidR="00240B97" w:rsidRPr="000D5771">
              <w:rPr>
                <w:sz w:val="20"/>
                <w:szCs w:val="16"/>
              </w:rPr>
              <w:t>d</w:t>
            </w:r>
            <w:r w:rsidR="00E22EB5" w:rsidRPr="000D5771">
              <w:rPr>
                <w:sz w:val="20"/>
                <w:szCs w:val="16"/>
              </w:rPr>
              <w:t>'</w:t>
            </w:r>
            <w:r w:rsidR="00E22EB5" w:rsidRPr="000D5771">
              <w:rPr>
                <w:b/>
                <w:sz w:val="20"/>
                <w:szCs w:val="16"/>
              </w:rPr>
              <w:t>appuyer</w:t>
            </w:r>
            <w:r w:rsidR="00E22EB5" w:rsidRPr="000D5771">
              <w:rPr>
                <w:sz w:val="20"/>
                <w:szCs w:val="16"/>
              </w:rPr>
              <w:t xml:space="preserve"> la proposition africaine commune au titre de ce point de l'ordre du jour</w:t>
            </w:r>
            <w:r w:rsidRPr="000D5771">
              <w:rPr>
                <w:sz w:val="20"/>
                <w:szCs w:val="16"/>
              </w:rPr>
              <w:t>.</w:t>
            </w:r>
          </w:p>
        </w:tc>
      </w:tr>
    </w:tbl>
    <w:p w14:paraId="4A07B93B" w14:textId="2616A530" w:rsidR="00996A3B" w:rsidRPr="000D5771" w:rsidRDefault="00996A3B" w:rsidP="006316B9">
      <w:r w:rsidRPr="000D5771">
        <w:lastRenderedPageBreak/>
        <w:br w:type="page"/>
      </w:r>
    </w:p>
    <w:p w14:paraId="4DCBF801" w14:textId="687300F8" w:rsidR="00613B30" w:rsidRPr="000D5771" w:rsidRDefault="0096178D" w:rsidP="006316B9">
      <w:pPr>
        <w:pStyle w:val="Tabletitle"/>
      </w:pPr>
      <w:r w:rsidRPr="000D5771">
        <w:lastRenderedPageBreak/>
        <w:t xml:space="preserve">Points de l'ordre du jour </w:t>
      </w:r>
      <w:r w:rsidR="00C02F81" w:rsidRPr="000D5771">
        <w:t>traités dans le</w:t>
      </w:r>
      <w:r w:rsidRPr="000D5771">
        <w:t xml:space="preserve"> Chapitre 2: Questions relatives aux services aéronautique et maritime</w:t>
      </w:r>
      <w:r w:rsidRPr="000D5771">
        <w:br/>
        <w:t>(Points 1.6, 1.7, 1.8, 1.9, 1.10, 1.11 et</w:t>
      </w:r>
      <w:r w:rsidR="00240B97" w:rsidRPr="000D5771">
        <w:t xml:space="preserve"> 9.1, </w:t>
      </w:r>
      <w:r w:rsidRPr="000D5771">
        <w:t>Question B</w:t>
      </w:r>
      <w:r w:rsidR="00240B97" w:rsidRPr="000D5771">
        <w:t>,</w:t>
      </w:r>
      <w:r w:rsidRPr="000D5771">
        <w:t xml:space="preserve"> de l'ordre du jour) </w:t>
      </w:r>
    </w:p>
    <w:tbl>
      <w:tblPr>
        <w:tblW w:w="101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2"/>
        <w:gridCol w:w="7174"/>
      </w:tblGrid>
      <w:tr w:rsidR="00996A3B" w:rsidRPr="000D5771" w14:paraId="27DF2466" w14:textId="77777777" w:rsidTr="001A7D8F">
        <w:trPr>
          <w:cantSplit/>
        </w:trPr>
        <w:tc>
          <w:tcPr>
            <w:tcW w:w="2972" w:type="dxa"/>
            <w:tcBorders>
              <w:top w:val="single" w:sz="6" w:space="0" w:color="auto"/>
              <w:left w:val="single" w:sz="4" w:space="0" w:color="auto"/>
              <w:bottom w:val="single" w:sz="6" w:space="0" w:color="auto"/>
            </w:tcBorders>
            <w:vAlign w:val="center"/>
          </w:tcPr>
          <w:p w14:paraId="7A88479C" w14:textId="31D5B784" w:rsidR="00996A3B" w:rsidRPr="000D5771" w:rsidRDefault="00240B97" w:rsidP="006316B9">
            <w:pPr>
              <w:pStyle w:val="TableHead0"/>
              <w:rPr>
                <w:sz w:val="20"/>
                <w:lang w:val="fr-FR"/>
              </w:rPr>
            </w:pPr>
            <w:r w:rsidRPr="000D5771">
              <w:rPr>
                <w:sz w:val="20"/>
                <w:lang w:val="fr-FR"/>
              </w:rPr>
              <w:t>Point de l'o</w:t>
            </w:r>
            <w:r w:rsidR="0058498A" w:rsidRPr="000D5771">
              <w:rPr>
                <w:sz w:val="20"/>
                <w:lang w:val="fr-FR"/>
              </w:rPr>
              <w:t>rdre</w:t>
            </w:r>
            <w:r w:rsidR="00996A3B" w:rsidRPr="000D5771">
              <w:rPr>
                <w:sz w:val="20"/>
                <w:lang w:val="fr-FR"/>
              </w:rPr>
              <w:t xml:space="preserve"> du jour</w:t>
            </w:r>
          </w:p>
        </w:tc>
        <w:tc>
          <w:tcPr>
            <w:tcW w:w="7174" w:type="dxa"/>
            <w:tcBorders>
              <w:top w:val="single" w:sz="4" w:space="0" w:color="auto"/>
              <w:bottom w:val="single" w:sz="4" w:space="0" w:color="auto"/>
              <w:right w:val="single" w:sz="4" w:space="0" w:color="auto"/>
            </w:tcBorders>
            <w:vAlign w:val="center"/>
          </w:tcPr>
          <w:p w14:paraId="59302A99" w14:textId="3860B96A" w:rsidR="00996A3B" w:rsidRPr="000D5771" w:rsidRDefault="00694D9B" w:rsidP="006316B9">
            <w:pPr>
              <w:pStyle w:val="TableHead0"/>
              <w:rPr>
                <w:sz w:val="20"/>
                <w:lang w:val="fr-FR"/>
              </w:rPr>
            </w:pPr>
            <w:r w:rsidRPr="000D5771">
              <w:rPr>
                <w:sz w:val="20"/>
                <w:lang w:val="fr-FR"/>
              </w:rPr>
              <w:t>Position/propositions africaines communes (AfCP)</w:t>
            </w:r>
          </w:p>
        </w:tc>
      </w:tr>
      <w:tr w:rsidR="00FD1BC5" w:rsidRPr="000D5771" w14:paraId="6343416E" w14:textId="77777777" w:rsidTr="001A7D8F">
        <w:tc>
          <w:tcPr>
            <w:tcW w:w="2972" w:type="dxa"/>
            <w:tcBorders>
              <w:top w:val="single" w:sz="6" w:space="0" w:color="auto"/>
              <w:left w:val="single" w:sz="4" w:space="0" w:color="auto"/>
              <w:bottom w:val="single" w:sz="6" w:space="0" w:color="auto"/>
            </w:tcBorders>
          </w:tcPr>
          <w:p w14:paraId="3231BE32" w14:textId="77777777" w:rsidR="00FD1BC5" w:rsidRPr="000D5771" w:rsidRDefault="00FD1BC5" w:rsidP="003C6C48">
            <w:pPr>
              <w:pStyle w:val="TableText0"/>
              <w:spacing w:before="120"/>
              <w:rPr>
                <w:b/>
                <w:sz w:val="20"/>
                <w:szCs w:val="20"/>
                <w:lang w:val="fr-FR"/>
              </w:rPr>
            </w:pPr>
            <w:r w:rsidRPr="000D5771">
              <w:rPr>
                <w:b/>
                <w:sz w:val="20"/>
                <w:szCs w:val="20"/>
                <w:lang w:val="fr-FR"/>
              </w:rPr>
              <w:t>1.6</w:t>
            </w:r>
          </w:p>
          <w:p w14:paraId="395A5CA8" w14:textId="184B83D7" w:rsidR="00FD1BC5" w:rsidRPr="000D5771" w:rsidRDefault="0096178D" w:rsidP="003C6C48">
            <w:pPr>
              <w:pStyle w:val="TableText0"/>
              <w:spacing w:before="120"/>
              <w:rPr>
                <w:b/>
                <w:sz w:val="20"/>
                <w:szCs w:val="20"/>
                <w:lang w:val="fr-FR"/>
              </w:rPr>
            </w:pPr>
            <w:r w:rsidRPr="000D5771">
              <w:rPr>
                <w:bCs/>
                <w:iCs/>
                <w:sz w:val="20"/>
                <w:szCs w:val="20"/>
                <w:lang w:val="fr-FR"/>
              </w:rPr>
              <w:t>Étudier, conformément à la Résolution</w:t>
            </w:r>
            <w:r w:rsidR="00BB1B2D" w:rsidRPr="000D5771">
              <w:rPr>
                <w:bCs/>
                <w:iCs/>
                <w:sz w:val="20"/>
                <w:szCs w:val="20"/>
                <w:lang w:val="fr-FR"/>
              </w:rPr>
              <w:t> </w:t>
            </w:r>
            <w:r w:rsidRPr="000D5771">
              <w:rPr>
                <w:b/>
                <w:iCs/>
                <w:sz w:val="20"/>
                <w:szCs w:val="20"/>
                <w:lang w:val="fr-FR"/>
              </w:rPr>
              <w:t>772 (CMR-19)</w:t>
            </w:r>
            <w:r w:rsidRPr="000D5771">
              <w:rPr>
                <w:bCs/>
                <w:iCs/>
                <w:sz w:val="20"/>
                <w:szCs w:val="20"/>
                <w:lang w:val="fr-FR"/>
              </w:rPr>
              <w:t>, les dispositions réglementaires propres à faciliter les radiocommunications pour les véhicules suborbitaux</w:t>
            </w:r>
          </w:p>
        </w:tc>
        <w:tc>
          <w:tcPr>
            <w:tcW w:w="7174" w:type="dxa"/>
            <w:tcBorders>
              <w:top w:val="single" w:sz="4" w:space="0" w:color="auto"/>
              <w:bottom w:val="single" w:sz="4" w:space="0" w:color="auto"/>
              <w:right w:val="single" w:sz="4" w:space="0" w:color="auto"/>
            </w:tcBorders>
          </w:tcPr>
          <w:p w14:paraId="5AA1605D" w14:textId="5C34EE52" w:rsidR="00FD1BC5" w:rsidRPr="000D5771" w:rsidRDefault="00FD1BC5" w:rsidP="003C6C48">
            <w:pPr>
              <w:pStyle w:val="TableText0"/>
              <w:spacing w:before="120"/>
              <w:rPr>
                <w:i/>
                <w:iCs/>
                <w:sz w:val="20"/>
                <w:szCs w:val="20"/>
                <w:u w:val="single"/>
                <w:lang w:val="fr-FR"/>
              </w:rPr>
            </w:pPr>
            <w:r w:rsidRPr="000D5771">
              <w:rPr>
                <w:i/>
                <w:iCs/>
                <w:sz w:val="20"/>
                <w:szCs w:val="20"/>
                <w:u w:val="single"/>
                <w:lang w:val="fr-FR"/>
              </w:rPr>
              <w:t>Partie 1:</w:t>
            </w:r>
            <w:r w:rsidR="0096178D" w:rsidRPr="000D5771">
              <w:rPr>
                <w:i/>
                <w:iCs/>
                <w:sz w:val="20"/>
                <w:szCs w:val="20"/>
                <w:u w:val="single"/>
                <w:lang w:val="fr-FR"/>
              </w:rPr>
              <w:t xml:space="preserve"> Position commune</w:t>
            </w:r>
          </w:p>
          <w:p w14:paraId="7BFAA6A0" w14:textId="373DEA41" w:rsidR="00FD1BC5" w:rsidRPr="000D5771" w:rsidRDefault="0096178D" w:rsidP="003C6C48">
            <w:pPr>
              <w:pStyle w:val="TableText0"/>
              <w:spacing w:before="120"/>
              <w:rPr>
                <w:sz w:val="20"/>
                <w:szCs w:val="20"/>
                <w:lang w:val="fr-FR"/>
              </w:rPr>
            </w:pPr>
            <w:r w:rsidRPr="000D5771">
              <w:rPr>
                <w:b/>
                <w:sz w:val="20"/>
                <w:szCs w:val="20"/>
                <w:lang w:val="fr-FR"/>
              </w:rPr>
              <w:t>Appuyer la Méthode C</w:t>
            </w:r>
            <w:r w:rsidRPr="000D5771">
              <w:rPr>
                <w:sz w:val="20"/>
                <w:szCs w:val="20"/>
                <w:lang w:val="fr-FR"/>
              </w:rPr>
              <w:t xml:space="preserve"> visant à réviser la Résolution </w:t>
            </w:r>
            <w:r w:rsidRPr="000D5771">
              <w:rPr>
                <w:b/>
                <w:bCs/>
                <w:sz w:val="20"/>
                <w:szCs w:val="20"/>
                <w:lang w:val="fr-FR"/>
              </w:rPr>
              <w:t>772 (CMR-19)</w:t>
            </w:r>
            <w:r w:rsidRPr="000D5771">
              <w:rPr>
                <w:sz w:val="20"/>
                <w:szCs w:val="20"/>
                <w:lang w:val="fr-FR"/>
              </w:rPr>
              <w:t>, afin de clarifier la liste des études nécessaires et d'</w:t>
            </w:r>
            <w:r w:rsidR="00C02F81" w:rsidRPr="000D5771">
              <w:rPr>
                <w:sz w:val="20"/>
                <w:szCs w:val="20"/>
                <w:lang w:val="fr-FR"/>
              </w:rPr>
              <w:t xml:space="preserve">en </w:t>
            </w:r>
            <w:r w:rsidRPr="000D5771">
              <w:rPr>
                <w:sz w:val="20"/>
                <w:szCs w:val="20"/>
                <w:lang w:val="fr-FR"/>
              </w:rPr>
              <w:t xml:space="preserve">allonger </w:t>
            </w:r>
            <w:r w:rsidR="00C02F81" w:rsidRPr="000D5771">
              <w:rPr>
                <w:sz w:val="20"/>
                <w:szCs w:val="20"/>
                <w:lang w:val="fr-FR"/>
              </w:rPr>
              <w:t xml:space="preserve">la </w:t>
            </w:r>
            <w:r w:rsidRPr="000D5771">
              <w:rPr>
                <w:sz w:val="20"/>
                <w:szCs w:val="20"/>
                <w:lang w:val="fr-FR"/>
              </w:rPr>
              <w:t>durée</w:t>
            </w:r>
            <w:r w:rsidR="00240B97" w:rsidRPr="000D5771">
              <w:rPr>
                <w:sz w:val="20"/>
                <w:szCs w:val="20"/>
                <w:lang w:val="fr-FR"/>
              </w:rPr>
              <w:t>.</w:t>
            </w:r>
          </w:p>
          <w:p w14:paraId="59D735F8" w14:textId="77777777" w:rsidR="00FD1BC5" w:rsidRPr="000D5771" w:rsidRDefault="00FD1BC5" w:rsidP="00694D9B">
            <w:pPr>
              <w:pStyle w:val="TableText0"/>
              <w:rPr>
                <w:b/>
                <w:bCs/>
                <w:sz w:val="20"/>
                <w:szCs w:val="20"/>
                <w:lang w:val="fr-FR"/>
              </w:rPr>
            </w:pPr>
            <w:r w:rsidRPr="000D5771">
              <w:rPr>
                <w:b/>
                <w:bCs/>
                <w:sz w:val="20"/>
                <w:szCs w:val="20"/>
                <w:lang w:val="fr-FR"/>
              </w:rPr>
              <w:t>Motifs:</w:t>
            </w:r>
          </w:p>
          <w:p w14:paraId="303E5006" w14:textId="76144D78" w:rsidR="00FD1BC5" w:rsidRPr="000D5771" w:rsidRDefault="00FD1BC5" w:rsidP="00694D9B">
            <w:pPr>
              <w:pStyle w:val="enumlev1"/>
              <w:tabs>
                <w:tab w:val="clear" w:pos="1134"/>
                <w:tab w:val="left" w:pos="464"/>
              </w:tabs>
              <w:spacing w:before="40"/>
              <w:ind w:left="464" w:hanging="464"/>
              <w:rPr>
                <w:sz w:val="20"/>
                <w:szCs w:val="16"/>
              </w:rPr>
            </w:pPr>
            <w:r w:rsidRPr="000D5771">
              <w:rPr>
                <w:sz w:val="20"/>
                <w:szCs w:val="16"/>
              </w:rPr>
              <w:t>1</w:t>
            </w:r>
            <w:r w:rsidRPr="000D5771">
              <w:rPr>
                <w:sz w:val="20"/>
                <w:szCs w:val="16"/>
              </w:rPr>
              <w:tab/>
            </w:r>
            <w:r w:rsidR="0012798A" w:rsidRPr="000D5771">
              <w:rPr>
                <w:sz w:val="20"/>
                <w:szCs w:val="16"/>
              </w:rPr>
              <w:t>L</w:t>
            </w:r>
            <w:r w:rsidR="0073707A" w:rsidRPr="000D5771">
              <w:rPr>
                <w:sz w:val="20"/>
                <w:szCs w:val="16"/>
              </w:rPr>
              <w:t xml:space="preserve">es études demandées en vertu du point 2 du </w:t>
            </w:r>
            <w:r w:rsidR="0073707A" w:rsidRPr="000D5771">
              <w:rPr>
                <w:i/>
                <w:iCs/>
                <w:sz w:val="20"/>
                <w:szCs w:val="16"/>
              </w:rPr>
              <w:t>décide</w:t>
            </w:r>
            <w:r w:rsidR="0073707A" w:rsidRPr="000D5771">
              <w:rPr>
                <w:sz w:val="20"/>
                <w:szCs w:val="16"/>
              </w:rPr>
              <w:t xml:space="preserve"> </w:t>
            </w:r>
            <w:r w:rsidR="0073707A" w:rsidRPr="000D5771">
              <w:rPr>
                <w:i/>
                <w:iCs/>
                <w:sz w:val="20"/>
                <w:szCs w:val="16"/>
              </w:rPr>
              <w:t>d'inviter le Secteur des radiocommunications de l'UIT</w:t>
            </w:r>
            <w:r w:rsidR="0073707A" w:rsidRPr="000D5771">
              <w:rPr>
                <w:sz w:val="20"/>
                <w:szCs w:val="16"/>
              </w:rPr>
              <w:t xml:space="preserve"> de la </w:t>
            </w:r>
            <w:r w:rsidR="0073707A" w:rsidRPr="000D5771">
              <w:rPr>
                <w:b/>
                <w:sz w:val="20"/>
                <w:szCs w:val="16"/>
              </w:rPr>
              <w:t>Résolution 772 (CMR-19)</w:t>
            </w:r>
            <w:r w:rsidR="0073707A" w:rsidRPr="000D5771">
              <w:rPr>
                <w:sz w:val="20"/>
                <w:szCs w:val="16"/>
              </w:rPr>
              <w:t xml:space="preserve"> n'ont pas </w:t>
            </w:r>
            <w:r w:rsidR="00C02F81" w:rsidRPr="000D5771">
              <w:rPr>
                <w:sz w:val="20"/>
                <w:szCs w:val="16"/>
              </w:rPr>
              <w:t xml:space="preserve">permis d'établir </w:t>
            </w:r>
            <w:r w:rsidR="0073707A" w:rsidRPr="000D5771">
              <w:rPr>
                <w:sz w:val="20"/>
                <w:szCs w:val="16"/>
              </w:rPr>
              <w:t>la liste des scénarios de brouillages possibles, y</w:t>
            </w:r>
            <w:r w:rsidR="00694D9B" w:rsidRPr="000D5771">
              <w:rPr>
                <w:sz w:val="20"/>
                <w:szCs w:val="16"/>
              </w:rPr>
              <w:t xml:space="preserve"> </w:t>
            </w:r>
            <w:r w:rsidR="0073707A" w:rsidRPr="000D5771">
              <w:rPr>
                <w:sz w:val="20"/>
                <w:szCs w:val="16"/>
              </w:rPr>
              <w:t>compris les scénarios relatifs à l'utilisation de stations au sol/terriennes à bord de véhicules suborbitaux sur une partie de leur trajectoire de vol traversant l'espace extra-atmosphérique</w:t>
            </w:r>
            <w:r w:rsidR="0012798A" w:rsidRPr="000D5771">
              <w:rPr>
                <w:sz w:val="20"/>
                <w:szCs w:val="16"/>
              </w:rPr>
              <w:t>.</w:t>
            </w:r>
          </w:p>
          <w:p w14:paraId="6190C35B" w14:textId="450A65BC" w:rsidR="00FD1BC5" w:rsidRPr="000D5771" w:rsidRDefault="00FD1BC5" w:rsidP="00694D9B">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0012798A" w:rsidRPr="000D5771">
              <w:rPr>
                <w:sz w:val="20"/>
                <w:szCs w:val="16"/>
              </w:rPr>
              <w:t>C</w:t>
            </w:r>
            <w:r w:rsidR="00132427" w:rsidRPr="000D5771">
              <w:rPr>
                <w:sz w:val="20"/>
                <w:szCs w:val="16"/>
              </w:rPr>
              <w:t xml:space="preserve">onformément aux </w:t>
            </w:r>
            <w:r w:rsidR="00132427" w:rsidRPr="000D5771">
              <w:rPr>
                <w:b/>
                <w:bCs/>
                <w:sz w:val="20"/>
                <w:szCs w:val="16"/>
              </w:rPr>
              <w:t xml:space="preserve">points </w:t>
            </w:r>
            <w:r w:rsidR="00132427" w:rsidRPr="000D5771">
              <w:rPr>
                <w:b/>
                <w:bCs/>
                <w:i/>
                <w:iCs/>
                <w:sz w:val="20"/>
                <w:szCs w:val="16"/>
              </w:rPr>
              <w:t>c)</w:t>
            </w:r>
            <w:r w:rsidR="00132427" w:rsidRPr="000D5771">
              <w:rPr>
                <w:b/>
                <w:bCs/>
                <w:sz w:val="20"/>
                <w:szCs w:val="16"/>
              </w:rPr>
              <w:t xml:space="preserve"> et </w:t>
            </w:r>
            <w:r w:rsidR="00132427" w:rsidRPr="000D5771">
              <w:rPr>
                <w:b/>
                <w:bCs/>
                <w:i/>
                <w:iCs/>
                <w:sz w:val="20"/>
                <w:szCs w:val="16"/>
              </w:rPr>
              <w:t>d)</w:t>
            </w:r>
            <w:r w:rsidR="00132427" w:rsidRPr="000D5771">
              <w:rPr>
                <w:b/>
                <w:bCs/>
                <w:sz w:val="20"/>
                <w:szCs w:val="16"/>
              </w:rPr>
              <w:t xml:space="preserve"> du</w:t>
            </w:r>
            <w:r w:rsidR="00132427" w:rsidRPr="000D5771">
              <w:rPr>
                <w:bCs/>
                <w:sz w:val="20"/>
                <w:szCs w:val="16"/>
              </w:rPr>
              <w:t xml:space="preserve"> </w:t>
            </w:r>
            <w:r w:rsidR="00132427" w:rsidRPr="000D5771">
              <w:rPr>
                <w:b/>
                <w:i/>
                <w:iCs/>
                <w:sz w:val="20"/>
                <w:szCs w:val="16"/>
              </w:rPr>
              <w:t>reconnaissant</w:t>
            </w:r>
            <w:r w:rsidR="00132427" w:rsidRPr="000D5771">
              <w:rPr>
                <w:sz w:val="20"/>
                <w:szCs w:val="16"/>
              </w:rPr>
              <w:t xml:space="preserve"> du projet de nouvelle </w:t>
            </w:r>
            <w:r w:rsidR="00694D9B" w:rsidRPr="000D5771">
              <w:rPr>
                <w:sz w:val="20"/>
                <w:szCs w:val="16"/>
              </w:rPr>
              <w:t xml:space="preserve">résolution </w:t>
            </w:r>
            <w:r w:rsidR="00132427" w:rsidRPr="000D5771">
              <w:rPr>
                <w:sz w:val="20"/>
                <w:szCs w:val="16"/>
              </w:rPr>
              <w:t xml:space="preserve">(CMR-23) proposé au titre de la Méthode B, les véhicules suborbitaux peuvent avoir des incidences, du point de vue des radiocommunications, sur les zones </w:t>
            </w:r>
            <w:r w:rsidR="00C02F81" w:rsidRPr="000D5771">
              <w:rPr>
                <w:sz w:val="20"/>
                <w:szCs w:val="16"/>
              </w:rPr>
              <w:t>étendues</w:t>
            </w:r>
            <w:r w:rsidR="00132427" w:rsidRPr="000D5771">
              <w:rPr>
                <w:sz w:val="20"/>
                <w:szCs w:val="16"/>
              </w:rPr>
              <w:t xml:space="preserve"> incluant d'autres territoires ou sur les stations spatiales (du fait qu'ils fonctionnent à une altitude plus </w:t>
            </w:r>
            <w:r w:rsidR="00C02F81" w:rsidRPr="000D5771">
              <w:rPr>
                <w:sz w:val="20"/>
                <w:szCs w:val="16"/>
              </w:rPr>
              <w:t>élevée</w:t>
            </w:r>
            <w:r w:rsidR="00132427" w:rsidRPr="000D5771">
              <w:rPr>
                <w:sz w:val="20"/>
                <w:szCs w:val="16"/>
              </w:rPr>
              <w:t xml:space="preserve">), </w:t>
            </w:r>
            <w:r w:rsidR="00132427" w:rsidRPr="000D5771">
              <w:rPr>
                <w:b/>
                <w:sz w:val="20"/>
                <w:szCs w:val="16"/>
              </w:rPr>
              <w:t xml:space="preserve">ainsi que sur les services fonctionnant dans les mêmes bandes de fréquences </w:t>
            </w:r>
            <w:r w:rsidR="00C02F81" w:rsidRPr="000D5771">
              <w:rPr>
                <w:b/>
                <w:sz w:val="20"/>
                <w:szCs w:val="16"/>
              </w:rPr>
              <w:t xml:space="preserve">ou </w:t>
            </w:r>
            <w:r w:rsidR="00132427" w:rsidRPr="000D5771">
              <w:rPr>
                <w:b/>
                <w:sz w:val="20"/>
                <w:szCs w:val="16"/>
              </w:rPr>
              <w:t>dans</w:t>
            </w:r>
            <w:r w:rsidR="00C02F81" w:rsidRPr="000D5771">
              <w:rPr>
                <w:b/>
                <w:sz w:val="20"/>
                <w:szCs w:val="16"/>
              </w:rPr>
              <w:t xml:space="preserve"> des</w:t>
            </w:r>
            <w:r w:rsidR="00132427" w:rsidRPr="000D5771">
              <w:rPr>
                <w:b/>
                <w:sz w:val="20"/>
                <w:szCs w:val="16"/>
              </w:rPr>
              <w:t xml:space="preserve"> bandes de fréquences adjacentes ou voisines</w:t>
            </w:r>
            <w:r w:rsidR="00132427" w:rsidRPr="000D5771">
              <w:rPr>
                <w:sz w:val="20"/>
                <w:szCs w:val="16"/>
              </w:rPr>
              <w:t xml:space="preserve"> (en raison de l'accroissement du décalage Doppler)</w:t>
            </w:r>
            <w:r w:rsidRPr="000D5771">
              <w:rPr>
                <w:sz w:val="20"/>
                <w:szCs w:val="16"/>
              </w:rPr>
              <w:t>.</w:t>
            </w:r>
          </w:p>
          <w:p w14:paraId="76D3014E" w14:textId="75A7AC82" w:rsidR="003B082F" w:rsidRPr="000D5771" w:rsidRDefault="003B082F" w:rsidP="003C6C48">
            <w:pPr>
              <w:pStyle w:val="TableText0"/>
              <w:spacing w:before="120"/>
              <w:rPr>
                <w:i/>
                <w:iCs/>
                <w:sz w:val="20"/>
                <w:szCs w:val="20"/>
                <w:u w:val="single"/>
                <w:lang w:val="fr-FR"/>
              </w:rPr>
            </w:pPr>
            <w:r w:rsidRPr="000D5771">
              <w:rPr>
                <w:i/>
                <w:iCs/>
                <w:sz w:val="20"/>
                <w:szCs w:val="20"/>
                <w:u w:val="single"/>
                <w:lang w:val="fr-FR"/>
              </w:rPr>
              <w:t>Partie 2: Marche à suivre</w:t>
            </w:r>
          </w:p>
          <w:p w14:paraId="17E5F710" w14:textId="4F4B396A" w:rsidR="003B082F" w:rsidRPr="000D5771" w:rsidRDefault="003B082F" w:rsidP="003C6C48">
            <w:pPr>
              <w:pStyle w:val="TableText0"/>
              <w:spacing w:before="120"/>
              <w:rPr>
                <w:b/>
                <w:i/>
                <w:sz w:val="20"/>
                <w:szCs w:val="20"/>
                <w:lang w:val="fr-FR"/>
              </w:rPr>
            </w:pPr>
            <w:r w:rsidRPr="000D5771">
              <w:rPr>
                <w:b/>
                <w:i/>
                <w:sz w:val="20"/>
                <w:szCs w:val="20"/>
                <w:lang w:val="fr-FR"/>
              </w:rPr>
              <w:t xml:space="preserve">Demander aux administrations des </w:t>
            </w:r>
            <w:r w:rsidR="00E80683" w:rsidRPr="000D5771">
              <w:rPr>
                <w:b/>
                <w:i/>
                <w:sz w:val="20"/>
                <w:szCs w:val="20"/>
                <w:lang w:val="fr-FR"/>
              </w:rPr>
              <w:t>pays membres de l'UAT</w:t>
            </w:r>
            <w:r w:rsidRPr="000D5771">
              <w:rPr>
                <w:b/>
                <w:iCs/>
                <w:sz w:val="20"/>
                <w:szCs w:val="20"/>
                <w:lang w:val="fr-FR"/>
              </w:rPr>
              <w:t>:</w:t>
            </w:r>
          </w:p>
          <w:p w14:paraId="5A5AAA47" w14:textId="58C8FAFB" w:rsidR="00FD1BC5" w:rsidRPr="000D5771" w:rsidRDefault="00DC24D2" w:rsidP="006316B9">
            <w:pPr>
              <w:pStyle w:val="TableText0"/>
              <w:rPr>
                <w:sz w:val="20"/>
                <w:szCs w:val="20"/>
                <w:u w:val="single"/>
                <w:lang w:val="fr-FR"/>
              </w:rPr>
            </w:pPr>
            <w:r w:rsidRPr="000D5771">
              <w:rPr>
                <w:sz w:val="20"/>
                <w:szCs w:val="20"/>
                <w:lang w:val="fr-FR"/>
              </w:rPr>
              <w:t>d</w:t>
            </w:r>
            <w:r w:rsidR="003B082F" w:rsidRPr="000D5771">
              <w:rPr>
                <w:sz w:val="20"/>
                <w:szCs w:val="20"/>
                <w:lang w:val="fr-FR"/>
              </w:rPr>
              <w:t>'</w:t>
            </w:r>
            <w:r w:rsidR="003B082F" w:rsidRPr="000D5771">
              <w:rPr>
                <w:b/>
                <w:sz w:val="20"/>
                <w:szCs w:val="20"/>
                <w:lang w:val="fr-FR"/>
              </w:rPr>
              <w:t>appuyer</w:t>
            </w:r>
            <w:r w:rsidR="003B082F" w:rsidRPr="000D5771">
              <w:rPr>
                <w:sz w:val="20"/>
                <w:szCs w:val="20"/>
                <w:lang w:val="fr-FR"/>
              </w:rPr>
              <w:t xml:space="preserve"> la proposition africaine commune au titre de ce point de l'ordre du jour.</w:t>
            </w:r>
          </w:p>
        </w:tc>
      </w:tr>
      <w:tr w:rsidR="00613B30" w:rsidRPr="000D5771" w14:paraId="60BA2AA6" w14:textId="77777777" w:rsidTr="00913168">
        <w:tc>
          <w:tcPr>
            <w:tcW w:w="2972" w:type="dxa"/>
            <w:tcBorders>
              <w:top w:val="single" w:sz="6" w:space="0" w:color="auto"/>
              <w:left w:val="single" w:sz="4" w:space="0" w:color="auto"/>
              <w:bottom w:val="single" w:sz="6" w:space="0" w:color="auto"/>
            </w:tcBorders>
          </w:tcPr>
          <w:p w14:paraId="6331F575" w14:textId="77777777" w:rsidR="00613B30" w:rsidRPr="000D5771" w:rsidRDefault="00613B30" w:rsidP="003C6C48">
            <w:pPr>
              <w:pStyle w:val="TableText0"/>
              <w:spacing w:before="120"/>
              <w:rPr>
                <w:b/>
                <w:sz w:val="20"/>
                <w:szCs w:val="20"/>
                <w:lang w:val="fr-FR"/>
              </w:rPr>
            </w:pPr>
            <w:r w:rsidRPr="000D5771">
              <w:rPr>
                <w:b/>
                <w:sz w:val="20"/>
                <w:szCs w:val="20"/>
                <w:lang w:val="fr-FR"/>
              </w:rPr>
              <w:t>1.7</w:t>
            </w:r>
          </w:p>
          <w:p w14:paraId="4CCE0276" w14:textId="4A1AD04F" w:rsidR="00477EC5" w:rsidRPr="000D5771" w:rsidRDefault="00704427" w:rsidP="003C6C48">
            <w:pPr>
              <w:pStyle w:val="TableText0"/>
              <w:spacing w:before="120"/>
              <w:rPr>
                <w:b/>
                <w:sz w:val="20"/>
                <w:szCs w:val="20"/>
                <w:lang w:val="fr-FR"/>
              </w:rPr>
            </w:pPr>
            <w:r w:rsidRPr="000D5771">
              <w:rPr>
                <w:bCs/>
                <w:iCs/>
                <w:sz w:val="20"/>
                <w:szCs w:val="20"/>
                <w:lang w:val="fr-FR"/>
              </w:rPr>
              <w:t>Envisager une nouvelle attribution au service mobile aéronautique (R) par satellite, conformément à la Résolution</w:t>
            </w:r>
            <w:r w:rsidR="00BB1B2D" w:rsidRPr="000D5771">
              <w:rPr>
                <w:bCs/>
                <w:iCs/>
                <w:sz w:val="20"/>
                <w:szCs w:val="20"/>
                <w:lang w:val="fr-FR"/>
              </w:rPr>
              <w:t> </w:t>
            </w:r>
            <w:r w:rsidRPr="000D5771">
              <w:rPr>
                <w:b/>
                <w:bCs/>
                <w:iCs/>
                <w:sz w:val="20"/>
                <w:szCs w:val="20"/>
                <w:lang w:val="fr-FR"/>
              </w:rPr>
              <w:t>428</w:t>
            </w:r>
            <w:r w:rsidRPr="000D5771">
              <w:rPr>
                <w:bCs/>
                <w:iCs/>
                <w:sz w:val="20"/>
                <w:szCs w:val="20"/>
                <w:lang w:val="fr-FR"/>
              </w:rPr>
              <w:t xml:space="preserve"> </w:t>
            </w:r>
            <w:r w:rsidRPr="000D5771">
              <w:rPr>
                <w:b/>
                <w:bCs/>
                <w:iCs/>
                <w:sz w:val="20"/>
                <w:szCs w:val="20"/>
                <w:lang w:val="fr-FR"/>
              </w:rPr>
              <w:t>(CMR-19)</w:t>
            </w:r>
            <w:r w:rsidRPr="000D5771">
              <w:rPr>
                <w:bCs/>
                <w:iCs/>
                <w:sz w:val="20"/>
                <w:szCs w:val="20"/>
                <w:lang w:val="fr-FR"/>
              </w:rPr>
              <w:t>, dans les sens Terre vers espace et espace vers Terre des communications aéronautiques en ondes métriques dans tout ou partie de la bande de fréquences 117,975</w:t>
            </w:r>
            <w:r w:rsidR="0012798A" w:rsidRPr="000D5771">
              <w:rPr>
                <w:bCs/>
                <w:iCs/>
                <w:sz w:val="20"/>
                <w:szCs w:val="20"/>
                <w:lang w:val="fr-FR"/>
              </w:rPr>
              <w:noBreakHyphen/>
            </w:r>
            <w:r w:rsidRPr="000D5771">
              <w:rPr>
                <w:bCs/>
                <w:iCs/>
                <w:sz w:val="20"/>
                <w:szCs w:val="20"/>
                <w:lang w:val="fr-FR"/>
              </w:rPr>
              <w:t>137</w:t>
            </w:r>
            <w:r w:rsidR="0012798A" w:rsidRPr="000D5771">
              <w:rPr>
                <w:bCs/>
                <w:iCs/>
                <w:sz w:val="20"/>
                <w:szCs w:val="20"/>
                <w:lang w:val="fr-FR"/>
              </w:rPr>
              <w:t> </w:t>
            </w:r>
            <w:r w:rsidRPr="000D5771">
              <w:rPr>
                <w:bCs/>
                <w:iCs/>
                <w:sz w:val="20"/>
                <w:szCs w:val="20"/>
                <w:lang w:val="fr-FR"/>
              </w:rPr>
              <w:t>MHz, tout en évitant d'imposer des contraintes excessives aux systèmes existants en ondes métriques fonctionnant dans le service mobile aéronautique (R), dans le service de radionavigation aéronautique et dans les bandes de fréquences adjacentes</w:t>
            </w:r>
          </w:p>
        </w:tc>
        <w:tc>
          <w:tcPr>
            <w:tcW w:w="7174" w:type="dxa"/>
            <w:tcBorders>
              <w:top w:val="single" w:sz="4" w:space="0" w:color="auto"/>
              <w:bottom w:val="single" w:sz="4" w:space="0" w:color="auto"/>
              <w:right w:val="single" w:sz="4" w:space="0" w:color="auto"/>
            </w:tcBorders>
          </w:tcPr>
          <w:p w14:paraId="3233E2C6" w14:textId="1812A89C" w:rsidR="00FD1BC5" w:rsidRPr="000D5771" w:rsidRDefault="00477EC5" w:rsidP="003C6C48">
            <w:pPr>
              <w:pStyle w:val="TableText0"/>
              <w:spacing w:before="120"/>
              <w:rPr>
                <w:i/>
                <w:iCs/>
                <w:sz w:val="20"/>
                <w:szCs w:val="20"/>
                <w:u w:val="single"/>
                <w:lang w:val="fr-FR"/>
              </w:rPr>
            </w:pPr>
            <w:r w:rsidRPr="000D5771">
              <w:rPr>
                <w:i/>
                <w:iCs/>
                <w:sz w:val="20"/>
                <w:szCs w:val="20"/>
                <w:u w:val="single"/>
                <w:lang w:val="fr-FR"/>
              </w:rPr>
              <w:t>Partie 1</w:t>
            </w:r>
            <w:r w:rsidR="00F94A97" w:rsidRPr="000D5771">
              <w:rPr>
                <w:i/>
                <w:iCs/>
                <w:sz w:val="20"/>
                <w:szCs w:val="20"/>
                <w:u w:val="single"/>
                <w:lang w:val="fr-FR"/>
              </w:rPr>
              <w:t>: Position commune</w:t>
            </w:r>
            <w:r w:rsidRPr="000D5771">
              <w:rPr>
                <w:i/>
                <w:iCs/>
                <w:sz w:val="20"/>
                <w:szCs w:val="20"/>
                <w:u w:val="single"/>
                <w:lang w:val="fr-FR"/>
              </w:rPr>
              <w:t>:</w:t>
            </w:r>
          </w:p>
          <w:p w14:paraId="5001C4A5" w14:textId="2DA4C7BF" w:rsidR="00FD1BC5" w:rsidRPr="000D5771" w:rsidRDefault="00477EC5" w:rsidP="003C6C48">
            <w:pPr>
              <w:pStyle w:val="enumlev1"/>
              <w:tabs>
                <w:tab w:val="clear" w:pos="1134"/>
                <w:tab w:val="left" w:pos="464"/>
              </w:tabs>
              <w:spacing w:before="120"/>
              <w:ind w:left="464" w:hanging="464"/>
              <w:rPr>
                <w:i/>
                <w:iCs/>
                <w:sz w:val="20"/>
                <w:szCs w:val="16"/>
                <w:u w:val="single"/>
              </w:rPr>
            </w:pPr>
            <w:r w:rsidRPr="000D5771">
              <w:rPr>
                <w:sz w:val="20"/>
                <w:szCs w:val="16"/>
              </w:rPr>
              <w:t>1</w:t>
            </w:r>
            <w:r w:rsidRPr="000D5771">
              <w:rPr>
                <w:sz w:val="20"/>
                <w:szCs w:val="16"/>
              </w:rPr>
              <w:tab/>
            </w:r>
            <w:r w:rsidR="00F94A97" w:rsidRPr="000D5771">
              <w:rPr>
                <w:b/>
                <w:sz w:val="20"/>
                <w:szCs w:val="16"/>
              </w:rPr>
              <w:t>Appuyer la Méthode B1</w:t>
            </w:r>
            <w:r w:rsidR="00F94A97" w:rsidRPr="000D5771">
              <w:rPr>
                <w:sz w:val="20"/>
                <w:szCs w:val="16"/>
              </w:rPr>
              <w:t>, compte tenu des conditions suivantes</w:t>
            </w:r>
            <w:r w:rsidRPr="000D5771">
              <w:rPr>
                <w:sz w:val="20"/>
                <w:szCs w:val="16"/>
              </w:rPr>
              <w:t>:</w:t>
            </w:r>
          </w:p>
          <w:p w14:paraId="77CDC22F" w14:textId="780354E6" w:rsidR="00FD1BC5" w:rsidRPr="000D5771" w:rsidRDefault="00477EC5" w:rsidP="003C6C48">
            <w:pPr>
              <w:pStyle w:val="enumlev2"/>
              <w:tabs>
                <w:tab w:val="clear" w:pos="1134"/>
                <w:tab w:val="clear" w:pos="1871"/>
                <w:tab w:val="left" w:pos="889"/>
              </w:tabs>
              <w:spacing w:before="40"/>
              <w:ind w:left="889" w:hanging="425"/>
              <w:rPr>
                <w:i/>
                <w:iCs/>
                <w:sz w:val="20"/>
                <w:szCs w:val="16"/>
                <w:u w:val="single"/>
              </w:rPr>
            </w:pPr>
            <w:r w:rsidRPr="000D5771">
              <w:rPr>
                <w:sz w:val="20"/>
                <w:szCs w:val="16"/>
              </w:rPr>
              <w:t>a)</w:t>
            </w:r>
            <w:r w:rsidRPr="000D5771">
              <w:rPr>
                <w:sz w:val="20"/>
                <w:szCs w:val="16"/>
              </w:rPr>
              <w:tab/>
            </w:r>
            <w:r w:rsidR="00BB1B2D" w:rsidRPr="000D5771">
              <w:rPr>
                <w:sz w:val="20"/>
                <w:szCs w:val="16"/>
              </w:rPr>
              <w:t>a</w:t>
            </w:r>
            <w:r w:rsidRPr="000D5771">
              <w:rPr>
                <w:sz w:val="20"/>
                <w:szCs w:val="16"/>
              </w:rPr>
              <w:t>ssurer la protection du SMA(R) dans la bande de fréquences 117,975</w:t>
            </w:r>
            <w:r w:rsidR="0012798A" w:rsidRPr="000D5771">
              <w:rPr>
                <w:sz w:val="20"/>
                <w:szCs w:val="16"/>
              </w:rPr>
              <w:noBreakHyphen/>
            </w:r>
            <w:r w:rsidRPr="000D5771">
              <w:rPr>
                <w:sz w:val="20"/>
                <w:szCs w:val="16"/>
              </w:rPr>
              <w:t>137</w:t>
            </w:r>
            <w:r w:rsidR="0012798A" w:rsidRPr="000D5771">
              <w:rPr>
                <w:sz w:val="20"/>
                <w:szCs w:val="16"/>
              </w:rPr>
              <w:t> </w:t>
            </w:r>
            <w:r w:rsidRPr="000D5771">
              <w:rPr>
                <w:sz w:val="20"/>
                <w:szCs w:val="16"/>
              </w:rPr>
              <w:t>MHz et du</w:t>
            </w:r>
            <w:r w:rsidR="00BB1B2D" w:rsidRPr="000D5771">
              <w:rPr>
                <w:sz w:val="20"/>
                <w:szCs w:val="16"/>
              </w:rPr>
              <w:t xml:space="preserve"> </w:t>
            </w:r>
            <w:r w:rsidRPr="000D5771">
              <w:rPr>
                <w:sz w:val="20"/>
                <w:szCs w:val="16"/>
              </w:rPr>
              <w:t>SMA(OR) dans la bande de fréquences 132</w:t>
            </w:r>
            <w:r w:rsidR="00694D9B" w:rsidRPr="000D5771">
              <w:rPr>
                <w:sz w:val="20"/>
                <w:szCs w:val="16"/>
              </w:rPr>
              <w:noBreakHyphen/>
            </w:r>
            <w:r w:rsidRPr="000D5771">
              <w:rPr>
                <w:sz w:val="20"/>
                <w:szCs w:val="16"/>
              </w:rPr>
              <w:t>137</w:t>
            </w:r>
            <w:r w:rsidR="00694D9B" w:rsidRPr="000D5771">
              <w:rPr>
                <w:sz w:val="20"/>
                <w:szCs w:val="16"/>
              </w:rPr>
              <w:t> </w:t>
            </w:r>
            <w:r w:rsidRPr="000D5771">
              <w:rPr>
                <w:sz w:val="20"/>
                <w:szCs w:val="16"/>
              </w:rPr>
              <w:t>MHz, sachant</w:t>
            </w:r>
            <w:r w:rsidR="0012798A" w:rsidRPr="000D5771">
              <w:rPr>
                <w:sz w:val="20"/>
                <w:szCs w:val="16"/>
              </w:rPr>
              <w:t xml:space="preserve"> </w:t>
            </w:r>
            <w:r w:rsidRPr="000D5771">
              <w:rPr>
                <w:sz w:val="20"/>
                <w:szCs w:val="16"/>
              </w:rPr>
              <w:t>que les caractéristiques du</w:t>
            </w:r>
            <w:r w:rsidR="00694D9B" w:rsidRPr="000D5771">
              <w:rPr>
                <w:sz w:val="20"/>
                <w:szCs w:val="16"/>
              </w:rPr>
              <w:t xml:space="preserve"> </w:t>
            </w:r>
            <w:r w:rsidRPr="000D5771">
              <w:rPr>
                <w:sz w:val="20"/>
                <w:szCs w:val="16"/>
              </w:rPr>
              <w:t>SMA(OR) ne sont pas disponibles. Toutefois, il est entendu que les systèmes du SMA(OR) fonctionnent sur des canaux des assignations nationales du</w:t>
            </w:r>
            <w:r w:rsidR="00BB1B2D" w:rsidRPr="000D5771">
              <w:rPr>
                <w:sz w:val="20"/>
                <w:szCs w:val="16"/>
              </w:rPr>
              <w:t xml:space="preserve"> </w:t>
            </w:r>
            <w:r w:rsidRPr="000D5771">
              <w:rPr>
                <w:sz w:val="20"/>
                <w:szCs w:val="16"/>
              </w:rPr>
              <w:t>SMA(R)S, de sorte que la coexistence entre le SMA(R)S et le</w:t>
            </w:r>
            <w:r w:rsidR="00BB1B2D" w:rsidRPr="000D5771">
              <w:rPr>
                <w:sz w:val="20"/>
                <w:szCs w:val="16"/>
              </w:rPr>
              <w:t xml:space="preserve"> </w:t>
            </w:r>
            <w:r w:rsidRPr="000D5771">
              <w:rPr>
                <w:sz w:val="20"/>
                <w:szCs w:val="16"/>
              </w:rPr>
              <w:t xml:space="preserve">SMA(OR) pourrait être envisagée dans le cadre de la planification et de la coordination des fréquences; assurer la protection des services dans les bandes </w:t>
            </w:r>
            <w:r w:rsidR="00C02F81" w:rsidRPr="000D5771">
              <w:rPr>
                <w:sz w:val="20"/>
                <w:szCs w:val="16"/>
              </w:rPr>
              <w:t xml:space="preserve">de fréquences </w:t>
            </w:r>
            <w:r w:rsidRPr="000D5771">
              <w:rPr>
                <w:sz w:val="20"/>
                <w:szCs w:val="16"/>
              </w:rPr>
              <w:t>adjacentes, sans imposer de contraintes à ces services;</w:t>
            </w:r>
          </w:p>
          <w:p w14:paraId="5582647E" w14:textId="52D83D73" w:rsidR="00DD06A6" w:rsidRPr="000D5771" w:rsidRDefault="00477EC5" w:rsidP="003C6C48">
            <w:pPr>
              <w:pStyle w:val="enumlev2"/>
              <w:tabs>
                <w:tab w:val="clear" w:pos="1134"/>
                <w:tab w:val="clear" w:pos="1871"/>
                <w:tab w:val="left" w:pos="889"/>
              </w:tabs>
              <w:spacing w:before="40"/>
              <w:ind w:left="889" w:hanging="425"/>
              <w:rPr>
                <w:sz w:val="20"/>
                <w:szCs w:val="16"/>
              </w:rPr>
            </w:pPr>
            <w:r w:rsidRPr="000D5771">
              <w:rPr>
                <w:sz w:val="20"/>
                <w:szCs w:val="16"/>
              </w:rPr>
              <w:t>b)</w:t>
            </w:r>
            <w:r w:rsidRPr="000D5771">
              <w:rPr>
                <w:sz w:val="20"/>
                <w:szCs w:val="16"/>
              </w:rPr>
              <w:tab/>
            </w:r>
            <w:r w:rsidR="00BB1B2D" w:rsidRPr="000D5771">
              <w:rPr>
                <w:sz w:val="20"/>
                <w:szCs w:val="16"/>
              </w:rPr>
              <w:t>l</w:t>
            </w:r>
            <w:r w:rsidRPr="000D5771">
              <w:rPr>
                <w:sz w:val="20"/>
                <w:szCs w:val="16"/>
              </w:rPr>
              <w:t xml:space="preserve">a coexistence dans la bande </w:t>
            </w:r>
            <w:r w:rsidR="00C02F81" w:rsidRPr="000D5771">
              <w:rPr>
                <w:sz w:val="20"/>
                <w:szCs w:val="16"/>
              </w:rPr>
              <w:t xml:space="preserve">de fréquences </w:t>
            </w:r>
            <w:r w:rsidRPr="000D5771">
              <w:rPr>
                <w:sz w:val="20"/>
                <w:szCs w:val="16"/>
              </w:rPr>
              <w:t>entre le SMA(R)S et le</w:t>
            </w:r>
            <w:r w:rsidR="00694D9B" w:rsidRPr="000D5771">
              <w:rPr>
                <w:sz w:val="20"/>
                <w:szCs w:val="16"/>
              </w:rPr>
              <w:t> </w:t>
            </w:r>
            <w:r w:rsidRPr="000D5771">
              <w:rPr>
                <w:sz w:val="20"/>
                <w:szCs w:val="16"/>
              </w:rPr>
              <w:t>SMA(R)S et la coexistence dans les bandes adjacentes entre le SRNA et le SMA(R)S au voisinage de 117,975</w:t>
            </w:r>
            <w:r w:rsidR="00BB1B2D" w:rsidRPr="000D5771">
              <w:rPr>
                <w:sz w:val="20"/>
                <w:szCs w:val="16"/>
              </w:rPr>
              <w:t> </w:t>
            </w:r>
            <w:r w:rsidRPr="000D5771">
              <w:rPr>
                <w:sz w:val="20"/>
                <w:szCs w:val="16"/>
              </w:rPr>
              <w:t>MHz doit être garantie dans le cadre de travaux de planification et de coordination des fréquences;</w:t>
            </w:r>
          </w:p>
          <w:p w14:paraId="5E52AF5C" w14:textId="0A315309" w:rsidR="001D1FB2" w:rsidRPr="000D5771" w:rsidRDefault="001D1FB2" w:rsidP="003C6C48">
            <w:pPr>
              <w:pStyle w:val="enumlev2"/>
              <w:tabs>
                <w:tab w:val="clear" w:pos="1134"/>
                <w:tab w:val="clear" w:pos="1871"/>
                <w:tab w:val="left" w:pos="889"/>
              </w:tabs>
              <w:spacing w:before="40"/>
              <w:ind w:left="889" w:hanging="425"/>
              <w:rPr>
                <w:sz w:val="20"/>
                <w:szCs w:val="16"/>
              </w:rPr>
            </w:pPr>
            <w:r w:rsidRPr="000D5771">
              <w:rPr>
                <w:sz w:val="20"/>
                <w:szCs w:val="16"/>
              </w:rPr>
              <w:t>c)</w:t>
            </w:r>
            <w:r w:rsidRPr="000D5771">
              <w:rPr>
                <w:sz w:val="20"/>
                <w:szCs w:val="16"/>
              </w:rPr>
              <w:tab/>
            </w:r>
            <w:r w:rsidR="00BB1B2D" w:rsidRPr="000D5771">
              <w:rPr>
                <w:sz w:val="20"/>
                <w:szCs w:val="16"/>
              </w:rPr>
              <w:t>l</w:t>
            </w:r>
            <w:r w:rsidRPr="000D5771">
              <w:rPr>
                <w:sz w:val="20"/>
                <w:szCs w:val="16"/>
              </w:rPr>
              <w:t xml:space="preserve">a protection des services dans les bandes </w:t>
            </w:r>
            <w:r w:rsidR="00C02F81" w:rsidRPr="000D5771">
              <w:rPr>
                <w:sz w:val="20"/>
                <w:szCs w:val="16"/>
              </w:rPr>
              <w:t xml:space="preserve">de fréquences </w:t>
            </w:r>
            <w:r w:rsidRPr="000D5771">
              <w:rPr>
                <w:sz w:val="20"/>
                <w:szCs w:val="16"/>
              </w:rPr>
              <w:t>adjacentes fonctionnant au-dessus de 137 MHz contre les rayonnements non désirés émis par des stations spatiales du</w:t>
            </w:r>
            <w:r w:rsidR="00BB1B2D" w:rsidRPr="000D5771">
              <w:rPr>
                <w:sz w:val="20"/>
                <w:szCs w:val="16"/>
              </w:rPr>
              <w:t> </w:t>
            </w:r>
            <w:r w:rsidRPr="000D5771">
              <w:rPr>
                <w:sz w:val="20"/>
                <w:szCs w:val="16"/>
              </w:rPr>
              <w:t>SMA(R)S au-dessus de 137 MHz est assurée: par une limite additionnelle de puissance surfacique du satellite de −166,6 dB(W/(m</w:t>
            </w:r>
            <w:r w:rsidRPr="000D5771">
              <w:rPr>
                <w:sz w:val="20"/>
                <w:szCs w:val="16"/>
                <w:vertAlign w:val="superscript"/>
              </w:rPr>
              <w:t>2</w:t>
            </w:r>
            <w:r w:rsidRPr="000D5771">
              <w:rPr>
                <w:sz w:val="20"/>
                <w:szCs w:val="16"/>
              </w:rPr>
              <w:t> ‧ 14 kHz)) à la surface de la Terre imposée au niveau des rayonnements non désirés dans la bande de fréquences adjacente 137</w:t>
            </w:r>
            <w:r w:rsidR="00E83C78" w:rsidRPr="000D5771">
              <w:rPr>
                <w:sz w:val="20"/>
                <w:szCs w:val="16"/>
              </w:rPr>
              <w:noBreakHyphen/>
            </w:r>
            <w:r w:rsidRPr="000D5771">
              <w:rPr>
                <w:sz w:val="20"/>
                <w:szCs w:val="16"/>
              </w:rPr>
              <w:t>138 MHz pour les rayonnements du SMA(R)S provenant des systèmes fonctionnant dans la bande de fréquences 117,975</w:t>
            </w:r>
            <w:r w:rsidRPr="000D5771">
              <w:rPr>
                <w:sz w:val="20"/>
                <w:szCs w:val="16"/>
              </w:rPr>
              <w:noBreakHyphen/>
              <w:t xml:space="preserve">137 MHz. </w:t>
            </w:r>
            <w:r w:rsidRPr="000D5771">
              <w:rPr>
                <w:rFonts w:eastAsia="Calibri"/>
                <w:sz w:val="20"/>
                <w:szCs w:val="16"/>
              </w:rPr>
              <w:t>Cette limite devrait garantir le respect des critères de protection du service de recherche spatiale, du SES, du SMS et du service Met</w:t>
            </w:r>
            <w:r w:rsidR="00E83C78" w:rsidRPr="000D5771">
              <w:rPr>
                <w:rFonts w:eastAsia="Calibri"/>
                <w:sz w:val="20"/>
                <w:szCs w:val="16"/>
              </w:rPr>
              <w:t>S</w:t>
            </w:r>
            <w:r w:rsidRPr="000D5771">
              <w:rPr>
                <w:rFonts w:eastAsia="Calibri"/>
                <w:sz w:val="20"/>
                <w:szCs w:val="16"/>
              </w:rPr>
              <w:t>at. Il serait également possible d'exiger l'application de cette limite aux émissions du</w:t>
            </w:r>
            <w:r w:rsidR="00BB1B2D" w:rsidRPr="000D5771">
              <w:rPr>
                <w:rFonts w:eastAsia="Calibri"/>
                <w:sz w:val="20"/>
                <w:szCs w:val="16"/>
              </w:rPr>
              <w:t xml:space="preserve"> </w:t>
            </w:r>
            <w:r w:rsidRPr="000D5771">
              <w:rPr>
                <w:rFonts w:eastAsia="Calibri"/>
                <w:sz w:val="20"/>
                <w:szCs w:val="16"/>
              </w:rPr>
              <w:t xml:space="preserve">SMA(R)S uniquement dans la bande de fréquences 136-137 MHz, étant donné que les émissions dans la bande de fréquences 117,975-136 MHz doivent respecter les limites prescrites dans l'Appendice </w:t>
            </w:r>
            <w:r w:rsidRPr="000D5771">
              <w:rPr>
                <w:rFonts w:eastAsia="Calibri"/>
                <w:b/>
                <w:bCs/>
                <w:sz w:val="20"/>
                <w:szCs w:val="16"/>
              </w:rPr>
              <w:t>3</w:t>
            </w:r>
            <w:r w:rsidRPr="000D5771">
              <w:rPr>
                <w:rFonts w:eastAsia="Calibri"/>
                <w:sz w:val="20"/>
                <w:szCs w:val="16"/>
              </w:rPr>
              <w:t xml:space="preserve"> du RR. La Méthode</w:t>
            </w:r>
            <w:r w:rsidR="00BB1B2D" w:rsidRPr="000D5771">
              <w:rPr>
                <w:rFonts w:eastAsia="Calibri"/>
                <w:sz w:val="20"/>
                <w:szCs w:val="16"/>
              </w:rPr>
              <w:t> </w:t>
            </w:r>
            <w:r w:rsidRPr="000D5771">
              <w:rPr>
                <w:rFonts w:eastAsia="Calibri"/>
                <w:sz w:val="20"/>
                <w:szCs w:val="16"/>
              </w:rPr>
              <w:t xml:space="preserve">B1 prévoit également la coordination en vue de la coexistence entre le SMA(R)S et d'autres services primaires dans la bande de fréquences, conformément au </w:t>
            </w:r>
            <w:r w:rsidRPr="000D5771">
              <w:rPr>
                <w:rFonts w:eastAsia="Calibri"/>
                <w:sz w:val="20"/>
                <w:szCs w:val="16"/>
              </w:rPr>
              <w:lastRenderedPageBreak/>
              <w:t xml:space="preserve">numéro </w:t>
            </w:r>
            <w:r w:rsidRPr="000D5771">
              <w:rPr>
                <w:rFonts w:eastAsia="Calibri"/>
                <w:b/>
                <w:bCs/>
                <w:sz w:val="20"/>
                <w:szCs w:val="16"/>
              </w:rPr>
              <w:t>9.11A</w:t>
            </w:r>
            <w:r w:rsidRPr="000D5771">
              <w:rPr>
                <w:rFonts w:eastAsia="Calibri"/>
                <w:sz w:val="20"/>
                <w:szCs w:val="16"/>
              </w:rPr>
              <w:t xml:space="preserve"> du RR, avec un seuil de coordination proposé dans l'Annexe</w:t>
            </w:r>
            <w:r w:rsidR="00E83C78" w:rsidRPr="000D5771">
              <w:rPr>
                <w:rFonts w:eastAsia="Calibri"/>
                <w:sz w:val="20"/>
                <w:szCs w:val="16"/>
              </w:rPr>
              <w:t> </w:t>
            </w:r>
            <w:r w:rsidRPr="000D5771">
              <w:rPr>
                <w:rFonts w:eastAsia="Calibri"/>
                <w:sz w:val="20"/>
                <w:szCs w:val="16"/>
              </w:rPr>
              <w:t>1 de l'Appendice</w:t>
            </w:r>
            <w:r w:rsidR="00BB1B2D" w:rsidRPr="000D5771">
              <w:rPr>
                <w:rFonts w:eastAsia="Calibri"/>
                <w:sz w:val="20"/>
                <w:szCs w:val="16"/>
              </w:rPr>
              <w:t> </w:t>
            </w:r>
            <w:r w:rsidRPr="000D5771">
              <w:rPr>
                <w:rFonts w:eastAsia="Calibri"/>
                <w:b/>
                <w:bCs/>
                <w:sz w:val="20"/>
                <w:szCs w:val="16"/>
              </w:rPr>
              <w:t>5</w:t>
            </w:r>
            <w:r w:rsidR="00BB1B2D" w:rsidRPr="000D5771">
              <w:rPr>
                <w:rFonts w:eastAsia="Calibri"/>
                <w:sz w:val="20"/>
                <w:szCs w:val="16"/>
              </w:rPr>
              <w:t>.</w:t>
            </w:r>
          </w:p>
          <w:p w14:paraId="5589FF8E" w14:textId="5B2CEDA8" w:rsidR="00FD1BC5" w:rsidRPr="000D5771" w:rsidRDefault="00FD1BC5" w:rsidP="003C6C48">
            <w:pPr>
              <w:pStyle w:val="enumlev1"/>
              <w:tabs>
                <w:tab w:val="clear" w:pos="1134"/>
                <w:tab w:val="left" w:pos="464"/>
              </w:tabs>
              <w:spacing w:before="40"/>
              <w:ind w:left="464" w:hanging="464"/>
              <w:rPr>
                <w:rFonts w:eastAsia="Calibri"/>
                <w:b/>
                <w:sz w:val="20"/>
                <w:szCs w:val="16"/>
              </w:rPr>
            </w:pPr>
            <w:r w:rsidRPr="000D5771">
              <w:rPr>
                <w:rFonts w:eastAsia="Calibri"/>
                <w:bCs/>
                <w:sz w:val="20"/>
                <w:szCs w:val="16"/>
              </w:rPr>
              <w:t>2</w:t>
            </w:r>
            <w:r w:rsidR="00BB1B2D" w:rsidRPr="000D5771">
              <w:rPr>
                <w:rFonts w:eastAsia="Calibri"/>
                <w:b/>
                <w:sz w:val="20"/>
                <w:szCs w:val="16"/>
              </w:rPr>
              <w:tab/>
              <w:t>T</w:t>
            </w:r>
            <w:r w:rsidR="00135486" w:rsidRPr="000D5771">
              <w:rPr>
                <w:rFonts w:eastAsia="Calibri"/>
                <w:b/>
                <w:sz w:val="20"/>
                <w:szCs w:val="16"/>
              </w:rPr>
              <w:t xml:space="preserve">enir compte </w:t>
            </w:r>
            <w:r w:rsidR="00135486" w:rsidRPr="000D5771">
              <w:rPr>
                <w:rFonts w:eastAsia="Calibri"/>
                <w:sz w:val="20"/>
                <w:szCs w:val="16"/>
              </w:rPr>
              <w:t>du fait</w:t>
            </w:r>
            <w:r w:rsidR="00704427" w:rsidRPr="000D5771">
              <w:rPr>
                <w:rFonts w:eastAsia="Calibri"/>
                <w:b/>
                <w:sz w:val="20"/>
                <w:szCs w:val="16"/>
              </w:rPr>
              <w:t xml:space="preserve"> </w:t>
            </w:r>
            <w:r w:rsidR="00135486" w:rsidRPr="000D5771">
              <w:rPr>
                <w:rFonts w:eastAsia="Calibri"/>
                <w:sz w:val="20"/>
                <w:szCs w:val="16"/>
              </w:rPr>
              <w:t>que l'application du</w:t>
            </w:r>
            <w:r w:rsidR="00704427" w:rsidRPr="000D5771">
              <w:rPr>
                <w:rFonts w:eastAsia="Calibri"/>
                <w:sz w:val="20"/>
                <w:szCs w:val="16"/>
              </w:rPr>
              <w:t xml:space="preserve"> numéro </w:t>
            </w:r>
            <w:r w:rsidR="00704427" w:rsidRPr="000D5771">
              <w:rPr>
                <w:rFonts w:eastAsia="Calibri"/>
                <w:b/>
                <w:bCs/>
                <w:sz w:val="20"/>
                <w:szCs w:val="16"/>
              </w:rPr>
              <w:t>9.16</w:t>
            </w:r>
            <w:r w:rsidR="00704427" w:rsidRPr="000D5771">
              <w:rPr>
                <w:rFonts w:eastAsia="Calibri"/>
                <w:sz w:val="20"/>
                <w:szCs w:val="16"/>
              </w:rPr>
              <w:t xml:space="preserve"> du RR</w:t>
            </w:r>
            <w:r w:rsidR="00AB5910" w:rsidRPr="000D5771">
              <w:rPr>
                <w:rFonts w:eastAsia="Calibri"/>
                <w:sz w:val="20"/>
                <w:szCs w:val="16"/>
              </w:rPr>
              <w:t xml:space="preserve"> peut </w:t>
            </w:r>
            <w:r w:rsidR="00135486" w:rsidRPr="000D5771">
              <w:rPr>
                <w:rFonts w:eastAsia="Calibri"/>
                <w:sz w:val="20"/>
                <w:szCs w:val="16"/>
              </w:rPr>
              <w:t>imposer des contraintes additionnelles</w:t>
            </w:r>
            <w:r w:rsidR="00704427" w:rsidRPr="000D5771">
              <w:rPr>
                <w:rFonts w:eastAsia="Calibri"/>
                <w:b/>
                <w:sz w:val="20"/>
                <w:szCs w:val="16"/>
              </w:rPr>
              <w:t xml:space="preserve"> </w:t>
            </w:r>
            <w:r w:rsidR="00135486" w:rsidRPr="000D5771">
              <w:rPr>
                <w:rFonts w:eastAsia="Calibri"/>
                <w:sz w:val="20"/>
                <w:szCs w:val="16"/>
              </w:rPr>
              <w:t>aux</w:t>
            </w:r>
            <w:r w:rsidR="00EC719E" w:rsidRPr="000D5771">
              <w:rPr>
                <w:rFonts w:eastAsia="Calibri"/>
                <w:sz w:val="20"/>
                <w:szCs w:val="16"/>
              </w:rPr>
              <w:t xml:space="preserve"> stations de Terre </w:t>
            </w:r>
            <w:r w:rsidR="00FE6712" w:rsidRPr="000D5771">
              <w:rPr>
                <w:rFonts w:eastAsia="Calibri"/>
                <w:sz w:val="20"/>
                <w:szCs w:val="16"/>
              </w:rPr>
              <w:t xml:space="preserve">existantes </w:t>
            </w:r>
            <w:r w:rsidR="00EC719E" w:rsidRPr="000D5771">
              <w:rPr>
                <w:rFonts w:eastAsia="Calibri"/>
                <w:sz w:val="20"/>
                <w:szCs w:val="16"/>
              </w:rPr>
              <w:t>du SM</w:t>
            </w:r>
            <w:r w:rsidR="00AB5910" w:rsidRPr="000D5771">
              <w:rPr>
                <w:rFonts w:eastAsia="Calibri"/>
                <w:sz w:val="20"/>
                <w:szCs w:val="16"/>
              </w:rPr>
              <w:t>A(R) et du</w:t>
            </w:r>
            <w:r w:rsidR="00E83C78" w:rsidRPr="000D5771">
              <w:rPr>
                <w:rFonts w:eastAsia="Calibri"/>
                <w:sz w:val="20"/>
                <w:szCs w:val="16"/>
              </w:rPr>
              <w:t> </w:t>
            </w:r>
            <w:r w:rsidR="00AB5910" w:rsidRPr="000D5771">
              <w:rPr>
                <w:rFonts w:eastAsia="Calibri"/>
                <w:sz w:val="20"/>
                <w:szCs w:val="16"/>
              </w:rPr>
              <w:t xml:space="preserve">SMA(OR), </w:t>
            </w:r>
            <w:r w:rsidR="00EC719E" w:rsidRPr="000D5771">
              <w:rPr>
                <w:rFonts w:eastAsia="Calibri"/>
                <w:sz w:val="20"/>
                <w:szCs w:val="16"/>
              </w:rPr>
              <w:t xml:space="preserve">en raison de l'application de la </w:t>
            </w:r>
            <w:r w:rsidR="00135486" w:rsidRPr="000D5771">
              <w:rPr>
                <w:rFonts w:eastAsia="Calibri"/>
                <w:sz w:val="20"/>
                <w:szCs w:val="16"/>
              </w:rPr>
              <w:t xml:space="preserve">procédure de </w:t>
            </w:r>
            <w:r w:rsidR="00EC719E" w:rsidRPr="000D5771">
              <w:rPr>
                <w:rFonts w:eastAsia="Calibri"/>
                <w:sz w:val="20"/>
                <w:szCs w:val="16"/>
              </w:rPr>
              <w:t>coordination avec les stations terriennes non OSG</w:t>
            </w:r>
            <w:r w:rsidR="00FE6712" w:rsidRPr="000D5771">
              <w:rPr>
                <w:rFonts w:eastAsia="Calibri"/>
                <w:sz w:val="20"/>
                <w:szCs w:val="16"/>
              </w:rPr>
              <w:t xml:space="preserve">, </w:t>
            </w:r>
            <w:r w:rsidR="00135486" w:rsidRPr="000D5771">
              <w:rPr>
                <w:rFonts w:eastAsia="Calibri"/>
                <w:sz w:val="20"/>
                <w:szCs w:val="16"/>
              </w:rPr>
              <w:t xml:space="preserve">dans le cas où </w:t>
            </w:r>
            <w:r w:rsidR="00EC719E" w:rsidRPr="000D5771">
              <w:rPr>
                <w:rFonts w:eastAsia="Calibri"/>
                <w:sz w:val="20"/>
                <w:szCs w:val="16"/>
              </w:rPr>
              <w:t>des fréquences ou des caractéristiques techniques des stations de Terre du SMA(R) et du SMA(OR)</w:t>
            </w:r>
            <w:r w:rsidR="00135486" w:rsidRPr="000D5771">
              <w:rPr>
                <w:rFonts w:eastAsia="Calibri"/>
                <w:sz w:val="20"/>
                <w:szCs w:val="16"/>
              </w:rPr>
              <w:t xml:space="preserve"> sont ajoutées ou modif</w:t>
            </w:r>
            <w:r w:rsidR="00EF217A" w:rsidRPr="000D5771">
              <w:rPr>
                <w:rFonts w:eastAsia="Calibri"/>
                <w:sz w:val="20"/>
                <w:szCs w:val="16"/>
              </w:rPr>
              <w:t>i</w:t>
            </w:r>
            <w:r w:rsidR="00135486" w:rsidRPr="000D5771">
              <w:rPr>
                <w:rFonts w:eastAsia="Calibri"/>
                <w:sz w:val="20"/>
                <w:szCs w:val="16"/>
              </w:rPr>
              <w:t>ées</w:t>
            </w:r>
            <w:r w:rsidR="0012798A" w:rsidRPr="000D5771">
              <w:rPr>
                <w:rFonts w:eastAsia="Calibri"/>
                <w:sz w:val="20"/>
                <w:szCs w:val="16"/>
              </w:rPr>
              <w:t>.</w:t>
            </w:r>
          </w:p>
          <w:p w14:paraId="600956D1" w14:textId="6C4FBF24" w:rsidR="00FD1BC5" w:rsidRPr="000D5771" w:rsidRDefault="00FD1BC5" w:rsidP="003C6C48">
            <w:pPr>
              <w:pStyle w:val="enumlev1"/>
              <w:tabs>
                <w:tab w:val="clear" w:pos="1134"/>
                <w:tab w:val="left" w:pos="464"/>
              </w:tabs>
              <w:spacing w:before="40"/>
              <w:ind w:left="464" w:hanging="464"/>
              <w:rPr>
                <w:rFonts w:eastAsia="Calibri"/>
                <w:sz w:val="20"/>
                <w:szCs w:val="16"/>
              </w:rPr>
            </w:pPr>
            <w:r w:rsidRPr="000D5771">
              <w:rPr>
                <w:rFonts w:eastAsia="Calibri"/>
                <w:bCs/>
                <w:sz w:val="20"/>
                <w:szCs w:val="16"/>
              </w:rPr>
              <w:t>3</w:t>
            </w:r>
            <w:r w:rsidR="00BB1B2D" w:rsidRPr="000D5771">
              <w:rPr>
                <w:rFonts w:eastAsia="Calibri"/>
                <w:b/>
                <w:sz w:val="20"/>
                <w:szCs w:val="16"/>
              </w:rPr>
              <w:tab/>
              <w:t>C</w:t>
            </w:r>
            <w:r w:rsidR="00704427" w:rsidRPr="000D5771">
              <w:rPr>
                <w:rFonts w:eastAsia="Calibri"/>
                <w:b/>
                <w:sz w:val="20"/>
                <w:szCs w:val="16"/>
              </w:rPr>
              <w:t>onsidérer</w:t>
            </w:r>
            <w:r w:rsidR="00704427" w:rsidRPr="000D5771">
              <w:rPr>
                <w:rFonts w:eastAsia="Calibri"/>
                <w:sz w:val="20"/>
                <w:szCs w:val="16"/>
              </w:rPr>
              <w:t xml:space="preserve"> qu'au titre du numéro </w:t>
            </w:r>
            <w:r w:rsidR="00704427" w:rsidRPr="000D5771">
              <w:rPr>
                <w:rFonts w:eastAsia="Calibri"/>
                <w:b/>
                <w:bCs/>
                <w:sz w:val="20"/>
                <w:szCs w:val="16"/>
              </w:rPr>
              <w:t>9.14</w:t>
            </w:r>
            <w:r w:rsidR="00704427" w:rsidRPr="000D5771">
              <w:rPr>
                <w:rFonts w:eastAsia="Calibri"/>
                <w:sz w:val="20"/>
                <w:szCs w:val="16"/>
              </w:rPr>
              <w:t xml:space="preserve"> du RR, les assignations de fréquence existantes aux stations de Terre fonctionnant dans la gamme de fréquences 117,975-137 MHz doivent être ajoutées dans le Fichier de référence, afin de </w:t>
            </w:r>
            <w:r w:rsidR="00FE6712" w:rsidRPr="000D5771">
              <w:rPr>
                <w:rFonts w:eastAsia="Calibri"/>
                <w:sz w:val="20"/>
                <w:szCs w:val="16"/>
              </w:rPr>
              <w:t xml:space="preserve">faire en sorte que </w:t>
            </w:r>
            <w:r w:rsidR="00704427" w:rsidRPr="000D5771">
              <w:rPr>
                <w:rFonts w:eastAsia="Calibri"/>
                <w:sz w:val="20"/>
                <w:szCs w:val="16"/>
              </w:rPr>
              <w:t xml:space="preserve">la station spatiale d'émission d'un réseau à satellite </w:t>
            </w:r>
            <w:r w:rsidR="00FE6712" w:rsidRPr="000D5771">
              <w:rPr>
                <w:rFonts w:eastAsia="Calibri"/>
                <w:sz w:val="20"/>
                <w:szCs w:val="16"/>
              </w:rPr>
              <w:t xml:space="preserve">assure la coordination </w:t>
            </w:r>
            <w:r w:rsidR="00704427" w:rsidRPr="000D5771">
              <w:rPr>
                <w:rFonts w:eastAsia="Calibri"/>
                <w:sz w:val="20"/>
                <w:szCs w:val="16"/>
              </w:rPr>
              <w:t>avec ces stations en cas de dépassement de la valeur seuil</w:t>
            </w:r>
            <w:r w:rsidR="0012798A" w:rsidRPr="000D5771">
              <w:rPr>
                <w:rFonts w:eastAsia="Calibri"/>
                <w:sz w:val="20"/>
                <w:szCs w:val="16"/>
              </w:rPr>
              <w:t>.</w:t>
            </w:r>
          </w:p>
          <w:p w14:paraId="6279124A" w14:textId="61CF8174" w:rsidR="00FD1BC5" w:rsidRPr="000D5771" w:rsidRDefault="00FD1BC5" w:rsidP="003C6C48">
            <w:pPr>
              <w:pStyle w:val="enumlev1"/>
              <w:tabs>
                <w:tab w:val="clear" w:pos="1134"/>
                <w:tab w:val="left" w:pos="464"/>
              </w:tabs>
              <w:spacing w:before="40"/>
              <w:ind w:left="464" w:hanging="464"/>
              <w:rPr>
                <w:rFonts w:eastAsia="Calibri"/>
                <w:b/>
                <w:sz w:val="20"/>
                <w:szCs w:val="16"/>
              </w:rPr>
            </w:pPr>
            <w:r w:rsidRPr="000D5771">
              <w:rPr>
                <w:rFonts w:eastAsia="Calibri"/>
                <w:bCs/>
                <w:sz w:val="20"/>
                <w:szCs w:val="16"/>
              </w:rPr>
              <w:t>4</w:t>
            </w:r>
            <w:r w:rsidRPr="000D5771">
              <w:rPr>
                <w:rFonts w:eastAsia="Calibri"/>
                <w:b/>
                <w:sz w:val="20"/>
                <w:szCs w:val="16"/>
              </w:rPr>
              <w:tab/>
            </w:r>
            <w:r w:rsidR="00BB1B2D" w:rsidRPr="000D5771">
              <w:rPr>
                <w:rFonts w:eastAsia="Calibri"/>
                <w:b/>
                <w:sz w:val="20"/>
                <w:szCs w:val="16"/>
              </w:rPr>
              <w:t>T</w:t>
            </w:r>
            <w:r w:rsidR="00AB5910" w:rsidRPr="000D5771">
              <w:rPr>
                <w:rFonts w:eastAsia="Calibri"/>
                <w:b/>
                <w:sz w:val="20"/>
                <w:szCs w:val="16"/>
              </w:rPr>
              <w:t>enir compte</w:t>
            </w:r>
            <w:r w:rsidR="00AB5910" w:rsidRPr="000D5771">
              <w:rPr>
                <w:rFonts w:eastAsia="Calibri"/>
                <w:sz w:val="20"/>
                <w:szCs w:val="16"/>
              </w:rPr>
              <w:t xml:space="preserve"> du fait que,</w:t>
            </w:r>
            <w:r w:rsidR="00AB5910" w:rsidRPr="000D5771">
              <w:rPr>
                <w:rFonts w:eastAsia="Calibri"/>
                <w:b/>
                <w:sz w:val="20"/>
                <w:szCs w:val="16"/>
              </w:rPr>
              <w:t xml:space="preserve"> </w:t>
            </w:r>
            <w:r w:rsidR="00AB5910" w:rsidRPr="000D5771">
              <w:rPr>
                <w:rFonts w:eastAsia="Calibri"/>
                <w:sz w:val="20"/>
                <w:szCs w:val="16"/>
              </w:rPr>
              <w:t>parmi</w:t>
            </w:r>
            <w:r w:rsidR="00AB5910" w:rsidRPr="000D5771">
              <w:rPr>
                <w:rFonts w:eastAsia="Calibri"/>
                <w:b/>
                <w:sz w:val="20"/>
                <w:szCs w:val="16"/>
              </w:rPr>
              <w:t xml:space="preserve"> </w:t>
            </w:r>
            <w:r w:rsidR="00AB5910" w:rsidRPr="000D5771">
              <w:rPr>
                <w:rFonts w:eastAsia="Calibri"/>
                <w:sz w:val="20"/>
                <w:szCs w:val="16"/>
              </w:rPr>
              <w:t xml:space="preserve">les deux valeurs proposées pour le seuil de coordination </w:t>
            </w:r>
            <w:r w:rsidR="00FE6712" w:rsidRPr="000D5771">
              <w:rPr>
                <w:rFonts w:eastAsia="Calibri"/>
                <w:sz w:val="20"/>
                <w:szCs w:val="16"/>
              </w:rPr>
              <w:t xml:space="preserve">indiqué </w:t>
            </w:r>
            <w:r w:rsidR="00135486" w:rsidRPr="000D5771">
              <w:rPr>
                <w:rFonts w:eastAsia="Calibri"/>
                <w:sz w:val="20"/>
                <w:szCs w:val="16"/>
              </w:rPr>
              <w:t>au</w:t>
            </w:r>
            <w:r w:rsidR="00AB5910" w:rsidRPr="000D5771">
              <w:rPr>
                <w:rFonts w:eastAsia="Calibri"/>
                <w:sz w:val="20"/>
                <w:szCs w:val="16"/>
              </w:rPr>
              <w:t xml:space="preserve"> numéro </w:t>
            </w:r>
            <w:r w:rsidR="00AB5910" w:rsidRPr="000D5771">
              <w:rPr>
                <w:rFonts w:eastAsia="Calibri"/>
                <w:b/>
                <w:bCs/>
                <w:sz w:val="20"/>
                <w:szCs w:val="16"/>
              </w:rPr>
              <w:t>9.14</w:t>
            </w:r>
            <w:r w:rsidR="00AB5910" w:rsidRPr="000D5771">
              <w:rPr>
                <w:rFonts w:eastAsia="Calibri"/>
                <w:sz w:val="20"/>
                <w:szCs w:val="16"/>
              </w:rPr>
              <w:t xml:space="preserve"> du RR, il est recommandé de choisir la valeur la plus stricte (limite </w:t>
            </w:r>
            <w:r w:rsidR="00FE6712" w:rsidRPr="000D5771">
              <w:rPr>
                <w:rFonts w:eastAsia="Calibri"/>
                <w:sz w:val="20"/>
                <w:szCs w:val="16"/>
              </w:rPr>
              <w:t xml:space="preserve">de puissance surfacique </w:t>
            </w:r>
            <w:r w:rsidR="00AB5910" w:rsidRPr="000D5771">
              <w:rPr>
                <w:rFonts w:eastAsia="Calibri"/>
                <w:sz w:val="20"/>
                <w:szCs w:val="16"/>
              </w:rPr>
              <w:t>de</w:t>
            </w:r>
            <w:r w:rsidR="00BB1B2D" w:rsidRPr="000D5771">
              <w:rPr>
                <w:rFonts w:eastAsia="Calibri"/>
                <w:sz w:val="20"/>
                <w:szCs w:val="16"/>
              </w:rPr>
              <w:t> −</w:t>
            </w:r>
            <w:r w:rsidR="00AB5910" w:rsidRPr="000D5771">
              <w:rPr>
                <w:rFonts w:eastAsia="Calibri"/>
                <w:sz w:val="20"/>
                <w:szCs w:val="16"/>
              </w:rPr>
              <w:t>148</w:t>
            </w:r>
            <w:r w:rsidR="00BB1B2D" w:rsidRPr="000D5771">
              <w:rPr>
                <w:rFonts w:eastAsia="Calibri"/>
                <w:sz w:val="20"/>
                <w:szCs w:val="16"/>
              </w:rPr>
              <w:t> </w:t>
            </w:r>
            <w:r w:rsidR="00AB5910" w:rsidRPr="000D5771">
              <w:rPr>
                <w:rFonts w:eastAsia="Calibri"/>
                <w:sz w:val="20"/>
                <w:szCs w:val="16"/>
              </w:rPr>
              <w:t>dB(W/(m2</w:t>
            </w:r>
            <w:r w:rsidR="00BB1B2D" w:rsidRPr="000D5771">
              <w:rPr>
                <w:rFonts w:eastAsia="Calibri"/>
                <w:sz w:val="20"/>
                <w:szCs w:val="16"/>
              </w:rPr>
              <w:t>   </w:t>
            </w:r>
            <w:r w:rsidR="00AB5910" w:rsidRPr="000D5771">
              <w:rPr>
                <w:rFonts w:eastAsia="Calibri"/>
                <w:sz w:val="20"/>
                <w:szCs w:val="16"/>
              </w:rPr>
              <w:t>4</w:t>
            </w:r>
            <w:r w:rsidR="00E83C78" w:rsidRPr="000D5771">
              <w:rPr>
                <w:rFonts w:eastAsia="Calibri"/>
                <w:sz w:val="20"/>
                <w:szCs w:val="16"/>
              </w:rPr>
              <w:t> </w:t>
            </w:r>
            <w:r w:rsidR="00AB5910" w:rsidRPr="000D5771">
              <w:rPr>
                <w:rFonts w:eastAsia="Calibri"/>
                <w:sz w:val="20"/>
                <w:szCs w:val="16"/>
              </w:rPr>
              <w:t>kHz)) à la surface de la Terre)</w:t>
            </w:r>
            <w:r w:rsidR="00FE6712" w:rsidRPr="000D5771">
              <w:rPr>
                <w:rFonts w:eastAsia="Calibri"/>
                <w:sz w:val="20"/>
                <w:szCs w:val="16"/>
              </w:rPr>
              <w:t xml:space="preserve">, </w:t>
            </w:r>
            <w:r w:rsidR="00AB5910" w:rsidRPr="000D5771">
              <w:rPr>
                <w:rFonts w:eastAsia="Calibri"/>
                <w:sz w:val="20"/>
                <w:szCs w:val="16"/>
              </w:rPr>
              <w:t>afin de garantir la protection des stations de Terre existantes</w:t>
            </w:r>
            <w:r w:rsidRPr="000D5771">
              <w:rPr>
                <w:rFonts w:eastAsia="Calibri"/>
                <w:sz w:val="20"/>
                <w:szCs w:val="16"/>
              </w:rPr>
              <w:t>.</w:t>
            </w:r>
          </w:p>
          <w:p w14:paraId="6C912A98" w14:textId="5E7FB0F5" w:rsidR="00AB5910" w:rsidRPr="000D5771" w:rsidRDefault="00AB5910" w:rsidP="003C6C48">
            <w:pPr>
              <w:pStyle w:val="TableText0"/>
              <w:spacing w:before="120"/>
              <w:rPr>
                <w:i/>
                <w:iCs/>
                <w:sz w:val="20"/>
                <w:szCs w:val="20"/>
                <w:u w:val="single"/>
                <w:lang w:val="fr-FR"/>
              </w:rPr>
            </w:pPr>
            <w:r w:rsidRPr="000D5771">
              <w:rPr>
                <w:i/>
                <w:iCs/>
                <w:sz w:val="20"/>
                <w:szCs w:val="20"/>
                <w:u w:val="single"/>
                <w:lang w:val="fr-FR"/>
              </w:rPr>
              <w:t>Partie 2: Marche à suivre</w:t>
            </w:r>
          </w:p>
          <w:p w14:paraId="181BF14C" w14:textId="3F12ED0D" w:rsidR="00AB5910" w:rsidRPr="000D5771" w:rsidRDefault="00AB5910" w:rsidP="003C6C48">
            <w:pPr>
              <w:pStyle w:val="TableText0"/>
              <w:spacing w:before="120"/>
              <w:rPr>
                <w:b/>
                <w:i/>
                <w:sz w:val="20"/>
                <w:szCs w:val="20"/>
                <w:lang w:val="fr-FR"/>
              </w:rPr>
            </w:pPr>
            <w:r w:rsidRPr="000D5771">
              <w:rPr>
                <w:b/>
                <w:i/>
                <w:sz w:val="20"/>
                <w:szCs w:val="20"/>
                <w:lang w:val="fr-FR"/>
              </w:rPr>
              <w:t xml:space="preserve">Demander aux administrations des </w:t>
            </w:r>
            <w:r w:rsidR="00E80683" w:rsidRPr="000D5771">
              <w:rPr>
                <w:b/>
                <w:i/>
                <w:sz w:val="20"/>
                <w:szCs w:val="20"/>
                <w:lang w:val="fr-FR"/>
              </w:rPr>
              <w:t>pays membres de l'UAT</w:t>
            </w:r>
            <w:r w:rsidRPr="000D5771">
              <w:rPr>
                <w:b/>
                <w:iCs/>
                <w:sz w:val="20"/>
                <w:szCs w:val="20"/>
                <w:lang w:val="fr-FR"/>
              </w:rPr>
              <w:t>:</w:t>
            </w:r>
          </w:p>
          <w:p w14:paraId="16414329" w14:textId="46FBF301" w:rsidR="00FD1BC5" w:rsidRPr="000D5771" w:rsidRDefault="00744CEA" w:rsidP="003C6C48">
            <w:pPr>
              <w:spacing w:before="40" w:after="40"/>
              <w:rPr>
                <w:sz w:val="20"/>
              </w:rPr>
            </w:pPr>
            <w:r w:rsidRPr="000D5771">
              <w:rPr>
                <w:sz w:val="20"/>
              </w:rPr>
              <w:t>d</w:t>
            </w:r>
            <w:r w:rsidR="00AB5910" w:rsidRPr="000D5771">
              <w:rPr>
                <w:sz w:val="20"/>
              </w:rPr>
              <w:t>'</w:t>
            </w:r>
            <w:r w:rsidR="00AB5910" w:rsidRPr="000D5771">
              <w:rPr>
                <w:b/>
                <w:sz w:val="20"/>
              </w:rPr>
              <w:t>appuyer</w:t>
            </w:r>
            <w:r w:rsidR="00AB5910" w:rsidRPr="000D5771">
              <w:rPr>
                <w:sz w:val="20"/>
              </w:rPr>
              <w:t xml:space="preserve"> la proposition africaine commune au titre de ce point de l'ordre du jour.</w:t>
            </w:r>
          </w:p>
        </w:tc>
      </w:tr>
      <w:tr w:rsidR="00613B30" w:rsidRPr="000D5771" w14:paraId="5E57A3AE" w14:textId="77777777" w:rsidTr="00913168">
        <w:trPr>
          <w:cantSplit/>
        </w:trPr>
        <w:tc>
          <w:tcPr>
            <w:tcW w:w="2972" w:type="dxa"/>
            <w:tcBorders>
              <w:top w:val="single" w:sz="6" w:space="0" w:color="auto"/>
              <w:left w:val="single" w:sz="4" w:space="0" w:color="auto"/>
              <w:bottom w:val="single" w:sz="6" w:space="0" w:color="auto"/>
            </w:tcBorders>
          </w:tcPr>
          <w:p w14:paraId="5FEB38F5" w14:textId="77777777" w:rsidR="00613B30" w:rsidRPr="000D5771" w:rsidRDefault="00613B30" w:rsidP="003C6C48">
            <w:pPr>
              <w:pStyle w:val="TableText0"/>
              <w:spacing w:before="120"/>
              <w:rPr>
                <w:b/>
                <w:sz w:val="20"/>
                <w:szCs w:val="20"/>
                <w:lang w:val="fr-FR"/>
              </w:rPr>
            </w:pPr>
            <w:r w:rsidRPr="000D5771">
              <w:rPr>
                <w:b/>
                <w:sz w:val="20"/>
                <w:szCs w:val="20"/>
                <w:lang w:val="fr-FR"/>
              </w:rPr>
              <w:lastRenderedPageBreak/>
              <w:t>1.8</w:t>
            </w:r>
          </w:p>
          <w:p w14:paraId="61030954" w14:textId="78B81C18" w:rsidR="00FD1BC5" w:rsidRPr="000D5771" w:rsidRDefault="00135486" w:rsidP="003C6C48">
            <w:pPr>
              <w:pStyle w:val="TableText0"/>
              <w:spacing w:before="120"/>
              <w:rPr>
                <w:b/>
                <w:sz w:val="20"/>
                <w:szCs w:val="20"/>
                <w:lang w:val="fr-FR"/>
              </w:rPr>
            </w:pPr>
            <w:r w:rsidRPr="000D5771">
              <w:rPr>
                <w:bCs/>
                <w:iCs/>
                <w:sz w:val="20"/>
                <w:szCs w:val="20"/>
                <w:lang w:val="fr-FR"/>
              </w:rPr>
              <w:t>E</w:t>
            </w:r>
            <w:r w:rsidR="00F36C03" w:rsidRPr="000D5771">
              <w:rPr>
                <w:bCs/>
                <w:iCs/>
                <w:sz w:val="20"/>
                <w:szCs w:val="20"/>
                <w:lang w:val="fr-FR"/>
              </w:rPr>
              <w:t>nvisager, sur la base des études menées par l'UIT-R conformément à la Résolution</w:t>
            </w:r>
            <w:r w:rsidR="00BB1B2D" w:rsidRPr="000D5771">
              <w:rPr>
                <w:bCs/>
                <w:iCs/>
                <w:sz w:val="20"/>
                <w:szCs w:val="20"/>
                <w:lang w:val="fr-FR"/>
              </w:rPr>
              <w:t> </w:t>
            </w:r>
            <w:r w:rsidR="00F36C03" w:rsidRPr="000D5771">
              <w:rPr>
                <w:b/>
                <w:bCs/>
                <w:iCs/>
                <w:sz w:val="20"/>
                <w:szCs w:val="20"/>
                <w:lang w:val="fr-FR"/>
              </w:rPr>
              <w:t>171 (CMR-19)</w:t>
            </w:r>
            <w:r w:rsidR="00F36C03" w:rsidRPr="000D5771">
              <w:rPr>
                <w:bCs/>
                <w:iCs/>
                <w:sz w:val="20"/>
                <w:szCs w:val="20"/>
                <w:lang w:val="fr-FR"/>
              </w:rPr>
              <w:t>, des mesures réglementaires appropriées, en vue d'examiner et, au besoin, de réviser la Résolution</w:t>
            </w:r>
            <w:r w:rsidR="00BB1B2D" w:rsidRPr="000D5771">
              <w:rPr>
                <w:bCs/>
                <w:iCs/>
                <w:sz w:val="20"/>
                <w:szCs w:val="20"/>
                <w:lang w:val="fr-FR"/>
              </w:rPr>
              <w:t> </w:t>
            </w:r>
            <w:r w:rsidR="00F36C03" w:rsidRPr="000D5771">
              <w:rPr>
                <w:b/>
                <w:bCs/>
                <w:iCs/>
                <w:sz w:val="20"/>
                <w:szCs w:val="20"/>
                <w:lang w:val="fr-FR"/>
              </w:rPr>
              <w:t>155 (Rév.CMR-19)</w:t>
            </w:r>
            <w:r w:rsidR="00F36C03" w:rsidRPr="000D5771">
              <w:rPr>
                <w:bCs/>
                <w:iCs/>
                <w:sz w:val="20"/>
                <w:szCs w:val="20"/>
                <w:lang w:val="fr-FR"/>
              </w:rPr>
              <w:t xml:space="preserve"> et le numéro</w:t>
            </w:r>
            <w:r w:rsidR="00BB1B2D" w:rsidRPr="000D5771">
              <w:rPr>
                <w:bCs/>
                <w:iCs/>
                <w:sz w:val="20"/>
                <w:szCs w:val="20"/>
                <w:lang w:val="fr-FR"/>
              </w:rPr>
              <w:t> </w:t>
            </w:r>
            <w:r w:rsidR="00F36C03" w:rsidRPr="000D5771">
              <w:rPr>
                <w:b/>
                <w:bCs/>
                <w:iCs/>
                <w:sz w:val="20"/>
                <w:szCs w:val="20"/>
                <w:lang w:val="fr-FR"/>
              </w:rPr>
              <w:t>5.484B</w:t>
            </w:r>
            <w:r w:rsidR="00F36C03" w:rsidRPr="000D5771">
              <w:rPr>
                <w:bCs/>
                <w:iCs/>
                <w:sz w:val="20"/>
                <w:szCs w:val="20"/>
                <w:lang w:val="fr-FR"/>
              </w:rPr>
              <w:t>, pour tenir compte de l'utilisation des réseaux du service fixe par satellite (SFS) pour les communications de contrôle et non associées à la charge utile des systèmes d'aéronef sans pilote</w:t>
            </w:r>
          </w:p>
        </w:tc>
        <w:tc>
          <w:tcPr>
            <w:tcW w:w="7174" w:type="dxa"/>
            <w:tcBorders>
              <w:top w:val="single" w:sz="4" w:space="0" w:color="auto"/>
              <w:bottom w:val="single" w:sz="6" w:space="0" w:color="auto"/>
              <w:right w:val="single" w:sz="4" w:space="0" w:color="auto"/>
            </w:tcBorders>
          </w:tcPr>
          <w:p w14:paraId="5DFCE10B" w14:textId="63B49991" w:rsidR="00613B30" w:rsidRPr="000D5771" w:rsidRDefault="00FD1BC5" w:rsidP="00C378DD">
            <w:pPr>
              <w:pStyle w:val="TableText0"/>
              <w:spacing w:before="120"/>
              <w:rPr>
                <w:i/>
                <w:iCs/>
                <w:sz w:val="20"/>
                <w:szCs w:val="20"/>
                <w:u w:val="single"/>
                <w:lang w:val="fr-FR"/>
              </w:rPr>
            </w:pPr>
            <w:r w:rsidRPr="000D5771">
              <w:rPr>
                <w:i/>
                <w:iCs/>
                <w:sz w:val="20"/>
                <w:szCs w:val="20"/>
                <w:u w:val="single"/>
                <w:lang w:val="fr-FR"/>
              </w:rPr>
              <w:t>Partie 1:</w:t>
            </w:r>
            <w:r w:rsidR="00F016E4" w:rsidRPr="000D5771">
              <w:rPr>
                <w:i/>
                <w:iCs/>
                <w:sz w:val="20"/>
                <w:szCs w:val="20"/>
                <w:u w:val="single"/>
                <w:lang w:val="fr-FR"/>
              </w:rPr>
              <w:t xml:space="preserve"> Position commune</w:t>
            </w:r>
          </w:p>
          <w:p w14:paraId="76C60371" w14:textId="17D3EBB1" w:rsidR="00FD1BC5" w:rsidRPr="000D5771" w:rsidRDefault="00F016E4" w:rsidP="00C378DD">
            <w:pPr>
              <w:pStyle w:val="TableText0"/>
              <w:spacing w:before="120"/>
              <w:rPr>
                <w:sz w:val="20"/>
                <w:szCs w:val="20"/>
                <w:lang w:val="fr-FR"/>
              </w:rPr>
            </w:pPr>
            <w:r w:rsidRPr="000D5771">
              <w:rPr>
                <w:b/>
                <w:sz w:val="20"/>
                <w:szCs w:val="20"/>
                <w:lang w:val="fr-FR"/>
              </w:rPr>
              <w:t>Appuyer la Méthode A</w:t>
            </w:r>
            <w:r w:rsidRPr="000D5771">
              <w:rPr>
                <w:sz w:val="20"/>
                <w:szCs w:val="20"/>
                <w:lang w:val="fr-FR"/>
              </w:rPr>
              <w:t xml:space="preserve">, dans laquelle il est proposé supprimer le numéro </w:t>
            </w:r>
            <w:r w:rsidRPr="000D5771">
              <w:rPr>
                <w:b/>
                <w:bCs/>
                <w:sz w:val="20"/>
                <w:szCs w:val="20"/>
                <w:lang w:val="fr-FR"/>
              </w:rPr>
              <w:t>5.484B</w:t>
            </w:r>
            <w:r w:rsidRPr="000D5771">
              <w:rPr>
                <w:sz w:val="20"/>
                <w:szCs w:val="20"/>
                <w:lang w:val="fr-FR"/>
              </w:rPr>
              <w:t xml:space="preserve"> du</w:t>
            </w:r>
            <w:r w:rsidR="00A140A5" w:rsidRPr="000D5771">
              <w:rPr>
                <w:sz w:val="20"/>
                <w:szCs w:val="20"/>
                <w:lang w:val="fr-FR"/>
              </w:rPr>
              <w:t> </w:t>
            </w:r>
            <w:r w:rsidRPr="000D5771">
              <w:rPr>
                <w:sz w:val="20"/>
                <w:szCs w:val="20"/>
                <w:lang w:val="fr-FR"/>
              </w:rPr>
              <w:t xml:space="preserve">RR, ainsi que les Résolutions </w:t>
            </w:r>
            <w:r w:rsidRPr="000D5771">
              <w:rPr>
                <w:b/>
                <w:bCs/>
                <w:sz w:val="20"/>
                <w:szCs w:val="20"/>
                <w:lang w:val="fr-FR"/>
              </w:rPr>
              <w:t>155 (Rév.CMR-19)</w:t>
            </w:r>
            <w:r w:rsidRPr="000D5771">
              <w:rPr>
                <w:sz w:val="20"/>
                <w:szCs w:val="20"/>
                <w:lang w:val="fr-FR"/>
              </w:rPr>
              <w:t xml:space="preserve"> et </w:t>
            </w:r>
            <w:r w:rsidRPr="000D5771">
              <w:rPr>
                <w:b/>
                <w:bCs/>
                <w:sz w:val="20"/>
                <w:szCs w:val="20"/>
                <w:lang w:val="fr-FR"/>
              </w:rPr>
              <w:t>171 (CMR-19)</w:t>
            </w:r>
            <w:r w:rsidRPr="000D5771">
              <w:rPr>
                <w:sz w:val="20"/>
                <w:szCs w:val="20"/>
                <w:lang w:val="fr-FR"/>
              </w:rPr>
              <w:t xml:space="preserve"> puisque, jusqu'à présent, aucune solution satisfaisante n'a été trouvée </w:t>
            </w:r>
            <w:r w:rsidR="00FE6712" w:rsidRPr="000D5771">
              <w:rPr>
                <w:sz w:val="20"/>
                <w:szCs w:val="20"/>
                <w:lang w:val="fr-FR"/>
              </w:rPr>
              <w:t>pour</w:t>
            </w:r>
            <w:r w:rsidRPr="000D5771">
              <w:rPr>
                <w:sz w:val="20"/>
                <w:szCs w:val="20"/>
                <w:lang w:val="fr-FR"/>
              </w:rPr>
              <w:t xml:space="preserve"> l'exploitation des stations terriennes d'aéronef sans pilote</w:t>
            </w:r>
            <w:r w:rsidR="00FE6712" w:rsidRPr="000D5771">
              <w:rPr>
                <w:sz w:val="20"/>
                <w:szCs w:val="20"/>
                <w:lang w:val="fr-FR"/>
              </w:rPr>
              <w:t xml:space="preserve"> (UA)</w:t>
            </w:r>
            <w:r w:rsidRPr="000D5771">
              <w:rPr>
                <w:sz w:val="20"/>
                <w:szCs w:val="20"/>
                <w:lang w:val="fr-FR"/>
              </w:rPr>
              <w:t>.</w:t>
            </w:r>
          </w:p>
          <w:p w14:paraId="283FD798" w14:textId="655DE597" w:rsidR="00FD1BC5" w:rsidRPr="000D5771" w:rsidRDefault="00FD1BC5" w:rsidP="00C378DD">
            <w:pPr>
              <w:pStyle w:val="TableText0"/>
              <w:spacing w:before="120"/>
              <w:rPr>
                <w:i/>
                <w:iCs/>
                <w:sz w:val="20"/>
                <w:szCs w:val="20"/>
                <w:u w:val="single"/>
                <w:lang w:val="fr-FR"/>
              </w:rPr>
            </w:pPr>
            <w:r w:rsidRPr="000D5771">
              <w:rPr>
                <w:i/>
                <w:iCs/>
                <w:sz w:val="20"/>
                <w:szCs w:val="20"/>
                <w:u w:val="single"/>
                <w:lang w:val="fr-FR"/>
              </w:rPr>
              <w:t>Partie 2:</w:t>
            </w:r>
            <w:r w:rsidR="00F016E4" w:rsidRPr="000D5771">
              <w:rPr>
                <w:i/>
                <w:iCs/>
                <w:sz w:val="20"/>
                <w:szCs w:val="20"/>
                <w:u w:val="single"/>
                <w:lang w:val="fr-FR"/>
              </w:rPr>
              <w:t xml:space="preserve"> Marche à suivre</w:t>
            </w:r>
          </w:p>
          <w:p w14:paraId="331A0860" w14:textId="56B742B3" w:rsidR="00F016E4" w:rsidRPr="000D5771" w:rsidRDefault="00F016E4" w:rsidP="00C378DD">
            <w:pPr>
              <w:pStyle w:val="TableText0"/>
              <w:spacing w:before="120"/>
              <w:rPr>
                <w:b/>
                <w:i/>
                <w:sz w:val="20"/>
                <w:szCs w:val="20"/>
                <w:lang w:val="fr-FR"/>
              </w:rPr>
            </w:pPr>
            <w:r w:rsidRPr="000D5771">
              <w:rPr>
                <w:b/>
                <w:i/>
                <w:sz w:val="20"/>
                <w:szCs w:val="20"/>
                <w:lang w:val="fr-FR"/>
              </w:rPr>
              <w:t xml:space="preserve">Demander aux administrations des </w:t>
            </w:r>
            <w:r w:rsidR="00E80683" w:rsidRPr="000D5771">
              <w:rPr>
                <w:b/>
                <w:i/>
                <w:sz w:val="20"/>
                <w:szCs w:val="20"/>
                <w:lang w:val="fr-FR"/>
              </w:rPr>
              <w:t>pays membres de l'UAT</w:t>
            </w:r>
            <w:r w:rsidRPr="000D5771">
              <w:rPr>
                <w:b/>
                <w:iCs/>
                <w:sz w:val="20"/>
                <w:szCs w:val="20"/>
                <w:lang w:val="fr-FR"/>
              </w:rPr>
              <w:t>:</w:t>
            </w:r>
          </w:p>
          <w:p w14:paraId="4C89D25A" w14:textId="5F8CCC75" w:rsidR="00FD1BC5" w:rsidRPr="000D5771" w:rsidRDefault="00744CEA" w:rsidP="006316B9">
            <w:pPr>
              <w:pStyle w:val="TableText0"/>
              <w:rPr>
                <w:sz w:val="20"/>
                <w:szCs w:val="20"/>
                <w:lang w:val="fr-FR"/>
              </w:rPr>
            </w:pPr>
            <w:r w:rsidRPr="000D5771">
              <w:rPr>
                <w:sz w:val="20"/>
                <w:szCs w:val="20"/>
                <w:lang w:val="fr-FR"/>
              </w:rPr>
              <w:t>d</w:t>
            </w:r>
            <w:r w:rsidR="00F016E4" w:rsidRPr="000D5771">
              <w:rPr>
                <w:sz w:val="20"/>
                <w:szCs w:val="20"/>
                <w:lang w:val="fr-FR"/>
              </w:rPr>
              <w:t>'</w:t>
            </w:r>
            <w:r w:rsidR="00F016E4" w:rsidRPr="000D5771">
              <w:rPr>
                <w:b/>
                <w:sz w:val="20"/>
                <w:szCs w:val="20"/>
                <w:lang w:val="fr-FR"/>
              </w:rPr>
              <w:t>appuyer</w:t>
            </w:r>
            <w:r w:rsidR="00F016E4" w:rsidRPr="000D5771">
              <w:rPr>
                <w:sz w:val="20"/>
                <w:szCs w:val="20"/>
                <w:lang w:val="fr-FR"/>
              </w:rPr>
              <w:t xml:space="preserve"> la proposition africaine commune au titre de ce point de l'ordre du jour.</w:t>
            </w:r>
          </w:p>
        </w:tc>
      </w:tr>
      <w:tr w:rsidR="00613B30" w:rsidRPr="000D5771" w14:paraId="6ABE8ECA" w14:textId="77777777" w:rsidTr="001A7D8F">
        <w:trPr>
          <w:trHeight w:val="95"/>
        </w:trPr>
        <w:tc>
          <w:tcPr>
            <w:tcW w:w="2972" w:type="dxa"/>
            <w:tcBorders>
              <w:top w:val="single" w:sz="4" w:space="0" w:color="auto"/>
              <w:left w:val="single" w:sz="4" w:space="0" w:color="auto"/>
              <w:bottom w:val="single" w:sz="4" w:space="0" w:color="auto"/>
            </w:tcBorders>
          </w:tcPr>
          <w:p w14:paraId="4557EC32" w14:textId="77777777" w:rsidR="00613B30" w:rsidRPr="000D5771" w:rsidRDefault="00613B30" w:rsidP="00C378DD">
            <w:pPr>
              <w:pStyle w:val="TableText0"/>
              <w:spacing w:before="120"/>
              <w:rPr>
                <w:b/>
                <w:sz w:val="20"/>
                <w:szCs w:val="20"/>
                <w:lang w:val="fr-FR"/>
              </w:rPr>
            </w:pPr>
            <w:r w:rsidRPr="000D5771">
              <w:rPr>
                <w:b/>
                <w:sz w:val="20"/>
                <w:szCs w:val="20"/>
                <w:lang w:val="fr-FR"/>
              </w:rPr>
              <w:t>1.9</w:t>
            </w:r>
          </w:p>
          <w:p w14:paraId="632F3402" w14:textId="01B64FD4" w:rsidR="00574D6C" w:rsidRPr="000D5771" w:rsidRDefault="00343961" w:rsidP="00C378DD">
            <w:pPr>
              <w:pStyle w:val="TableText0"/>
              <w:spacing w:before="120"/>
              <w:rPr>
                <w:b/>
                <w:sz w:val="20"/>
                <w:szCs w:val="20"/>
                <w:lang w:val="fr-FR"/>
              </w:rPr>
            </w:pPr>
            <w:r w:rsidRPr="000D5771">
              <w:rPr>
                <w:bCs/>
                <w:iCs/>
                <w:sz w:val="20"/>
                <w:szCs w:val="20"/>
                <w:lang w:val="fr-FR"/>
              </w:rPr>
              <w:t>E</w:t>
            </w:r>
            <w:r w:rsidR="00574D6C" w:rsidRPr="000D5771">
              <w:rPr>
                <w:bCs/>
                <w:iCs/>
                <w:sz w:val="20"/>
                <w:szCs w:val="20"/>
                <w:lang w:val="fr-FR"/>
              </w:rPr>
              <w:t xml:space="preserve">xaminer l'Appendice </w:t>
            </w:r>
            <w:r w:rsidR="00574D6C" w:rsidRPr="000D5771">
              <w:rPr>
                <w:b/>
                <w:bCs/>
                <w:iCs/>
                <w:sz w:val="20"/>
                <w:szCs w:val="20"/>
                <w:lang w:val="fr-FR"/>
              </w:rPr>
              <w:t>27</w:t>
            </w:r>
            <w:r w:rsidR="00574D6C" w:rsidRPr="000D5771">
              <w:rPr>
                <w:bCs/>
                <w:iCs/>
                <w:sz w:val="20"/>
                <w:szCs w:val="20"/>
                <w:lang w:val="fr-FR"/>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w:t>
            </w:r>
            <w:r w:rsidR="00574D6C" w:rsidRPr="000D5771">
              <w:rPr>
                <w:bCs/>
                <w:iCs/>
                <w:sz w:val="20"/>
                <w:szCs w:val="20"/>
                <w:lang w:val="fr-FR"/>
              </w:rPr>
              <w:lastRenderedPageBreak/>
              <w:t>décamétriques, conformément à la Résolution </w:t>
            </w:r>
            <w:r w:rsidR="00574D6C" w:rsidRPr="000D5771">
              <w:rPr>
                <w:b/>
                <w:iCs/>
                <w:sz w:val="20"/>
                <w:szCs w:val="20"/>
                <w:lang w:val="fr-FR"/>
              </w:rPr>
              <w:t>429</w:t>
            </w:r>
            <w:r w:rsidR="00574D6C" w:rsidRPr="000D5771">
              <w:rPr>
                <w:b/>
                <w:bCs/>
                <w:iCs/>
                <w:sz w:val="20"/>
                <w:szCs w:val="20"/>
                <w:lang w:val="fr-FR"/>
              </w:rPr>
              <w:t xml:space="preserve"> (CMR-19)</w:t>
            </w:r>
          </w:p>
        </w:tc>
        <w:tc>
          <w:tcPr>
            <w:tcW w:w="7174" w:type="dxa"/>
            <w:tcBorders>
              <w:top w:val="single" w:sz="6" w:space="0" w:color="auto"/>
              <w:bottom w:val="single" w:sz="6" w:space="0" w:color="auto"/>
              <w:right w:val="single" w:sz="4" w:space="0" w:color="auto"/>
            </w:tcBorders>
          </w:tcPr>
          <w:p w14:paraId="19B33BAF" w14:textId="424442D1" w:rsidR="00613B30" w:rsidRPr="000D5771" w:rsidRDefault="00574D6C" w:rsidP="00C378DD">
            <w:pPr>
              <w:pStyle w:val="TableText0"/>
              <w:spacing w:before="120"/>
              <w:rPr>
                <w:i/>
                <w:iCs/>
                <w:sz w:val="20"/>
                <w:szCs w:val="20"/>
                <w:u w:val="single"/>
                <w:lang w:val="fr-FR"/>
              </w:rPr>
            </w:pPr>
            <w:r w:rsidRPr="000D5771">
              <w:rPr>
                <w:i/>
                <w:iCs/>
                <w:sz w:val="20"/>
                <w:szCs w:val="20"/>
                <w:u w:val="single"/>
                <w:lang w:val="fr-FR"/>
              </w:rPr>
              <w:lastRenderedPageBreak/>
              <w:t>Partie 1:</w:t>
            </w:r>
            <w:r w:rsidR="00343961" w:rsidRPr="000D5771">
              <w:rPr>
                <w:i/>
                <w:iCs/>
                <w:sz w:val="20"/>
                <w:szCs w:val="20"/>
                <w:u w:val="single"/>
                <w:lang w:val="fr-FR"/>
              </w:rPr>
              <w:t xml:space="preserve"> Position commune</w:t>
            </w:r>
            <w:r w:rsidR="00A140A5" w:rsidRPr="000D5771">
              <w:rPr>
                <w:i/>
                <w:iCs/>
                <w:sz w:val="20"/>
                <w:szCs w:val="20"/>
                <w:u w:val="single"/>
                <w:lang w:val="fr-FR"/>
              </w:rPr>
              <w:t>:</w:t>
            </w:r>
          </w:p>
          <w:p w14:paraId="481BA8B1" w14:textId="4D7220A9" w:rsidR="00574D6C" w:rsidRPr="000D5771" w:rsidRDefault="00343961" w:rsidP="00C378DD">
            <w:pPr>
              <w:pStyle w:val="TableText0"/>
              <w:spacing w:before="120"/>
              <w:rPr>
                <w:sz w:val="20"/>
                <w:szCs w:val="20"/>
                <w:lang w:val="fr-FR"/>
              </w:rPr>
            </w:pPr>
            <w:r w:rsidRPr="000D5771">
              <w:rPr>
                <w:b/>
                <w:sz w:val="20"/>
                <w:szCs w:val="20"/>
                <w:lang w:val="fr-FR"/>
              </w:rPr>
              <w:t>Appuyer la Méthode B</w:t>
            </w:r>
            <w:r w:rsidRPr="000D5771">
              <w:rPr>
                <w:sz w:val="20"/>
                <w:szCs w:val="20"/>
                <w:lang w:val="fr-FR"/>
              </w:rPr>
              <w:t>, compte tenu des conditions suivantes:</w:t>
            </w:r>
          </w:p>
          <w:p w14:paraId="7BC704EE" w14:textId="31763505" w:rsidR="00574D6C" w:rsidRPr="000D5771" w:rsidRDefault="00574D6C" w:rsidP="00C378DD">
            <w:pPr>
              <w:pStyle w:val="enumlev1"/>
              <w:tabs>
                <w:tab w:val="clear" w:pos="1134"/>
                <w:tab w:val="left" w:pos="464"/>
              </w:tabs>
              <w:spacing w:before="40"/>
              <w:ind w:left="464" w:hanging="464"/>
              <w:rPr>
                <w:sz w:val="20"/>
                <w:szCs w:val="16"/>
              </w:rPr>
            </w:pPr>
            <w:r w:rsidRPr="000D5771">
              <w:rPr>
                <w:sz w:val="20"/>
                <w:szCs w:val="16"/>
              </w:rPr>
              <w:t>1</w:t>
            </w:r>
            <w:r w:rsidRPr="000D5771">
              <w:rPr>
                <w:sz w:val="20"/>
                <w:szCs w:val="16"/>
              </w:rPr>
              <w:tab/>
            </w:r>
            <w:r w:rsidR="00A140A5" w:rsidRPr="000D5771">
              <w:rPr>
                <w:sz w:val="20"/>
                <w:szCs w:val="16"/>
              </w:rPr>
              <w:t>l</w:t>
            </w:r>
            <w:r w:rsidR="00343961" w:rsidRPr="000D5771">
              <w:rPr>
                <w:sz w:val="20"/>
                <w:szCs w:val="16"/>
              </w:rPr>
              <w:t xml:space="preserve">es nouveaux systèmes à large bande numériques en ondes décamétriques proposés sont conformes aux systèmes existants de communication vocale analogiques et de communication de données numériques, sans </w:t>
            </w:r>
            <w:r w:rsidR="00FE6712" w:rsidRPr="000D5771">
              <w:rPr>
                <w:sz w:val="20"/>
                <w:szCs w:val="16"/>
              </w:rPr>
              <w:t xml:space="preserve">que </w:t>
            </w:r>
            <w:r w:rsidR="00343961" w:rsidRPr="000D5771">
              <w:rPr>
                <w:sz w:val="20"/>
                <w:szCs w:val="16"/>
              </w:rPr>
              <w:t>de</w:t>
            </w:r>
            <w:r w:rsidR="00FE6712" w:rsidRPr="000D5771">
              <w:rPr>
                <w:sz w:val="20"/>
                <w:szCs w:val="16"/>
              </w:rPr>
              <w:t>s</w:t>
            </w:r>
            <w:r w:rsidR="00343961" w:rsidRPr="000D5771">
              <w:rPr>
                <w:sz w:val="20"/>
                <w:szCs w:val="16"/>
              </w:rPr>
              <w:t xml:space="preserve"> brouillages</w:t>
            </w:r>
            <w:r w:rsidR="00FE6712" w:rsidRPr="000D5771">
              <w:rPr>
                <w:sz w:val="20"/>
                <w:szCs w:val="16"/>
              </w:rPr>
              <w:t xml:space="preserve"> soient causés </w:t>
            </w:r>
            <w:r w:rsidR="00343961" w:rsidRPr="000D5771">
              <w:rPr>
                <w:sz w:val="20"/>
                <w:szCs w:val="16"/>
              </w:rPr>
              <w:t xml:space="preserve">et sans </w:t>
            </w:r>
            <w:r w:rsidR="00FE6712" w:rsidRPr="000D5771">
              <w:rPr>
                <w:sz w:val="20"/>
                <w:szCs w:val="16"/>
              </w:rPr>
              <w:t xml:space="preserve">que </w:t>
            </w:r>
            <w:r w:rsidR="00343961" w:rsidRPr="000D5771">
              <w:rPr>
                <w:sz w:val="20"/>
                <w:szCs w:val="16"/>
              </w:rPr>
              <w:t>de</w:t>
            </w:r>
            <w:r w:rsidR="00FE6712" w:rsidRPr="000D5771">
              <w:rPr>
                <w:sz w:val="20"/>
                <w:szCs w:val="16"/>
              </w:rPr>
              <w:t>s</w:t>
            </w:r>
            <w:r w:rsidR="00343961" w:rsidRPr="000D5771">
              <w:rPr>
                <w:sz w:val="20"/>
                <w:szCs w:val="16"/>
              </w:rPr>
              <w:t xml:space="preserve"> modifications </w:t>
            </w:r>
            <w:r w:rsidR="00FE6712" w:rsidRPr="000D5771">
              <w:rPr>
                <w:sz w:val="20"/>
                <w:szCs w:val="16"/>
              </w:rPr>
              <w:t>soient apportées aux</w:t>
            </w:r>
            <w:r w:rsidR="00EF217A" w:rsidRPr="000D5771">
              <w:rPr>
                <w:sz w:val="20"/>
                <w:szCs w:val="16"/>
              </w:rPr>
              <w:t xml:space="preserve"> </w:t>
            </w:r>
            <w:r w:rsidR="00343961" w:rsidRPr="000D5771">
              <w:rPr>
                <w:sz w:val="20"/>
                <w:szCs w:val="16"/>
              </w:rPr>
              <w:t xml:space="preserve">attributions, </w:t>
            </w:r>
            <w:r w:rsidR="00FE6712" w:rsidRPr="000D5771">
              <w:rPr>
                <w:sz w:val="20"/>
                <w:szCs w:val="16"/>
              </w:rPr>
              <w:t>à moins que les</w:t>
            </w:r>
            <w:r w:rsidR="00343961" w:rsidRPr="000D5771">
              <w:rPr>
                <w:sz w:val="20"/>
                <w:szCs w:val="16"/>
              </w:rPr>
              <w:t xml:space="preserve"> États</w:t>
            </w:r>
            <w:r w:rsidR="001A7D8F" w:rsidRPr="000D5771">
              <w:rPr>
                <w:sz w:val="20"/>
                <w:szCs w:val="16"/>
              </w:rPr>
              <w:t xml:space="preserve"> </w:t>
            </w:r>
            <w:r w:rsidR="00343961" w:rsidRPr="000D5771">
              <w:rPr>
                <w:sz w:val="20"/>
                <w:szCs w:val="16"/>
              </w:rPr>
              <w:t>Membres</w:t>
            </w:r>
            <w:r w:rsidR="00FE6712" w:rsidRPr="000D5771">
              <w:rPr>
                <w:sz w:val="20"/>
                <w:szCs w:val="16"/>
              </w:rPr>
              <w:t xml:space="preserve"> affectés</w:t>
            </w:r>
            <w:r w:rsidR="00343961" w:rsidRPr="000D5771">
              <w:rPr>
                <w:sz w:val="20"/>
                <w:szCs w:val="16"/>
              </w:rPr>
              <w:t xml:space="preserve"> </w:t>
            </w:r>
            <w:r w:rsidR="00FE6712" w:rsidRPr="000D5771">
              <w:rPr>
                <w:sz w:val="20"/>
                <w:szCs w:val="16"/>
              </w:rPr>
              <w:t>en décident autrement</w:t>
            </w:r>
            <w:r w:rsidR="00343961" w:rsidRPr="000D5771">
              <w:rPr>
                <w:sz w:val="20"/>
                <w:szCs w:val="16"/>
              </w:rPr>
              <w:t>, et fonctionnent conformément aux normes et pratiques recommandées internationales et aux procédures de l'OACI</w:t>
            </w:r>
            <w:r w:rsidRPr="000D5771">
              <w:rPr>
                <w:sz w:val="20"/>
                <w:szCs w:val="16"/>
              </w:rPr>
              <w:t>;</w:t>
            </w:r>
          </w:p>
          <w:p w14:paraId="5093660C" w14:textId="0999C529" w:rsidR="00574D6C" w:rsidRPr="000D5771" w:rsidRDefault="00574D6C" w:rsidP="00C378DD">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00A140A5" w:rsidRPr="000D5771">
              <w:rPr>
                <w:sz w:val="20"/>
                <w:szCs w:val="16"/>
              </w:rPr>
              <w:t>l</w:t>
            </w:r>
            <w:r w:rsidR="00343961" w:rsidRPr="000D5771">
              <w:rPr>
                <w:sz w:val="20"/>
                <w:szCs w:val="16"/>
              </w:rPr>
              <w:t xml:space="preserve">a protection des services exploités dans la bande </w:t>
            </w:r>
            <w:r w:rsidR="00FE6712" w:rsidRPr="000D5771">
              <w:rPr>
                <w:rFonts w:eastAsia="Calibri"/>
                <w:bCs/>
                <w:sz w:val="20"/>
                <w:szCs w:val="16"/>
              </w:rPr>
              <w:t xml:space="preserve">de fréquences </w:t>
            </w:r>
            <w:r w:rsidR="00343961" w:rsidRPr="000D5771">
              <w:rPr>
                <w:sz w:val="20"/>
                <w:szCs w:val="16"/>
              </w:rPr>
              <w:t>ou dans les bandes</w:t>
            </w:r>
            <w:r w:rsidR="00FE6712" w:rsidRPr="000D5771">
              <w:rPr>
                <w:rFonts w:eastAsia="Calibri"/>
                <w:bCs/>
                <w:sz w:val="20"/>
                <w:szCs w:val="16"/>
              </w:rPr>
              <w:t xml:space="preserve"> de fréquences</w:t>
            </w:r>
            <w:r w:rsidR="00343961" w:rsidRPr="000D5771">
              <w:rPr>
                <w:sz w:val="20"/>
                <w:szCs w:val="16"/>
              </w:rPr>
              <w:t xml:space="preserve"> adjacentes doit être assurée</w:t>
            </w:r>
            <w:r w:rsidRPr="000D5771">
              <w:rPr>
                <w:sz w:val="20"/>
                <w:szCs w:val="16"/>
              </w:rPr>
              <w:t>.</w:t>
            </w:r>
          </w:p>
          <w:p w14:paraId="13402771" w14:textId="0C1D444B" w:rsidR="00766691" w:rsidRPr="000D5771" w:rsidRDefault="00766691" w:rsidP="00C378DD">
            <w:pPr>
              <w:pStyle w:val="TableText0"/>
              <w:spacing w:before="120"/>
              <w:rPr>
                <w:i/>
                <w:iCs/>
                <w:sz w:val="20"/>
                <w:szCs w:val="20"/>
                <w:u w:val="single"/>
                <w:lang w:val="fr-FR"/>
              </w:rPr>
            </w:pPr>
            <w:r w:rsidRPr="000D5771">
              <w:rPr>
                <w:i/>
                <w:iCs/>
                <w:sz w:val="20"/>
                <w:szCs w:val="20"/>
                <w:u w:val="single"/>
                <w:lang w:val="fr-FR"/>
              </w:rPr>
              <w:t>Partie 2: Marche à suivre</w:t>
            </w:r>
            <w:r w:rsidR="00A140A5" w:rsidRPr="000D5771">
              <w:rPr>
                <w:i/>
                <w:iCs/>
                <w:sz w:val="20"/>
                <w:szCs w:val="20"/>
                <w:u w:val="single"/>
                <w:lang w:val="fr-FR"/>
              </w:rPr>
              <w:t>:</w:t>
            </w:r>
          </w:p>
          <w:p w14:paraId="1F35E475" w14:textId="2CF84E2F" w:rsidR="00766691" w:rsidRPr="000D5771" w:rsidRDefault="00766691" w:rsidP="00C378DD">
            <w:pPr>
              <w:pStyle w:val="TableText0"/>
              <w:spacing w:before="120"/>
              <w:rPr>
                <w:b/>
                <w:i/>
                <w:sz w:val="20"/>
                <w:szCs w:val="20"/>
                <w:lang w:val="fr-FR"/>
              </w:rPr>
            </w:pPr>
            <w:r w:rsidRPr="000D5771">
              <w:rPr>
                <w:b/>
                <w:i/>
                <w:sz w:val="20"/>
                <w:szCs w:val="20"/>
                <w:lang w:val="fr-FR"/>
              </w:rPr>
              <w:t xml:space="preserve">Demander aux administrations des </w:t>
            </w:r>
            <w:r w:rsidR="00E80683" w:rsidRPr="000D5771">
              <w:rPr>
                <w:b/>
                <w:i/>
                <w:sz w:val="20"/>
                <w:szCs w:val="20"/>
                <w:lang w:val="fr-FR"/>
              </w:rPr>
              <w:t>pays membres de l'UAT</w:t>
            </w:r>
            <w:r w:rsidRPr="000D5771">
              <w:rPr>
                <w:b/>
                <w:iCs/>
                <w:sz w:val="20"/>
                <w:szCs w:val="20"/>
                <w:lang w:val="fr-FR"/>
              </w:rPr>
              <w:t>:</w:t>
            </w:r>
          </w:p>
          <w:p w14:paraId="24EB1CDA" w14:textId="18B65A03" w:rsidR="00574D6C" w:rsidRPr="000D5771" w:rsidRDefault="00744CEA" w:rsidP="006316B9">
            <w:pPr>
              <w:pStyle w:val="TableText0"/>
              <w:rPr>
                <w:sz w:val="20"/>
                <w:szCs w:val="20"/>
                <w:lang w:val="fr-FR"/>
              </w:rPr>
            </w:pPr>
            <w:r w:rsidRPr="000D5771">
              <w:rPr>
                <w:sz w:val="20"/>
                <w:szCs w:val="20"/>
                <w:lang w:val="fr-FR"/>
              </w:rPr>
              <w:t>d'</w:t>
            </w:r>
            <w:r w:rsidR="00766691" w:rsidRPr="000D5771">
              <w:rPr>
                <w:b/>
                <w:sz w:val="20"/>
                <w:szCs w:val="20"/>
                <w:lang w:val="fr-FR"/>
              </w:rPr>
              <w:t>appuyer</w:t>
            </w:r>
            <w:r w:rsidR="00766691" w:rsidRPr="000D5771">
              <w:rPr>
                <w:sz w:val="20"/>
                <w:szCs w:val="20"/>
                <w:lang w:val="fr-FR"/>
              </w:rPr>
              <w:t xml:space="preserve"> la proposition africaine commune au titre de ce point de l'ordre du jour.</w:t>
            </w:r>
          </w:p>
        </w:tc>
      </w:tr>
      <w:tr w:rsidR="00613B30" w:rsidRPr="000D5771" w14:paraId="59658C1C" w14:textId="77777777" w:rsidTr="00913168">
        <w:trPr>
          <w:cantSplit/>
        </w:trPr>
        <w:tc>
          <w:tcPr>
            <w:tcW w:w="2972" w:type="dxa"/>
            <w:tcBorders>
              <w:top w:val="single" w:sz="4" w:space="0" w:color="auto"/>
              <w:left w:val="single" w:sz="4" w:space="0" w:color="auto"/>
              <w:bottom w:val="single" w:sz="6" w:space="0" w:color="auto"/>
            </w:tcBorders>
          </w:tcPr>
          <w:p w14:paraId="20209B2C" w14:textId="77777777" w:rsidR="00613B30" w:rsidRPr="000D5771" w:rsidRDefault="00613B30" w:rsidP="00C378DD">
            <w:pPr>
              <w:pStyle w:val="TableText0"/>
              <w:spacing w:before="120"/>
              <w:rPr>
                <w:b/>
                <w:sz w:val="20"/>
                <w:szCs w:val="20"/>
                <w:lang w:val="fr-FR"/>
              </w:rPr>
            </w:pPr>
            <w:r w:rsidRPr="000D5771">
              <w:rPr>
                <w:b/>
                <w:sz w:val="20"/>
                <w:szCs w:val="20"/>
                <w:lang w:val="fr-FR"/>
              </w:rPr>
              <w:t>1.10</w:t>
            </w:r>
          </w:p>
          <w:p w14:paraId="2B78D30B" w14:textId="55F4502D" w:rsidR="00574D6C" w:rsidRPr="000D5771" w:rsidRDefault="00791841" w:rsidP="00C378DD">
            <w:pPr>
              <w:pStyle w:val="TableText0"/>
              <w:spacing w:before="120"/>
              <w:rPr>
                <w:b/>
                <w:sz w:val="20"/>
                <w:szCs w:val="20"/>
                <w:lang w:val="fr-FR"/>
              </w:rPr>
            </w:pPr>
            <w:r w:rsidRPr="000D5771">
              <w:rPr>
                <w:bCs/>
                <w:iCs/>
                <w:sz w:val="20"/>
                <w:szCs w:val="20"/>
                <w:lang w:val="fr-FR"/>
              </w:rPr>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0D5771">
              <w:rPr>
                <w:b/>
                <w:bCs/>
                <w:iCs/>
                <w:sz w:val="20"/>
                <w:szCs w:val="20"/>
                <w:lang w:val="fr-FR"/>
              </w:rPr>
              <w:t>430 (CMR-19)</w:t>
            </w:r>
            <w:r w:rsidR="0012798A" w:rsidRPr="000D5771">
              <w:rPr>
                <w:iCs/>
                <w:sz w:val="20"/>
                <w:szCs w:val="20"/>
                <w:lang w:val="fr-FR"/>
              </w:rPr>
              <w:t>;</w:t>
            </w:r>
          </w:p>
        </w:tc>
        <w:tc>
          <w:tcPr>
            <w:tcW w:w="7174" w:type="dxa"/>
            <w:tcBorders>
              <w:top w:val="single" w:sz="6" w:space="0" w:color="auto"/>
              <w:bottom w:val="single" w:sz="4" w:space="0" w:color="auto"/>
              <w:right w:val="single" w:sz="4" w:space="0" w:color="auto"/>
            </w:tcBorders>
          </w:tcPr>
          <w:p w14:paraId="2CB012B1" w14:textId="1EDCCCA5" w:rsidR="00613B30" w:rsidRPr="000D5771" w:rsidRDefault="00574D6C" w:rsidP="00C378DD">
            <w:pPr>
              <w:pStyle w:val="TableText0"/>
              <w:spacing w:before="120"/>
              <w:rPr>
                <w:i/>
                <w:iCs/>
                <w:sz w:val="20"/>
                <w:szCs w:val="20"/>
                <w:u w:val="single"/>
                <w:lang w:val="fr-FR"/>
              </w:rPr>
            </w:pPr>
            <w:r w:rsidRPr="000D5771">
              <w:rPr>
                <w:i/>
                <w:iCs/>
                <w:sz w:val="20"/>
                <w:szCs w:val="20"/>
                <w:u w:val="single"/>
                <w:lang w:val="fr-FR"/>
              </w:rPr>
              <w:t>Partie 1:</w:t>
            </w:r>
            <w:r w:rsidR="00791841" w:rsidRPr="000D5771">
              <w:rPr>
                <w:i/>
                <w:iCs/>
                <w:sz w:val="20"/>
                <w:szCs w:val="20"/>
                <w:u w:val="single"/>
                <w:lang w:val="fr-FR"/>
              </w:rPr>
              <w:t xml:space="preserve"> Position commune</w:t>
            </w:r>
          </w:p>
          <w:p w14:paraId="4ECBA6F7" w14:textId="7772CF61" w:rsidR="00574D6C" w:rsidRPr="000D5771" w:rsidRDefault="00574D6C" w:rsidP="005A21B6">
            <w:pPr>
              <w:pStyle w:val="enumlev1"/>
              <w:tabs>
                <w:tab w:val="clear" w:pos="1134"/>
                <w:tab w:val="left" w:pos="464"/>
              </w:tabs>
              <w:ind w:left="464" w:hanging="464"/>
              <w:rPr>
                <w:sz w:val="20"/>
                <w:szCs w:val="16"/>
              </w:rPr>
            </w:pPr>
            <w:r w:rsidRPr="000D5771">
              <w:rPr>
                <w:sz w:val="20"/>
                <w:szCs w:val="16"/>
              </w:rPr>
              <w:t>1</w:t>
            </w:r>
            <w:r w:rsidRPr="000D5771">
              <w:rPr>
                <w:sz w:val="20"/>
                <w:szCs w:val="16"/>
              </w:rPr>
              <w:tab/>
            </w:r>
            <w:r w:rsidR="00791841" w:rsidRPr="000D5771">
              <w:rPr>
                <w:b/>
                <w:sz w:val="20"/>
                <w:szCs w:val="16"/>
              </w:rPr>
              <w:t>Appuyer la Méthode E</w:t>
            </w:r>
            <w:r w:rsidR="00791841" w:rsidRPr="000D5771">
              <w:rPr>
                <w:sz w:val="20"/>
                <w:szCs w:val="16"/>
              </w:rPr>
              <w:t xml:space="preserve">, qui </w:t>
            </w:r>
            <w:r w:rsidR="0075521F" w:rsidRPr="000D5771">
              <w:rPr>
                <w:sz w:val="20"/>
                <w:szCs w:val="16"/>
              </w:rPr>
              <w:t>combine les</w:t>
            </w:r>
            <w:r w:rsidR="00791841" w:rsidRPr="000D5771">
              <w:rPr>
                <w:sz w:val="20"/>
                <w:szCs w:val="16"/>
              </w:rPr>
              <w:t xml:space="preserve"> Méthodes B et C avec des bandes de garde de 10 MHz</w:t>
            </w:r>
            <w:r w:rsidR="0075521F" w:rsidRPr="000D5771">
              <w:rPr>
                <w:sz w:val="20"/>
                <w:szCs w:val="16"/>
              </w:rPr>
              <w:t>.</w:t>
            </w:r>
          </w:p>
          <w:p w14:paraId="5BFDE2A0" w14:textId="7E6BC814" w:rsidR="00D132B4" w:rsidRPr="000D5771" w:rsidRDefault="00D132B4" w:rsidP="00C378DD">
            <w:pPr>
              <w:pStyle w:val="enumlev1"/>
              <w:tabs>
                <w:tab w:val="clear" w:pos="1134"/>
                <w:tab w:val="left" w:pos="464"/>
              </w:tabs>
              <w:spacing w:before="40"/>
              <w:ind w:left="464" w:hanging="464"/>
              <w:rPr>
                <w:sz w:val="20"/>
                <w:szCs w:val="16"/>
              </w:rPr>
            </w:pPr>
            <w:r w:rsidRPr="000D5771">
              <w:rPr>
                <w:sz w:val="20"/>
                <w:szCs w:val="16"/>
              </w:rPr>
              <w:t>2</w:t>
            </w:r>
            <w:r w:rsidRPr="000D5771">
              <w:rPr>
                <w:sz w:val="20"/>
                <w:szCs w:val="16"/>
              </w:rPr>
              <w:tab/>
            </w:r>
            <w:r w:rsidRPr="000D5771">
              <w:rPr>
                <w:b/>
                <w:sz w:val="20"/>
                <w:szCs w:val="16"/>
              </w:rPr>
              <w:t>Faire une nouvelle attribution</w:t>
            </w:r>
            <w:r w:rsidRPr="000D5771">
              <w:rPr>
                <w:sz w:val="20"/>
                <w:szCs w:val="16"/>
              </w:rPr>
              <w:t xml:space="preserve"> au service mobile aéronautique (en dehors des routes) dans la bande de fréquences 15,4-15,7 GHz, en vue de la mise en œuvre de nouvelles applications mobiles aéronautiques (en dehors des </w:t>
            </w:r>
            <w:r w:rsidR="0075521F" w:rsidRPr="000D5771">
              <w:rPr>
                <w:sz w:val="20"/>
                <w:szCs w:val="16"/>
              </w:rPr>
              <w:t>routes) non liées à la sécurité.</w:t>
            </w:r>
          </w:p>
          <w:p w14:paraId="423F2086" w14:textId="461DA2B7" w:rsidR="00D132B4" w:rsidRPr="000D5771" w:rsidRDefault="00D132B4" w:rsidP="00C378DD">
            <w:pPr>
              <w:pStyle w:val="enumlev1"/>
              <w:tabs>
                <w:tab w:val="clear" w:pos="1134"/>
                <w:tab w:val="left" w:pos="464"/>
              </w:tabs>
              <w:spacing w:before="40"/>
              <w:ind w:left="464" w:hanging="464"/>
              <w:rPr>
                <w:sz w:val="20"/>
                <w:szCs w:val="16"/>
              </w:rPr>
            </w:pPr>
            <w:r w:rsidRPr="000D5771">
              <w:rPr>
                <w:sz w:val="20"/>
                <w:szCs w:val="16"/>
              </w:rPr>
              <w:t>3</w:t>
            </w:r>
            <w:r w:rsidRPr="000D5771">
              <w:rPr>
                <w:sz w:val="20"/>
                <w:szCs w:val="16"/>
              </w:rPr>
              <w:tab/>
            </w:r>
            <w:r w:rsidRPr="000D5771">
              <w:rPr>
                <w:b/>
                <w:sz w:val="20"/>
                <w:szCs w:val="16"/>
              </w:rPr>
              <w:t>Faire une nouvelle attribution</w:t>
            </w:r>
            <w:r w:rsidRPr="000D5771">
              <w:rPr>
                <w:sz w:val="20"/>
                <w:szCs w:val="16"/>
              </w:rPr>
              <w:t xml:space="preserve"> au service mobile aéronautique (en dehors des routes) dans la bande de fréquences 22-22,2 GHz, en vue de la mise en œuvre de nouvelles applications mobiles aéronautiques (en dehors des routes) non liées à la sécurité</w:t>
            </w:r>
            <w:r w:rsidR="00E73FB8" w:rsidRPr="000D5771">
              <w:rPr>
                <w:sz w:val="20"/>
                <w:szCs w:val="16"/>
              </w:rPr>
              <w:t>.</w:t>
            </w:r>
          </w:p>
          <w:p w14:paraId="22963407" w14:textId="77777777" w:rsidR="00087828" w:rsidRPr="000D5771" w:rsidRDefault="00087828" w:rsidP="00C378DD">
            <w:pPr>
              <w:pStyle w:val="TableText0"/>
              <w:spacing w:before="120"/>
              <w:rPr>
                <w:i/>
                <w:iCs/>
                <w:sz w:val="20"/>
                <w:szCs w:val="20"/>
                <w:u w:val="single"/>
                <w:lang w:val="fr-FR"/>
              </w:rPr>
            </w:pPr>
            <w:r w:rsidRPr="000D5771">
              <w:rPr>
                <w:i/>
                <w:iCs/>
                <w:sz w:val="20"/>
                <w:szCs w:val="20"/>
                <w:u w:val="single"/>
                <w:lang w:val="fr-FR"/>
              </w:rPr>
              <w:t>Partie 2: Marche à suivre</w:t>
            </w:r>
          </w:p>
          <w:p w14:paraId="7756A3A4" w14:textId="6562EE15" w:rsidR="00087828" w:rsidRPr="000D5771" w:rsidRDefault="00087828" w:rsidP="00C378DD">
            <w:pPr>
              <w:pStyle w:val="TableText0"/>
              <w:spacing w:before="120"/>
              <w:rPr>
                <w:b/>
                <w:i/>
                <w:sz w:val="20"/>
                <w:szCs w:val="20"/>
                <w:lang w:val="fr-FR"/>
              </w:rPr>
            </w:pPr>
            <w:r w:rsidRPr="000D5771">
              <w:rPr>
                <w:b/>
                <w:i/>
                <w:sz w:val="20"/>
                <w:szCs w:val="20"/>
                <w:lang w:val="fr-FR"/>
              </w:rPr>
              <w:t xml:space="preserve">Demander aux administrations des </w:t>
            </w:r>
            <w:r w:rsidR="00E80683" w:rsidRPr="000D5771">
              <w:rPr>
                <w:b/>
                <w:i/>
                <w:sz w:val="20"/>
                <w:szCs w:val="20"/>
                <w:lang w:val="fr-FR"/>
              </w:rPr>
              <w:t>pays membres de l'UAT</w:t>
            </w:r>
            <w:r w:rsidRPr="000D5771">
              <w:rPr>
                <w:b/>
                <w:iCs/>
                <w:sz w:val="20"/>
                <w:szCs w:val="20"/>
                <w:lang w:val="fr-FR"/>
              </w:rPr>
              <w:t>:</w:t>
            </w:r>
          </w:p>
          <w:p w14:paraId="554529E8" w14:textId="24D29EEF" w:rsidR="00D132B4" w:rsidRPr="000D5771" w:rsidRDefault="0075521F" w:rsidP="006316B9">
            <w:pPr>
              <w:pStyle w:val="TableText0"/>
              <w:rPr>
                <w:sz w:val="20"/>
                <w:szCs w:val="20"/>
                <w:lang w:val="fr-FR"/>
              </w:rPr>
            </w:pPr>
            <w:r w:rsidRPr="000D5771">
              <w:rPr>
                <w:sz w:val="20"/>
                <w:szCs w:val="20"/>
                <w:lang w:val="fr-FR"/>
              </w:rPr>
              <w:t>d</w:t>
            </w:r>
            <w:r w:rsidR="00087828" w:rsidRPr="000D5771">
              <w:rPr>
                <w:sz w:val="20"/>
                <w:szCs w:val="20"/>
                <w:lang w:val="fr-FR"/>
              </w:rPr>
              <w:t>'</w:t>
            </w:r>
            <w:r w:rsidR="00087828" w:rsidRPr="000D5771">
              <w:rPr>
                <w:b/>
                <w:sz w:val="20"/>
                <w:szCs w:val="20"/>
                <w:lang w:val="fr-FR"/>
              </w:rPr>
              <w:t>appuyer</w:t>
            </w:r>
            <w:r w:rsidR="00087828" w:rsidRPr="000D5771">
              <w:rPr>
                <w:sz w:val="20"/>
                <w:szCs w:val="20"/>
                <w:lang w:val="fr-FR"/>
              </w:rPr>
              <w:t xml:space="preserve"> la proposition africaine commune au titre de ce point de l'ordre du jour.</w:t>
            </w:r>
          </w:p>
        </w:tc>
      </w:tr>
      <w:tr w:rsidR="00613B30" w:rsidRPr="000D5771" w14:paraId="75EB9B89" w14:textId="77777777" w:rsidTr="00913168">
        <w:tc>
          <w:tcPr>
            <w:tcW w:w="2972" w:type="dxa"/>
            <w:tcBorders>
              <w:top w:val="single" w:sz="6" w:space="0" w:color="auto"/>
              <w:left w:val="single" w:sz="4" w:space="0" w:color="auto"/>
              <w:bottom w:val="single" w:sz="6" w:space="0" w:color="auto"/>
            </w:tcBorders>
          </w:tcPr>
          <w:p w14:paraId="081E32F3" w14:textId="77777777" w:rsidR="00613B30" w:rsidRPr="000D5771" w:rsidRDefault="00613B30" w:rsidP="00C378DD">
            <w:pPr>
              <w:pStyle w:val="TableText0"/>
              <w:spacing w:before="120"/>
              <w:rPr>
                <w:b/>
                <w:sz w:val="20"/>
                <w:szCs w:val="20"/>
                <w:lang w:val="fr-FR"/>
              </w:rPr>
            </w:pPr>
            <w:r w:rsidRPr="000D5771">
              <w:rPr>
                <w:b/>
                <w:sz w:val="20"/>
                <w:szCs w:val="20"/>
                <w:lang w:val="fr-FR"/>
              </w:rPr>
              <w:t>1.11</w:t>
            </w:r>
          </w:p>
          <w:p w14:paraId="27BCFE6B" w14:textId="01099467" w:rsidR="001562E5" w:rsidRPr="000D5771" w:rsidRDefault="00A37C63" w:rsidP="00C378DD">
            <w:pPr>
              <w:pStyle w:val="TableText0"/>
              <w:spacing w:before="120"/>
              <w:rPr>
                <w:b/>
                <w:sz w:val="20"/>
                <w:szCs w:val="20"/>
                <w:lang w:val="fr-FR"/>
              </w:rPr>
            </w:pPr>
            <w:r w:rsidRPr="000D5771">
              <w:rPr>
                <w:bCs/>
                <w:iCs/>
                <w:sz w:val="20"/>
                <w:szCs w:val="20"/>
                <w:lang w:val="fr-FR"/>
              </w:rPr>
              <w:t>Examiner les mesures réglementaires qui pourraient être prises en vue de permettre la modernisation du Système mondial de détresse et de sécurité en mer (SMDSM) et la mise en œuvre de la navigation électronique, conformément à la Résolution</w:t>
            </w:r>
            <w:r w:rsidR="0012798A" w:rsidRPr="000D5771">
              <w:rPr>
                <w:bCs/>
                <w:iCs/>
                <w:sz w:val="20"/>
                <w:szCs w:val="20"/>
                <w:lang w:val="fr-FR"/>
              </w:rPr>
              <w:t> </w:t>
            </w:r>
            <w:r w:rsidRPr="000D5771">
              <w:rPr>
                <w:b/>
                <w:bCs/>
                <w:iCs/>
                <w:sz w:val="20"/>
                <w:szCs w:val="20"/>
                <w:lang w:val="fr-FR"/>
              </w:rPr>
              <w:t>361 (Rév.CMR-19)</w:t>
            </w:r>
          </w:p>
        </w:tc>
        <w:tc>
          <w:tcPr>
            <w:tcW w:w="7174" w:type="dxa"/>
            <w:tcBorders>
              <w:top w:val="single" w:sz="4" w:space="0" w:color="auto"/>
              <w:bottom w:val="single" w:sz="6" w:space="0" w:color="auto"/>
              <w:right w:val="single" w:sz="4" w:space="0" w:color="auto"/>
            </w:tcBorders>
          </w:tcPr>
          <w:p w14:paraId="6C5C6CE8" w14:textId="7C92E939" w:rsidR="00613B30" w:rsidRPr="000D5771" w:rsidRDefault="001562E5" w:rsidP="00C378DD">
            <w:pPr>
              <w:pStyle w:val="TableText0"/>
              <w:spacing w:before="120"/>
              <w:rPr>
                <w:i/>
                <w:iCs/>
                <w:sz w:val="20"/>
                <w:szCs w:val="20"/>
                <w:u w:val="single"/>
                <w:lang w:val="fr-FR"/>
              </w:rPr>
            </w:pPr>
            <w:r w:rsidRPr="000D5771">
              <w:rPr>
                <w:i/>
                <w:iCs/>
                <w:sz w:val="20"/>
                <w:szCs w:val="20"/>
                <w:u w:val="single"/>
                <w:lang w:val="fr-FR"/>
              </w:rPr>
              <w:t>Partie 1:</w:t>
            </w:r>
            <w:r w:rsidR="00A37C63" w:rsidRPr="000D5771">
              <w:rPr>
                <w:i/>
                <w:iCs/>
                <w:sz w:val="20"/>
                <w:szCs w:val="20"/>
                <w:u w:val="single"/>
                <w:lang w:val="fr-FR"/>
              </w:rPr>
              <w:t xml:space="preserve"> Position commune</w:t>
            </w:r>
          </w:p>
          <w:p w14:paraId="7506FC00" w14:textId="22CD29AD" w:rsidR="001562E5" w:rsidRPr="000D5771" w:rsidRDefault="00A65B5B" w:rsidP="00C378DD">
            <w:pPr>
              <w:pStyle w:val="TableText0"/>
              <w:spacing w:before="120"/>
              <w:rPr>
                <w:b/>
                <w:bCs/>
                <w:sz w:val="20"/>
                <w:szCs w:val="20"/>
                <w:u w:val="single"/>
                <w:lang w:val="fr-FR"/>
              </w:rPr>
            </w:pPr>
            <w:r w:rsidRPr="000D5771">
              <w:rPr>
                <w:b/>
                <w:bCs/>
                <w:sz w:val="20"/>
                <w:szCs w:val="20"/>
                <w:u w:val="single"/>
                <w:lang w:val="fr-FR"/>
              </w:rPr>
              <w:t>Question A:</w:t>
            </w:r>
            <w:r w:rsidR="006A0482" w:rsidRPr="000D5771">
              <w:rPr>
                <w:b/>
                <w:bCs/>
                <w:sz w:val="20"/>
                <w:szCs w:val="20"/>
                <w:u w:val="single"/>
                <w:lang w:val="fr-FR"/>
              </w:rPr>
              <w:t xml:space="preserve"> Modernisation du SMDSM</w:t>
            </w:r>
          </w:p>
          <w:p w14:paraId="6A1C26CE" w14:textId="678EE698" w:rsidR="001562E5" w:rsidRPr="000D5771" w:rsidRDefault="006A0482" w:rsidP="00C378DD">
            <w:pPr>
              <w:pStyle w:val="TableText0"/>
              <w:spacing w:before="120"/>
              <w:rPr>
                <w:sz w:val="20"/>
                <w:szCs w:val="20"/>
                <w:lang w:val="fr-FR"/>
              </w:rPr>
            </w:pPr>
            <w:r w:rsidRPr="000D5771">
              <w:rPr>
                <w:b/>
                <w:bCs/>
                <w:sz w:val="20"/>
                <w:szCs w:val="20"/>
                <w:lang w:val="fr-FR"/>
              </w:rPr>
              <w:t xml:space="preserve">Appuyer la Méthode A, Variante </w:t>
            </w:r>
            <w:r w:rsidR="00203283" w:rsidRPr="000D5771">
              <w:rPr>
                <w:b/>
                <w:bCs/>
                <w:sz w:val="20"/>
                <w:szCs w:val="20"/>
                <w:lang w:val="fr-FR"/>
              </w:rPr>
              <w:t>A</w:t>
            </w:r>
            <w:r w:rsidRPr="000D5771">
              <w:rPr>
                <w:b/>
                <w:bCs/>
                <w:sz w:val="20"/>
                <w:szCs w:val="20"/>
                <w:lang w:val="fr-FR"/>
              </w:rPr>
              <w:t>1</w:t>
            </w:r>
            <w:r w:rsidRPr="000D5771">
              <w:rPr>
                <w:sz w:val="20"/>
                <w:szCs w:val="20"/>
                <w:lang w:val="fr-FR"/>
              </w:rPr>
              <w:t xml:space="preserve">, pour </w:t>
            </w:r>
            <w:r w:rsidR="008C2F19" w:rsidRPr="000D5771">
              <w:rPr>
                <w:sz w:val="20"/>
                <w:szCs w:val="20"/>
                <w:lang w:val="fr-FR"/>
              </w:rPr>
              <w:t>le numéro 5.375 du RR</w:t>
            </w:r>
            <w:r w:rsidR="00FE6712" w:rsidRPr="000D5771">
              <w:rPr>
                <w:sz w:val="20"/>
                <w:szCs w:val="20"/>
                <w:lang w:val="fr-FR"/>
              </w:rPr>
              <w:t>,</w:t>
            </w:r>
            <w:r w:rsidR="008C2F19" w:rsidRPr="000D5771">
              <w:rPr>
                <w:sz w:val="20"/>
                <w:szCs w:val="20"/>
                <w:lang w:val="fr-FR"/>
              </w:rPr>
              <w:t xml:space="preserve"> concernant les considérations touchant à la réglementation et aux procédures pour </w:t>
            </w:r>
            <w:r w:rsidR="00FE6712" w:rsidRPr="000D5771">
              <w:rPr>
                <w:sz w:val="20"/>
                <w:szCs w:val="20"/>
                <w:lang w:val="fr-FR"/>
              </w:rPr>
              <w:t>les dispositions suivantes</w:t>
            </w:r>
            <w:r w:rsidR="008C2F19" w:rsidRPr="000D5771">
              <w:rPr>
                <w:sz w:val="20"/>
                <w:szCs w:val="20"/>
                <w:lang w:val="fr-FR"/>
              </w:rPr>
              <w:t>:</w:t>
            </w:r>
          </w:p>
          <w:p w14:paraId="0C092316" w14:textId="17A3A8E4" w:rsidR="001562E5" w:rsidRPr="000D5771" w:rsidRDefault="001562E5" w:rsidP="001A7D8F">
            <w:pPr>
              <w:pStyle w:val="Proposal"/>
              <w:rPr>
                <w:sz w:val="20"/>
              </w:rPr>
            </w:pPr>
            <w:r w:rsidRPr="000D5771">
              <w:rPr>
                <w:sz w:val="20"/>
              </w:rPr>
              <w:t>MOD</w:t>
            </w:r>
          </w:p>
          <w:p w14:paraId="669FD0DE" w14:textId="2B237D22" w:rsidR="0012798A" w:rsidRPr="000D5771" w:rsidRDefault="001562E5" w:rsidP="006316B9">
            <w:pPr>
              <w:pStyle w:val="TableText0"/>
              <w:tabs>
                <w:tab w:val="clear" w:pos="284"/>
                <w:tab w:val="clear" w:pos="567"/>
              </w:tabs>
              <w:rPr>
                <w:rStyle w:val="NoteChar"/>
                <w:sz w:val="20"/>
                <w:szCs w:val="20"/>
              </w:rPr>
            </w:pPr>
            <w:r w:rsidRPr="000D5771">
              <w:rPr>
                <w:rStyle w:val="Artdef"/>
                <w:sz w:val="20"/>
                <w:szCs w:val="20"/>
                <w:lang w:val="fr-FR"/>
              </w:rPr>
              <w:t>5.375</w:t>
            </w:r>
            <w:r w:rsidR="0012798A" w:rsidRPr="000D5771">
              <w:rPr>
                <w:sz w:val="20"/>
                <w:szCs w:val="20"/>
                <w:lang w:val="fr-FR"/>
              </w:rPr>
              <w:tab/>
            </w:r>
            <w:r w:rsidR="00203283" w:rsidRPr="000D5771">
              <w:rPr>
                <w:rStyle w:val="NoteChar"/>
                <w:sz w:val="20"/>
                <w:szCs w:val="20"/>
              </w:rPr>
              <w:t>La bande de fréquences 1</w:t>
            </w:r>
            <w:r w:rsidR="0012798A" w:rsidRPr="000D5771">
              <w:rPr>
                <w:rStyle w:val="NoteChar"/>
                <w:sz w:val="20"/>
                <w:szCs w:val="20"/>
              </w:rPr>
              <w:t xml:space="preserve"> </w:t>
            </w:r>
            <w:r w:rsidR="00203283" w:rsidRPr="000D5771">
              <w:rPr>
                <w:rStyle w:val="NoteChar"/>
                <w:sz w:val="20"/>
                <w:szCs w:val="20"/>
              </w:rPr>
              <w:t>645,5-1</w:t>
            </w:r>
            <w:r w:rsidR="0012798A" w:rsidRPr="000D5771">
              <w:rPr>
                <w:rStyle w:val="NoteChar"/>
                <w:sz w:val="20"/>
                <w:szCs w:val="20"/>
              </w:rPr>
              <w:t xml:space="preserve"> </w:t>
            </w:r>
            <w:r w:rsidR="00203283" w:rsidRPr="000D5771">
              <w:rPr>
                <w:rStyle w:val="NoteChar"/>
                <w:sz w:val="20"/>
                <w:szCs w:val="20"/>
              </w:rPr>
              <w:t>646,5 MHz est utilisée par le service mobile par satellite (Terre vers espace) et par les liaisons inter</w:t>
            </w:r>
            <w:r w:rsidR="00EF217A" w:rsidRPr="000D5771">
              <w:rPr>
                <w:rStyle w:val="NoteChar"/>
                <w:sz w:val="20"/>
                <w:szCs w:val="20"/>
              </w:rPr>
              <w:t>-</w:t>
            </w:r>
            <w:r w:rsidR="00203283" w:rsidRPr="000D5771">
              <w:rPr>
                <w:rStyle w:val="NoteChar"/>
                <w:sz w:val="20"/>
                <w:szCs w:val="20"/>
              </w:rPr>
              <w:t>satellites pour les communications de détresse, d'urgence et de sécurité (voir l'Article</w:t>
            </w:r>
            <w:r w:rsidR="0012798A" w:rsidRPr="000D5771">
              <w:rPr>
                <w:rStyle w:val="NoteChar"/>
                <w:sz w:val="20"/>
                <w:szCs w:val="20"/>
              </w:rPr>
              <w:t xml:space="preserve"> </w:t>
            </w:r>
            <w:r w:rsidR="00203283" w:rsidRPr="000D5771">
              <w:rPr>
                <w:rStyle w:val="NoteChar"/>
                <w:b/>
                <w:bCs/>
                <w:sz w:val="20"/>
                <w:szCs w:val="20"/>
              </w:rPr>
              <w:t>31</w:t>
            </w:r>
            <w:r w:rsidR="00203283" w:rsidRPr="000D5771">
              <w:rPr>
                <w:rStyle w:val="NoteChar"/>
                <w:sz w:val="20"/>
                <w:szCs w:val="20"/>
              </w:rPr>
              <w:t>). De plus, pour le service mobile par satellite, l'utilisation de cette bande de fréquences par les stations terriennes fonctionnant dans le cadre du SMDSM à des fins autres que pour des communications de détresse est également autorisée.</w:t>
            </w:r>
            <w:r w:rsidR="00203283" w:rsidRPr="000D5771">
              <w:rPr>
                <w:sz w:val="16"/>
                <w:szCs w:val="16"/>
                <w:lang w:val="fr-FR"/>
              </w:rPr>
              <w:t>     (CMR-23)</w:t>
            </w:r>
          </w:p>
          <w:p w14:paraId="4B271E9B" w14:textId="1D5C6474" w:rsidR="00A65B5B" w:rsidRPr="000D5771" w:rsidRDefault="00A65B5B" w:rsidP="001A7D8F">
            <w:pPr>
              <w:pStyle w:val="Reasons"/>
              <w:rPr>
                <w:sz w:val="20"/>
              </w:rPr>
            </w:pPr>
            <w:r w:rsidRPr="000D5771">
              <w:rPr>
                <w:rStyle w:val="NoteChar"/>
                <w:b/>
                <w:bCs/>
                <w:sz w:val="20"/>
              </w:rPr>
              <w:t>Motifs:</w:t>
            </w:r>
            <w:r w:rsidR="0012798A" w:rsidRPr="000D5771">
              <w:rPr>
                <w:rStyle w:val="NoteChar"/>
                <w:sz w:val="20"/>
              </w:rPr>
              <w:tab/>
            </w:r>
            <w:r w:rsidRPr="000D5771">
              <w:rPr>
                <w:sz w:val="20"/>
              </w:rPr>
              <w:t>La bande de fréquences 1 645,5-1 646,5 MHz a été utilisée p</w:t>
            </w:r>
            <w:r w:rsidR="003C66D1" w:rsidRPr="000D5771">
              <w:rPr>
                <w:sz w:val="20"/>
              </w:rPr>
              <w:t>ar les RLS par satellite à 1,6 G</w:t>
            </w:r>
            <w:r w:rsidRPr="000D5771">
              <w:rPr>
                <w:sz w:val="20"/>
              </w:rPr>
              <w:t>Hz, mais le service assuré par les RLS a été retiré. À moins que l'utilisation autorisée de cette bande soit mise à jour, cette bande de fréquences de</w:t>
            </w:r>
            <w:r w:rsidR="003053E4" w:rsidRPr="000D5771">
              <w:rPr>
                <w:sz w:val="20"/>
              </w:rPr>
              <w:t> </w:t>
            </w:r>
            <w:r w:rsidRPr="000D5771">
              <w:rPr>
                <w:sz w:val="20"/>
              </w:rPr>
              <w:t>1</w:t>
            </w:r>
            <w:r w:rsidR="003053E4" w:rsidRPr="000D5771">
              <w:rPr>
                <w:sz w:val="20"/>
              </w:rPr>
              <w:t> </w:t>
            </w:r>
            <w:r w:rsidRPr="000D5771">
              <w:rPr>
                <w:sz w:val="20"/>
              </w:rPr>
              <w:t>MHz demeurera inutilisée. Le fait de l'élargir pour qu'elle soit destinée à l'usage plus général des communications de détresse, d'urgence et de sécurité plus générales contribuera à assurer la sécurité des marins et du transport maritime. De plus, afin de rendre l'utilisation de cette bande de fréquences plus efficace, les communications autres que les communications de détresse pourront aussi être utilisées à titre non prioritaire depuis les stations terriennes assurant des communications de détresse, d'urgence et de sécurité dans cette bande de fréquences.</w:t>
            </w:r>
          </w:p>
          <w:p w14:paraId="38F24A40" w14:textId="05F50911" w:rsidR="00A65B5B" w:rsidRPr="000D5771" w:rsidRDefault="00A65B5B" w:rsidP="006316B9">
            <w:pPr>
              <w:pStyle w:val="TableText0"/>
              <w:rPr>
                <w:b/>
                <w:bCs/>
                <w:sz w:val="20"/>
                <w:szCs w:val="20"/>
                <w:lang w:val="fr-FR"/>
              </w:rPr>
            </w:pPr>
            <w:r w:rsidRPr="000D5771">
              <w:rPr>
                <w:b/>
                <w:bCs/>
                <w:sz w:val="20"/>
                <w:szCs w:val="20"/>
                <w:lang w:val="fr-FR"/>
              </w:rPr>
              <w:t>N</w:t>
            </w:r>
            <w:r w:rsidR="001A7D8F" w:rsidRPr="000D5771">
              <w:rPr>
                <w:b/>
                <w:bCs/>
                <w:sz w:val="20"/>
                <w:szCs w:val="20"/>
                <w:lang w:val="fr-FR"/>
              </w:rPr>
              <w:t>ote</w:t>
            </w:r>
            <w:r w:rsidRPr="000D5771">
              <w:rPr>
                <w:lang w:val="fr-FR"/>
              </w:rPr>
              <w:t>:</w:t>
            </w:r>
            <w:r w:rsidR="003053E4" w:rsidRPr="000D5771">
              <w:rPr>
                <w:lang w:val="fr-FR"/>
              </w:rPr>
              <w:t xml:space="preserve"> </w:t>
            </w:r>
            <w:r w:rsidR="003053E4" w:rsidRPr="000D5771">
              <w:rPr>
                <w:sz w:val="20"/>
                <w:szCs w:val="20"/>
                <w:lang w:val="fr-FR"/>
              </w:rPr>
              <w:t>s</w:t>
            </w:r>
            <w:r w:rsidR="00413036" w:rsidRPr="000D5771">
              <w:rPr>
                <w:bCs/>
                <w:sz w:val="20"/>
                <w:szCs w:val="20"/>
                <w:lang w:val="fr-FR"/>
              </w:rPr>
              <w:t xml:space="preserve">upprimer la </w:t>
            </w:r>
            <w:r w:rsidR="00FE6712" w:rsidRPr="000D5771">
              <w:rPr>
                <w:bCs/>
                <w:sz w:val="20"/>
                <w:szCs w:val="20"/>
                <w:lang w:val="fr-FR"/>
              </w:rPr>
              <w:t xml:space="preserve">restriction </w:t>
            </w:r>
            <w:r w:rsidR="00413036" w:rsidRPr="000D5771">
              <w:rPr>
                <w:bCs/>
                <w:sz w:val="20"/>
                <w:szCs w:val="20"/>
                <w:lang w:val="fr-FR"/>
              </w:rPr>
              <w:t>liée aux RLS</w:t>
            </w:r>
            <w:r w:rsidR="003C66D1" w:rsidRPr="000D5771">
              <w:rPr>
                <w:bCs/>
                <w:sz w:val="20"/>
                <w:szCs w:val="20"/>
                <w:lang w:val="fr-FR"/>
              </w:rPr>
              <w:t xml:space="preserve"> </w:t>
            </w:r>
            <w:r w:rsidR="00413036" w:rsidRPr="000D5771">
              <w:rPr>
                <w:bCs/>
                <w:sz w:val="20"/>
                <w:szCs w:val="20"/>
                <w:lang w:val="fr-FR"/>
              </w:rPr>
              <w:t xml:space="preserve">et </w:t>
            </w:r>
            <w:r w:rsidR="003C66D1" w:rsidRPr="000D5771">
              <w:rPr>
                <w:bCs/>
                <w:sz w:val="20"/>
                <w:szCs w:val="20"/>
                <w:lang w:val="fr-FR"/>
              </w:rPr>
              <w:t xml:space="preserve">libérer la bande pour le SMDSM et les communications générales </w:t>
            </w:r>
            <w:r w:rsidR="00413036" w:rsidRPr="000D5771">
              <w:rPr>
                <w:bCs/>
                <w:sz w:val="20"/>
                <w:szCs w:val="20"/>
                <w:lang w:val="fr-FR"/>
              </w:rPr>
              <w:t>des</w:t>
            </w:r>
            <w:r w:rsidR="003C66D1" w:rsidRPr="000D5771">
              <w:rPr>
                <w:bCs/>
                <w:sz w:val="20"/>
                <w:szCs w:val="20"/>
                <w:lang w:val="fr-FR"/>
              </w:rPr>
              <w:t xml:space="preserve"> stations du SMDSM</w:t>
            </w:r>
            <w:r w:rsidR="003053E4" w:rsidRPr="000D5771">
              <w:rPr>
                <w:bCs/>
                <w:sz w:val="20"/>
                <w:szCs w:val="20"/>
                <w:lang w:val="fr-FR"/>
              </w:rPr>
              <w:t>.</w:t>
            </w:r>
          </w:p>
          <w:p w14:paraId="66091D6C" w14:textId="06D458F5" w:rsidR="00A65B5B" w:rsidRPr="000D5771" w:rsidRDefault="00A65B5B" w:rsidP="001A7D8F">
            <w:pPr>
              <w:pStyle w:val="TableText0"/>
              <w:spacing w:before="120"/>
              <w:rPr>
                <w:b/>
                <w:bCs/>
                <w:sz w:val="20"/>
                <w:szCs w:val="20"/>
                <w:u w:val="single"/>
                <w:lang w:val="fr-FR"/>
              </w:rPr>
            </w:pPr>
            <w:r w:rsidRPr="000D5771">
              <w:rPr>
                <w:b/>
                <w:bCs/>
                <w:sz w:val="20"/>
                <w:szCs w:val="20"/>
                <w:u w:val="single"/>
                <w:lang w:val="fr-FR"/>
              </w:rPr>
              <w:t>Question B:</w:t>
            </w:r>
            <w:r w:rsidR="003C66D1" w:rsidRPr="000D5771">
              <w:rPr>
                <w:b/>
                <w:bCs/>
                <w:sz w:val="20"/>
                <w:szCs w:val="20"/>
                <w:u w:val="single"/>
                <w:lang w:val="fr-FR"/>
              </w:rPr>
              <w:t xml:space="preserve"> Navigation électronique</w:t>
            </w:r>
          </w:p>
          <w:p w14:paraId="07875B2E" w14:textId="7E947CAD" w:rsidR="00A65B5B" w:rsidRPr="000D5771" w:rsidRDefault="00FC1C4E" w:rsidP="001A7D8F">
            <w:pPr>
              <w:pStyle w:val="TableText0"/>
              <w:spacing w:before="120"/>
              <w:rPr>
                <w:sz w:val="20"/>
                <w:szCs w:val="20"/>
                <w:lang w:val="fr-FR"/>
              </w:rPr>
            </w:pPr>
            <w:r w:rsidRPr="000D5771">
              <w:rPr>
                <w:b/>
                <w:sz w:val="20"/>
                <w:szCs w:val="20"/>
                <w:lang w:val="fr-FR"/>
              </w:rPr>
              <w:t>Appuyer la Méthode B</w:t>
            </w:r>
            <w:r w:rsidRPr="000D5771">
              <w:rPr>
                <w:sz w:val="20"/>
                <w:szCs w:val="20"/>
                <w:lang w:val="fr-FR"/>
              </w:rPr>
              <w:t xml:space="preserve"> mentionnée dans le projet de Rapport de la RPC (</w:t>
            </w:r>
            <w:r w:rsidR="00FE6712" w:rsidRPr="000D5771">
              <w:rPr>
                <w:sz w:val="20"/>
                <w:szCs w:val="20"/>
                <w:lang w:val="fr-FR"/>
              </w:rPr>
              <w:t xml:space="preserve">il n'y a </w:t>
            </w:r>
            <w:r w:rsidRPr="000D5771">
              <w:rPr>
                <w:sz w:val="20"/>
                <w:szCs w:val="20"/>
                <w:lang w:val="fr-FR"/>
              </w:rPr>
              <w:t xml:space="preserve">pas </w:t>
            </w:r>
            <w:r w:rsidR="00FE6712" w:rsidRPr="000D5771">
              <w:rPr>
                <w:sz w:val="20"/>
                <w:szCs w:val="20"/>
                <w:lang w:val="fr-FR"/>
              </w:rPr>
              <w:t xml:space="preserve">lieu </w:t>
            </w:r>
            <w:r w:rsidRPr="000D5771">
              <w:rPr>
                <w:sz w:val="20"/>
                <w:szCs w:val="20"/>
                <w:lang w:val="fr-FR"/>
              </w:rPr>
              <w:t>d'apporter des modifications au RR)</w:t>
            </w:r>
            <w:r w:rsidR="00EF217A" w:rsidRPr="000D5771">
              <w:rPr>
                <w:sz w:val="20"/>
                <w:szCs w:val="20"/>
                <w:lang w:val="fr-FR"/>
              </w:rPr>
              <w:t>.</w:t>
            </w:r>
          </w:p>
          <w:p w14:paraId="4170F2D2" w14:textId="73470C1F" w:rsidR="00A65B5B" w:rsidRPr="000D5771" w:rsidRDefault="00E73FB8" w:rsidP="001A7D8F">
            <w:pPr>
              <w:pStyle w:val="Heading1"/>
              <w:spacing w:after="240"/>
              <w:rPr>
                <w:sz w:val="22"/>
                <w:szCs w:val="22"/>
              </w:rPr>
            </w:pPr>
            <w:r w:rsidRPr="000D5771">
              <w:rPr>
                <w:sz w:val="22"/>
                <w:szCs w:val="22"/>
              </w:rPr>
              <w:t>3</w:t>
            </w:r>
            <w:r w:rsidR="00EF217A" w:rsidRPr="000D5771">
              <w:rPr>
                <w:sz w:val="22"/>
                <w:szCs w:val="22"/>
              </w:rPr>
              <w:tab/>
            </w:r>
            <w:r w:rsidR="00A65B5B" w:rsidRPr="000D5771">
              <w:rPr>
                <w:sz w:val="22"/>
                <w:szCs w:val="22"/>
              </w:rPr>
              <w:t xml:space="preserve">Question C: </w:t>
            </w:r>
            <w:r w:rsidR="00DB1FB8" w:rsidRPr="000D5771">
              <w:rPr>
                <w:sz w:val="22"/>
                <w:szCs w:val="22"/>
              </w:rPr>
              <w:t xml:space="preserve">Intégration de systèmes à satellites </w:t>
            </w:r>
            <w:r w:rsidR="00FE6712" w:rsidRPr="000D5771">
              <w:rPr>
                <w:sz w:val="22"/>
                <w:szCs w:val="22"/>
              </w:rPr>
              <w:t xml:space="preserve">additionnels </w:t>
            </w:r>
            <w:r w:rsidR="00DB1FB8" w:rsidRPr="000D5771">
              <w:rPr>
                <w:sz w:val="22"/>
                <w:szCs w:val="22"/>
              </w:rPr>
              <w:t>dans le SMDSM</w:t>
            </w:r>
          </w:p>
          <w:p w14:paraId="7319E933" w14:textId="46003A06" w:rsidR="00A65B5B" w:rsidRPr="000D5771" w:rsidRDefault="00A65B5B" w:rsidP="006316B9">
            <w:pPr>
              <w:pStyle w:val="TableText0"/>
              <w:tabs>
                <w:tab w:val="clear" w:pos="284"/>
              </w:tabs>
              <w:rPr>
                <w:sz w:val="20"/>
                <w:lang w:val="fr-FR"/>
              </w:rPr>
            </w:pPr>
            <w:r w:rsidRPr="000D5771">
              <w:rPr>
                <w:b/>
                <w:bCs/>
                <w:sz w:val="20"/>
                <w:szCs w:val="20"/>
                <w:lang w:val="fr-FR"/>
              </w:rPr>
              <w:t>3.1</w:t>
            </w:r>
            <w:r w:rsidR="003053E4" w:rsidRPr="000D5771">
              <w:rPr>
                <w:b/>
                <w:bCs/>
                <w:sz w:val="20"/>
                <w:szCs w:val="20"/>
                <w:lang w:val="fr-FR"/>
              </w:rPr>
              <w:tab/>
            </w:r>
            <w:r w:rsidR="00F43960" w:rsidRPr="000D5771">
              <w:rPr>
                <w:b/>
                <w:sz w:val="20"/>
                <w:szCs w:val="20"/>
                <w:lang w:val="fr-FR"/>
              </w:rPr>
              <w:t>Appuyer la</w:t>
            </w:r>
            <w:r w:rsidR="00F43960" w:rsidRPr="000D5771">
              <w:rPr>
                <w:sz w:val="20"/>
                <w:szCs w:val="20"/>
                <w:lang w:val="fr-FR"/>
              </w:rPr>
              <w:t xml:space="preserve"> </w:t>
            </w:r>
            <w:r w:rsidRPr="000D5771">
              <w:rPr>
                <w:b/>
                <w:bCs/>
                <w:sz w:val="20"/>
                <w:szCs w:val="20"/>
                <w:lang w:val="fr-FR"/>
              </w:rPr>
              <w:t>Méthode C3</w:t>
            </w:r>
            <w:r w:rsidRPr="000D5771">
              <w:rPr>
                <w:sz w:val="20"/>
                <w:szCs w:val="20"/>
                <w:lang w:val="fr-FR"/>
              </w:rPr>
              <w:t xml:space="preserve"> </w:t>
            </w:r>
            <w:r w:rsidR="00BF10A8" w:rsidRPr="000D5771">
              <w:rPr>
                <w:sz w:val="20"/>
                <w:szCs w:val="20"/>
                <w:lang w:val="fr-FR"/>
              </w:rPr>
              <w:t>–</w:t>
            </w:r>
            <w:r w:rsidRPr="000D5771">
              <w:rPr>
                <w:sz w:val="20"/>
                <w:szCs w:val="20"/>
                <w:lang w:val="fr-FR"/>
              </w:rPr>
              <w:t xml:space="preserve"> </w:t>
            </w:r>
            <w:r w:rsidR="00BF10A8" w:rsidRPr="000D5771">
              <w:rPr>
                <w:sz w:val="20"/>
                <w:szCs w:val="20"/>
                <w:lang w:val="fr-FR"/>
              </w:rPr>
              <w:t>L'adjonction</w:t>
            </w:r>
            <w:r w:rsidRPr="000D5771">
              <w:rPr>
                <w:sz w:val="20"/>
                <w:lang w:val="fr-FR"/>
              </w:rPr>
              <w:t xml:space="preserve"> de systèmes à satellites additionnels pour l'exploitation du SMDSM est assujettie à l'application des dispositions pertinentes et applicables du Règlement des radiocommunications en vigueur, y</w:t>
            </w:r>
            <w:r w:rsidR="003053E4" w:rsidRPr="000D5771">
              <w:rPr>
                <w:sz w:val="20"/>
                <w:lang w:val="fr-FR"/>
              </w:rPr>
              <w:t> </w:t>
            </w:r>
            <w:r w:rsidRPr="000D5771">
              <w:rPr>
                <w:sz w:val="20"/>
                <w:lang w:val="fr-FR"/>
              </w:rPr>
              <w:t xml:space="preserve">compris des Articles </w:t>
            </w:r>
            <w:r w:rsidRPr="000D5771">
              <w:rPr>
                <w:b/>
                <w:bCs/>
                <w:sz w:val="20"/>
                <w:lang w:val="fr-FR"/>
              </w:rPr>
              <w:t>9</w:t>
            </w:r>
            <w:r w:rsidRPr="000D5771">
              <w:rPr>
                <w:sz w:val="20"/>
                <w:lang w:val="fr-FR"/>
              </w:rPr>
              <w:t xml:space="preserve"> et </w:t>
            </w:r>
            <w:r w:rsidRPr="000D5771">
              <w:rPr>
                <w:b/>
                <w:bCs/>
                <w:sz w:val="20"/>
                <w:lang w:val="fr-FR"/>
              </w:rPr>
              <w:t>11</w:t>
            </w:r>
            <w:r w:rsidRPr="000D5771">
              <w:rPr>
                <w:sz w:val="20"/>
                <w:lang w:val="fr-FR"/>
              </w:rPr>
              <w:t xml:space="preserve"> du RR</w:t>
            </w:r>
            <w:r w:rsidR="00FE6712" w:rsidRPr="000D5771">
              <w:rPr>
                <w:sz w:val="20"/>
                <w:lang w:val="fr-FR"/>
              </w:rPr>
              <w:t xml:space="preserve">, </w:t>
            </w:r>
            <w:r w:rsidRPr="000D5771">
              <w:rPr>
                <w:sz w:val="20"/>
                <w:lang w:val="fr-FR"/>
              </w:rPr>
              <w:t>ainsi qu'au respect des objectifs des Règles de procédure associées, pour que cette adjonction</w:t>
            </w:r>
            <w:r w:rsidRPr="000D5771" w:rsidDel="000435C4">
              <w:rPr>
                <w:sz w:val="20"/>
                <w:lang w:val="fr-FR"/>
              </w:rPr>
              <w:t xml:space="preserve"> </w:t>
            </w:r>
            <w:r w:rsidRPr="000D5771">
              <w:rPr>
                <w:sz w:val="20"/>
                <w:lang w:val="fr-FR"/>
              </w:rPr>
              <w:t xml:space="preserve">soit effectuée en vue d'assurer la </w:t>
            </w:r>
            <w:r w:rsidRPr="000D5771">
              <w:rPr>
                <w:sz w:val="20"/>
                <w:lang w:val="fr-FR"/>
              </w:rPr>
              <w:lastRenderedPageBreak/>
              <w:t>protection des services existants auxquels la bande de fréquences est attribuée, compte tenu des conditions dans lesquelles ces services existants sont actuellement exploités et mis en œuvre.</w:t>
            </w:r>
          </w:p>
          <w:p w14:paraId="2FECB4D4" w14:textId="77777777" w:rsidR="00A65B5B" w:rsidRPr="000D5771" w:rsidRDefault="00A65B5B" w:rsidP="006316B9">
            <w:pPr>
              <w:pStyle w:val="TableText0"/>
              <w:rPr>
                <w:sz w:val="20"/>
                <w:lang w:val="fr-FR"/>
              </w:rPr>
            </w:pPr>
            <w:r w:rsidRPr="000D5771">
              <w:rPr>
                <w:sz w:val="20"/>
                <w:lang w:val="fr-FR"/>
              </w:rPr>
              <w:t>Cette méthode prévoit également:</w:t>
            </w:r>
          </w:p>
          <w:p w14:paraId="26E1F43F" w14:textId="61AD8F33" w:rsidR="00A65B5B" w:rsidRPr="000D5771" w:rsidRDefault="003053E4" w:rsidP="00C378DD">
            <w:pPr>
              <w:pStyle w:val="enumlev1"/>
              <w:tabs>
                <w:tab w:val="clear" w:pos="1134"/>
                <w:tab w:val="left" w:pos="464"/>
              </w:tabs>
              <w:ind w:left="464" w:hanging="464"/>
              <w:rPr>
                <w:sz w:val="20"/>
                <w:szCs w:val="16"/>
              </w:rPr>
            </w:pPr>
            <w:r w:rsidRPr="000D5771">
              <w:rPr>
                <w:sz w:val="20"/>
                <w:szCs w:val="16"/>
              </w:rPr>
              <w:t>–</w:t>
            </w:r>
            <w:r w:rsidR="00C526A8" w:rsidRPr="000D5771">
              <w:rPr>
                <w:sz w:val="20"/>
                <w:szCs w:val="16"/>
              </w:rPr>
              <w:tab/>
            </w:r>
            <w:r w:rsidR="00A65B5B" w:rsidRPr="000D5771">
              <w:rPr>
                <w:sz w:val="20"/>
                <w:szCs w:val="16"/>
              </w:rPr>
              <w:t>l'adjonction des bandes de fréquences 1</w:t>
            </w:r>
            <w:r w:rsidRPr="000D5771">
              <w:rPr>
                <w:sz w:val="20"/>
                <w:szCs w:val="16"/>
              </w:rPr>
              <w:t xml:space="preserve"> </w:t>
            </w:r>
            <w:r w:rsidR="00A65B5B" w:rsidRPr="000D5771">
              <w:rPr>
                <w:sz w:val="20"/>
                <w:szCs w:val="16"/>
              </w:rPr>
              <w:t>610,18-1</w:t>
            </w:r>
            <w:r w:rsidRPr="000D5771">
              <w:rPr>
                <w:sz w:val="20"/>
                <w:szCs w:val="16"/>
              </w:rPr>
              <w:t xml:space="preserve"> </w:t>
            </w:r>
            <w:r w:rsidR="00A65B5B" w:rsidRPr="000D5771">
              <w:rPr>
                <w:sz w:val="20"/>
                <w:szCs w:val="16"/>
              </w:rPr>
              <w:t>621,35 MHz et 2 483,59</w:t>
            </w:r>
            <w:r w:rsidR="00A65B5B" w:rsidRPr="000D5771">
              <w:rPr>
                <w:sz w:val="20"/>
                <w:szCs w:val="16"/>
              </w:rPr>
              <w:noBreakHyphen/>
              <w:t xml:space="preserve">2 499,91 MHz dans le Tableau 15-2 de l'Appendice </w:t>
            </w:r>
            <w:r w:rsidR="00A65B5B" w:rsidRPr="000D5771">
              <w:rPr>
                <w:b/>
                <w:bCs/>
                <w:sz w:val="20"/>
                <w:szCs w:val="16"/>
              </w:rPr>
              <w:t>15</w:t>
            </w:r>
            <w:r w:rsidR="00A65B5B" w:rsidRPr="000D5771">
              <w:rPr>
                <w:sz w:val="20"/>
                <w:szCs w:val="16"/>
              </w:rPr>
              <w:t xml:space="preserve"> du RR, ainsi que des dispositions des numéros </w:t>
            </w:r>
            <w:r w:rsidR="00A65B5B" w:rsidRPr="000D5771">
              <w:rPr>
                <w:b/>
                <w:bCs/>
                <w:sz w:val="20"/>
                <w:szCs w:val="16"/>
              </w:rPr>
              <w:t>33.50</w:t>
            </w:r>
            <w:r w:rsidR="00A65B5B" w:rsidRPr="000D5771">
              <w:rPr>
                <w:sz w:val="20"/>
                <w:szCs w:val="16"/>
              </w:rPr>
              <w:t xml:space="preserve"> et </w:t>
            </w:r>
            <w:r w:rsidR="00A65B5B" w:rsidRPr="000D5771">
              <w:rPr>
                <w:b/>
                <w:bCs/>
                <w:sz w:val="20"/>
                <w:szCs w:val="16"/>
              </w:rPr>
              <w:t>33.53</w:t>
            </w:r>
            <w:r w:rsidR="00A65B5B" w:rsidRPr="000D5771">
              <w:rPr>
                <w:sz w:val="20"/>
                <w:szCs w:val="16"/>
              </w:rPr>
              <w:t xml:space="preserve"> de l'Article </w:t>
            </w:r>
            <w:r w:rsidR="00A65B5B" w:rsidRPr="000D5771">
              <w:rPr>
                <w:b/>
                <w:bCs/>
                <w:sz w:val="20"/>
                <w:szCs w:val="16"/>
              </w:rPr>
              <w:t>33</w:t>
            </w:r>
            <w:r w:rsidR="00A65B5B" w:rsidRPr="000D5771">
              <w:rPr>
                <w:sz w:val="20"/>
                <w:szCs w:val="16"/>
              </w:rPr>
              <w:t xml:space="preserve"> du RR, afin que les obligations liées à la sécurité de la vie humaine soient remplies par le</w:t>
            </w:r>
            <w:r w:rsidR="00145930" w:rsidRPr="000D5771">
              <w:rPr>
                <w:sz w:val="20"/>
                <w:szCs w:val="16"/>
              </w:rPr>
              <w:t> </w:t>
            </w:r>
            <w:r w:rsidR="00A65B5B" w:rsidRPr="000D5771">
              <w:rPr>
                <w:sz w:val="20"/>
                <w:szCs w:val="16"/>
              </w:rPr>
              <w:t>SMDSM et que les dispositions applicables du RR soient mises en œuvre;</w:t>
            </w:r>
          </w:p>
          <w:p w14:paraId="4563D673" w14:textId="4F81C7CD" w:rsidR="00A65B5B" w:rsidRPr="000D5771" w:rsidRDefault="003053E4" w:rsidP="00C378DD">
            <w:pPr>
              <w:pStyle w:val="enumlev1"/>
              <w:tabs>
                <w:tab w:val="clear" w:pos="1134"/>
                <w:tab w:val="left" w:pos="464"/>
              </w:tabs>
              <w:ind w:left="464" w:hanging="464"/>
              <w:rPr>
                <w:sz w:val="20"/>
                <w:szCs w:val="16"/>
              </w:rPr>
            </w:pPr>
            <w:r w:rsidRPr="000D5771">
              <w:rPr>
                <w:sz w:val="20"/>
                <w:szCs w:val="16"/>
              </w:rPr>
              <w:t>–</w:t>
            </w:r>
            <w:r w:rsidR="00C526A8" w:rsidRPr="000D5771">
              <w:rPr>
                <w:sz w:val="20"/>
                <w:szCs w:val="16"/>
              </w:rPr>
              <w:tab/>
            </w:r>
            <w:r w:rsidR="00A65B5B" w:rsidRPr="000D5771">
              <w:rPr>
                <w:sz w:val="20"/>
                <w:szCs w:val="16"/>
              </w:rPr>
              <w:t xml:space="preserve">la modification des numéros </w:t>
            </w:r>
            <w:r w:rsidR="00A65B5B" w:rsidRPr="000D5771">
              <w:rPr>
                <w:b/>
                <w:bCs/>
                <w:sz w:val="20"/>
                <w:szCs w:val="16"/>
              </w:rPr>
              <w:t>5.364</w:t>
            </w:r>
            <w:r w:rsidR="00A65B5B" w:rsidRPr="000D5771">
              <w:rPr>
                <w:sz w:val="20"/>
                <w:szCs w:val="16"/>
              </w:rPr>
              <w:t xml:space="preserve"> et </w:t>
            </w:r>
            <w:r w:rsidR="00A65B5B" w:rsidRPr="000D5771">
              <w:rPr>
                <w:b/>
                <w:bCs/>
                <w:sz w:val="20"/>
                <w:szCs w:val="16"/>
              </w:rPr>
              <w:t>5.368</w:t>
            </w:r>
            <w:r w:rsidR="00A65B5B" w:rsidRPr="000D5771">
              <w:rPr>
                <w:sz w:val="20"/>
                <w:szCs w:val="16"/>
              </w:rPr>
              <w:t xml:space="preserve"> pour appliquer le numéro </w:t>
            </w:r>
            <w:r w:rsidR="00A65B5B" w:rsidRPr="000D5771">
              <w:rPr>
                <w:b/>
                <w:bCs/>
                <w:sz w:val="20"/>
                <w:szCs w:val="16"/>
              </w:rPr>
              <w:t>4.10</w:t>
            </w:r>
            <w:r w:rsidR="00A65B5B" w:rsidRPr="000D5771">
              <w:rPr>
                <w:sz w:val="20"/>
                <w:szCs w:val="16"/>
              </w:rPr>
              <w:t xml:space="preserve"> du</w:t>
            </w:r>
            <w:r w:rsidR="00145930" w:rsidRPr="000D5771">
              <w:rPr>
                <w:sz w:val="20"/>
                <w:szCs w:val="16"/>
              </w:rPr>
              <w:t> </w:t>
            </w:r>
            <w:r w:rsidR="00A65B5B" w:rsidRPr="000D5771">
              <w:rPr>
                <w:sz w:val="20"/>
                <w:szCs w:val="16"/>
              </w:rPr>
              <w:t>RR dans la bande de fréquences 1 610,18-1 621,35 MHz aux stations du</w:t>
            </w:r>
            <w:r w:rsidR="00145930" w:rsidRPr="000D5771">
              <w:rPr>
                <w:sz w:val="20"/>
                <w:szCs w:val="16"/>
              </w:rPr>
              <w:t> </w:t>
            </w:r>
            <w:r w:rsidR="00A65B5B" w:rsidRPr="000D5771">
              <w:rPr>
                <w:sz w:val="20"/>
                <w:szCs w:val="16"/>
              </w:rPr>
              <w:t>SMDSM fonctionnant dans le SMMS (Terre vers espace), et la modification du numéro</w:t>
            </w:r>
            <w:r w:rsidRPr="000D5771">
              <w:rPr>
                <w:sz w:val="20"/>
                <w:szCs w:val="16"/>
              </w:rPr>
              <w:t> </w:t>
            </w:r>
            <w:r w:rsidR="00A65B5B" w:rsidRPr="000D5771">
              <w:rPr>
                <w:b/>
                <w:bCs/>
                <w:sz w:val="20"/>
                <w:szCs w:val="16"/>
              </w:rPr>
              <w:t>5.368</w:t>
            </w:r>
            <w:r w:rsidR="00A65B5B" w:rsidRPr="000D5771">
              <w:rPr>
                <w:sz w:val="20"/>
                <w:szCs w:val="16"/>
              </w:rPr>
              <w:t>, afin de conserver le statut entre les stations du SMDSM fonctionnant dans le SMMS et le SMA(R)S dans la bande de fréquences 1 610,1</w:t>
            </w:r>
            <w:r w:rsidRPr="000D5771">
              <w:rPr>
                <w:sz w:val="20"/>
                <w:szCs w:val="16"/>
              </w:rPr>
              <w:noBreakHyphen/>
            </w:r>
            <w:r w:rsidR="00A65B5B" w:rsidRPr="000D5771">
              <w:rPr>
                <w:sz w:val="20"/>
                <w:szCs w:val="16"/>
              </w:rPr>
              <w:t>1 621,35 MHz;</w:t>
            </w:r>
          </w:p>
          <w:p w14:paraId="2226D125" w14:textId="782AD129" w:rsidR="00A65B5B" w:rsidRPr="000D5771" w:rsidRDefault="003053E4" w:rsidP="00C378DD">
            <w:pPr>
              <w:pStyle w:val="enumlev1"/>
              <w:tabs>
                <w:tab w:val="clear" w:pos="1134"/>
                <w:tab w:val="left" w:pos="464"/>
              </w:tabs>
              <w:ind w:left="464" w:hanging="464"/>
              <w:rPr>
                <w:sz w:val="20"/>
                <w:szCs w:val="16"/>
              </w:rPr>
            </w:pPr>
            <w:r w:rsidRPr="000D5771">
              <w:rPr>
                <w:sz w:val="20"/>
                <w:szCs w:val="16"/>
              </w:rPr>
              <w:t>–</w:t>
            </w:r>
            <w:r w:rsidR="00567789" w:rsidRPr="000D5771">
              <w:rPr>
                <w:sz w:val="20"/>
                <w:szCs w:val="16"/>
              </w:rPr>
              <w:tab/>
            </w:r>
            <w:r w:rsidR="00A65B5B" w:rsidRPr="000D5771">
              <w:rPr>
                <w:sz w:val="20"/>
                <w:szCs w:val="16"/>
              </w:rPr>
              <w:t>l'élaboration d'une Résolution connexe visant à tenir compte des besoins de coordination et à atténuer et à éliminer les brouillages préjudiciables éventuels.</w:t>
            </w:r>
          </w:p>
          <w:p w14:paraId="46324A57" w14:textId="2933DCBF" w:rsidR="00A65B5B" w:rsidRPr="000D5771" w:rsidRDefault="004D6ED9" w:rsidP="006316B9">
            <w:pPr>
              <w:pStyle w:val="TableText0"/>
              <w:tabs>
                <w:tab w:val="clear" w:pos="284"/>
              </w:tabs>
              <w:rPr>
                <w:sz w:val="20"/>
                <w:lang w:val="fr-FR"/>
              </w:rPr>
            </w:pPr>
            <w:r w:rsidRPr="000D5771">
              <w:rPr>
                <w:b/>
                <w:bCs/>
                <w:sz w:val="20"/>
                <w:lang w:val="fr-FR"/>
              </w:rPr>
              <w:t>3.2</w:t>
            </w:r>
            <w:r w:rsidR="003053E4" w:rsidRPr="000D5771">
              <w:rPr>
                <w:sz w:val="20"/>
                <w:lang w:val="fr-FR"/>
              </w:rPr>
              <w:tab/>
            </w:r>
            <w:r w:rsidR="00A65B5B" w:rsidRPr="000D5771">
              <w:rPr>
                <w:sz w:val="20"/>
                <w:lang w:val="fr-FR"/>
              </w:rPr>
              <w:t xml:space="preserve">Certaines administrations sont d'avis qu'il est indispensable de mener à bien la coordination et la notification du nouveau système en projet du SMDSM, conformément aux Articles </w:t>
            </w:r>
            <w:r w:rsidR="00A65B5B" w:rsidRPr="000D5771">
              <w:rPr>
                <w:b/>
                <w:bCs/>
                <w:sz w:val="20"/>
                <w:lang w:val="fr-FR"/>
              </w:rPr>
              <w:t>9</w:t>
            </w:r>
            <w:r w:rsidR="00A65B5B" w:rsidRPr="000D5771">
              <w:rPr>
                <w:sz w:val="20"/>
                <w:lang w:val="fr-FR"/>
              </w:rPr>
              <w:t xml:space="preserve"> et </w:t>
            </w:r>
            <w:r w:rsidR="00A65B5B" w:rsidRPr="000D5771">
              <w:rPr>
                <w:b/>
                <w:bCs/>
                <w:sz w:val="20"/>
                <w:lang w:val="fr-FR"/>
              </w:rPr>
              <w:t>11</w:t>
            </w:r>
            <w:r w:rsidR="00A65B5B" w:rsidRPr="000D5771">
              <w:rPr>
                <w:sz w:val="20"/>
                <w:lang w:val="fr-FR"/>
              </w:rPr>
              <w:t xml:space="preserve"> du RR, pour apporter des modifications au Règlement des radiocommunications afin de tenir compte de ce système. Si tel n'est pas le cas, un système du SMDSM ne pourra prétendre à une protection contre les brouillages préjudiciables et ne satisfera peut-être pas aux exigences d'un système de sécurité. À cette fin, il convient de souligner que les assignations inscrites au titre du numéro</w:t>
            </w:r>
            <w:r w:rsidR="003053E4" w:rsidRPr="000D5771">
              <w:rPr>
                <w:sz w:val="20"/>
                <w:lang w:val="fr-FR"/>
              </w:rPr>
              <w:t> </w:t>
            </w:r>
            <w:r w:rsidR="00A65B5B" w:rsidRPr="000D5771">
              <w:rPr>
                <w:b/>
                <w:bCs/>
                <w:sz w:val="20"/>
                <w:lang w:val="fr-FR"/>
              </w:rPr>
              <w:t>11.41</w:t>
            </w:r>
            <w:r w:rsidR="00A65B5B" w:rsidRPr="000D5771">
              <w:rPr>
                <w:sz w:val="20"/>
                <w:lang w:val="fr-FR"/>
              </w:rPr>
              <w:t xml:space="preserve"> du RR ne se prêtent pas à une utilisation dans le cadre d'un système du</w:t>
            </w:r>
            <w:r w:rsidR="00145930" w:rsidRPr="000D5771">
              <w:rPr>
                <w:sz w:val="20"/>
                <w:lang w:val="fr-FR"/>
              </w:rPr>
              <w:t> </w:t>
            </w:r>
            <w:r w:rsidR="00A65B5B" w:rsidRPr="000D5771">
              <w:rPr>
                <w:sz w:val="20"/>
                <w:lang w:val="fr-FR"/>
              </w:rPr>
              <w:t>SMDSM. La reconnaissance et l'approbation par l'OMI du réseau à satellite/système à satellites OSG pour assurer les fonctions du SMDSM avant la</w:t>
            </w:r>
            <w:r w:rsidR="00145930" w:rsidRPr="000D5771">
              <w:rPr>
                <w:sz w:val="20"/>
                <w:lang w:val="fr-FR"/>
              </w:rPr>
              <w:t> </w:t>
            </w:r>
            <w:r w:rsidR="00A65B5B" w:rsidRPr="000D5771">
              <w:rPr>
                <w:sz w:val="20"/>
                <w:lang w:val="fr-FR"/>
              </w:rPr>
              <w:t>CMR-23 constituent également des facteurs déterminants pour l'adoption de modifications éventuelles apportées au Règlement des radiocommunications.</w:t>
            </w:r>
          </w:p>
          <w:p w14:paraId="125AB38A" w14:textId="55B3B383" w:rsidR="00A65B5B" w:rsidRPr="000D5771" w:rsidRDefault="004D6ED9" w:rsidP="006316B9">
            <w:pPr>
              <w:pStyle w:val="TableText0"/>
              <w:tabs>
                <w:tab w:val="clear" w:pos="284"/>
              </w:tabs>
              <w:rPr>
                <w:sz w:val="20"/>
                <w:lang w:val="fr-FR"/>
              </w:rPr>
            </w:pPr>
            <w:r w:rsidRPr="000D5771">
              <w:rPr>
                <w:b/>
                <w:bCs/>
                <w:sz w:val="20"/>
                <w:lang w:val="fr-FR"/>
              </w:rPr>
              <w:t>3.3</w:t>
            </w:r>
            <w:r w:rsidR="003053E4" w:rsidRPr="000D5771">
              <w:rPr>
                <w:sz w:val="20"/>
                <w:lang w:val="fr-FR"/>
              </w:rPr>
              <w:tab/>
            </w:r>
            <w:r w:rsidR="00A65B5B" w:rsidRPr="000D5771">
              <w:rPr>
                <w:sz w:val="20"/>
                <w:lang w:val="fr-FR"/>
              </w:rPr>
              <w:t>D'autres administrations sont convaincues que les vues exposées ci-dessus ne sont pas factuelles et prêtent à confusion, pour les raisons suivantes:</w:t>
            </w:r>
          </w:p>
          <w:p w14:paraId="3CA676FF" w14:textId="7E0C4286" w:rsidR="00A65B5B" w:rsidRPr="000D5771" w:rsidRDefault="003053E4" w:rsidP="005A21B6">
            <w:pPr>
              <w:pStyle w:val="enumlev1"/>
              <w:tabs>
                <w:tab w:val="clear" w:pos="1134"/>
                <w:tab w:val="left" w:pos="464"/>
              </w:tabs>
              <w:ind w:left="464" w:hanging="464"/>
              <w:rPr>
                <w:sz w:val="20"/>
                <w:szCs w:val="16"/>
              </w:rPr>
            </w:pPr>
            <w:r w:rsidRPr="000D5771">
              <w:rPr>
                <w:sz w:val="20"/>
                <w:szCs w:val="16"/>
              </w:rPr>
              <w:t>–</w:t>
            </w:r>
            <w:r w:rsidR="00567789" w:rsidRPr="000D5771">
              <w:rPr>
                <w:sz w:val="20"/>
                <w:szCs w:val="16"/>
              </w:rPr>
              <w:tab/>
            </w:r>
            <w:r w:rsidRPr="000D5771">
              <w:rPr>
                <w:sz w:val="20"/>
                <w:szCs w:val="16"/>
              </w:rPr>
              <w:t>i</w:t>
            </w:r>
            <w:r w:rsidR="00A65B5B" w:rsidRPr="000D5771">
              <w:rPr>
                <w:sz w:val="20"/>
                <w:szCs w:val="16"/>
              </w:rPr>
              <w:t>l n'y a pas de relation entre la procédure de coordination des</w:t>
            </w:r>
            <w:r w:rsidR="00B369E6" w:rsidRPr="000D5771">
              <w:rPr>
                <w:sz w:val="20"/>
                <w:szCs w:val="16"/>
              </w:rPr>
              <w:t xml:space="preserve"> </w:t>
            </w:r>
            <w:r w:rsidR="00A65B5B" w:rsidRPr="000D5771">
              <w:rPr>
                <w:sz w:val="20"/>
                <w:szCs w:val="16"/>
              </w:rPr>
              <w:t>assignations et la décision d'une CMR, y compris la CMR-23, étant donné que les mesures à prendre concernant la coordination sont actuellement clairement décrites et énoncées dans le Règlement des radiocommunications et n'appellent pas de décision additionnelle de la part de la</w:t>
            </w:r>
            <w:r w:rsidRPr="000D5771">
              <w:rPr>
                <w:sz w:val="20"/>
                <w:szCs w:val="16"/>
              </w:rPr>
              <w:t xml:space="preserve"> </w:t>
            </w:r>
            <w:r w:rsidR="00A65B5B" w:rsidRPr="000D5771">
              <w:rPr>
                <w:sz w:val="20"/>
                <w:szCs w:val="16"/>
              </w:rPr>
              <w:t>CMR</w:t>
            </w:r>
            <w:r w:rsidR="00A65B5B" w:rsidRPr="000D5771">
              <w:rPr>
                <w:sz w:val="20"/>
                <w:szCs w:val="16"/>
              </w:rPr>
              <w:noBreakHyphen/>
              <w:t>23</w:t>
            </w:r>
            <w:r w:rsidRPr="000D5771">
              <w:rPr>
                <w:sz w:val="20"/>
                <w:szCs w:val="16"/>
              </w:rPr>
              <w:t>;</w:t>
            </w:r>
          </w:p>
          <w:p w14:paraId="38B09040" w14:textId="586704C5" w:rsidR="00B369E6" w:rsidRPr="000D5771" w:rsidRDefault="003053E4" w:rsidP="005A21B6">
            <w:pPr>
              <w:pStyle w:val="enumlev1"/>
              <w:tabs>
                <w:tab w:val="clear" w:pos="1134"/>
                <w:tab w:val="left" w:pos="464"/>
              </w:tabs>
              <w:ind w:left="464" w:hanging="464"/>
              <w:rPr>
                <w:sz w:val="20"/>
                <w:szCs w:val="16"/>
              </w:rPr>
            </w:pPr>
            <w:r w:rsidRPr="000D5771">
              <w:rPr>
                <w:sz w:val="20"/>
                <w:szCs w:val="16"/>
              </w:rPr>
              <w:t>–</w:t>
            </w:r>
            <w:r w:rsidR="00567789" w:rsidRPr="000D5771">
              <w:rPr>
                <w:sz w:val="20"/>
                <w:szCs w:val="16"/>
              </w:rPr>
              <w:tab/>
            </w:r>
            <w:r w:rsidRPr="000D5771">
              <w:rPr>
                <w:sz w:val="20"/>
                <w:szCs w:val="16"/>
              </w:rPr>
              <w:t>l</w:t>
            </w:r>
            <w:r w:rsidR="00A65B5B" w:rsidRPr="000D5771">
              <w:rPr>
                <w:sz w:val="20"/>
                <w:szCs w:val="16"/>
              </w:rPr>
              <w:t xml:space="preserve">a mention de l'inclusion dans le Règlement des radiocommunications d'une assignation de fréquence donnée relative à un réseau à satellite OSG ou à un système à satellites non OSG donné fait partie intégrante de la procédure de notification et d'inscription de cette assignation, comme indiqué dans l'Article </w:t>
            </w:r>
            <w:r w:rsidR="00A65B5B" w:rsidRPr="000D5771">
              <w:rPr>
                <w:b/>
                <w:bCs/>
                <w:sz w:val="20"/>
                <w:szCs w:val="16"/>
              </w:rPr>
              <w:t>11</w:t>
            </w:r>
            <w:r w:rsidR="00A65B5B" w:rsidRPr="000D5771">
              <w:rPr>
                <w:sz w:val="20"/>
                <w:szCs w:val="16"/>
              </w:rPr>
              <w:t xml:space="preserve"> du Règlement des radiocommunications, et est donc totalement indépendante de la décision d'une CMR, y compris la CMR-23</w:t>
            </w:r>
            <w:r w:rsidRPr="000D5771">
              <w:rPr>
                <w:sz w:val="20"/>
                <w:szCs w:val="16"/>
              </w:rPr>
              <w:t>;</w:t>
            </w:r>
          </w:p>
          <w:p w14:paraId="698F0CD8" w14:textId="5626C1B5" w:rsidR="00A65B5B" w:rsidRPr="000D5771" w:rsidRDefault="003053E4" w:rsidP="005A21B6">
            <w:pPr>
              <w:pStyle w:val="enumlev1"/>
              <w:tabs>
                <w:tab w:val="clear" w:pos="1134"/>
                <w:tab w:val="left" w:pos="464"/>
              </w:tabs>
              <w:ind w:left="464" w:hanging="464"/>
              <w:rPr>
                <w:sz w:val="20"/>
                <w:szCs w:val="16"/>
              </w:rPr>
            </w:pPr>
            <w:r w:rsidRPr="000D5771">
              <w:rPr>
                <w:sz w:val="20"/>
                <w:szCs w:val="16"/>
              </w:rPr>
              <w:t>–</w:t>
            </w:r>
            <w:r w:rsidR="00567789" w:rsidRPr="000D5771">
              <w:rPr>
                <w:sz w:val="20"/>
                <w:szCs w:val="16"/>
              </w:rPr>
              <w:tab/>
            </w:r>
            <w:r w:rsidRPr="000D5771">
              <w:rPr>
                <w:sz w:val="20"/>
                <w:szCs w:val="16"/>
              </w:rPr>
              <w:t>l</w:t>
            </w:r>
            <w:r w:rsidR="00A65B5B" w:rsidRPr="000D5771">
              <w:rPr>
                <w:sz w:val="20"/>
                <w:szCs w:val="16"/>
              </w:rPr>
              <w:t>a question de la reconnaissance par l'OMI d'un réseau à satellite OSG ou d'un système à satellites non OSG remplissant les conditions requises pour mettre en œuvre le SMDSM est sans rapport avec la décision d'une</w:t>
            </w:r>
            <w:r w:rsidRPr="000D5771">
              <w:rPr>
                <w:sz w:val="20"/>
                <w:szCs w:val="16"/>
              </w:rPr>
              <w:t> </w:t>
            </w:r>
            <w:r w:rsidR="00A65B5B" w:rsidRPr="000D5771">
              <w:rPr>
                <w:sz w:val="20"/>
                <w:szCs w:val="16"/>
              </w:rPr>
              <w:t>CMR, par exemple la CMR-23, étant donné que cette reconnaissance est totalement distincte du mandat et de la compétence de l'OMI, reconnaissance qui pourrait intervenir avant une CMR ou après une</w:t>
            </w:r>
            <w:r w:rsidR="006E21B9" w:rsidRPr="000D5771">
              <w:rPr>
                <w:sz w:val="20"/>
                <w:szCs w:val="16"/>
              </w:rPr>
              <w:t xml:space="preserve"> </w:t>
            </w:r>
            <w:r w:rsidR="00A65B5B" w:rsidRPr="000D5771">
              <w:rPr>
                <w:sz w:val="20"/>
                <w:szCs w:val="16"/>
              </w:rPr>
              <w:t>CMR, ou ne pas intervenir du tout.</w:t>
            </w:r>
          </w:p>
          <w:p w14:paraId="198AAAA0" w14:textId="77777777" w:rsidR="00F43960" w:rsidRPr="000D5771" w:rsidRDefault="00F43960" w:rsidP="006316B9">
            <w:pPr>
              <w:pStyle w:val="TableText0"/>
              <w:spacing w:before="240"/>
              <w:rPr>
                <w:i/>
                <w:iCs/>
                <w:sz w:val="20"/>
                <w:szCs w:val="20"/>
                <w:u w:val="single"/>
                <w:lang w:val="fr-FR"/>
              </w:rPr>
            </w:pPr>
            <w:r w:rsidRPr="000D5771">
              <w:rPr>
                <w:i/>
                <w:iCs/>
                <w:sz w:val="20"/>
                <w:szCs w:val="20"/>
                <w:u w:val="single"/>
                <w:lang w:val="fr-FR"/>
              </w:rPr>
              <w:t>Partie 2: Marche à suivre</w:t>
            </w:r>
          </w:p>
          <w:p w14:paraId="77C0888C" w14:textId="5B84B018" w:rsidR="00F43960" w:rsidRPr="000D5771" w:rsidRDefault="00F43960" w:rsidP="006316B9">
            <w:pPr>
              <w:pStyle w:val="TableText0"/>
              <w:rPr>
                <w:b/>
                <w:i/>
                <w:sz w:val="20"/>
                <w:szCs w:val="20"/>
                <w:lang w:val="fr-FR"/>
              </w:rPr>
            </w:pPr>
            <w:r w:rsidRPr="000D5771">
              <w:rPr>
                <w:b/>
                <w:i/>
                <w:sz w:val="20"/>
                <w:szCs w:val="20"/>
                <w:lang w:val="fr-FR"/>
              </w:rPr>
              <w:t xml:space="preserve">Demander aux administrations des </w:t>
            </w:r>
            <w:r w:rsidR="00E80683" w:rsidRPr="000D5771">
              <w:rPr>
                <w:b/>
                <w:i/>
                <w:sz w:val="20"/>
                <w:szCs w:val="20"/>
                <w:lang w:val="fr-FR"/>
              </w:rPr>
              <w:t>pays membres de l'UAT</w:t>
            </w:r>
            <w:r w:rsidRPr="000D5771">
              <w:rPr>
                <w:b/>
                <w:iCs/>
                <w:sz w:val="20"/>
                <w:szCs w:val="20"/>
                <w:lang w:val="fr-FR"/>
              </w:rPr>
              <w:t>:</w:t>
            </w:r>
          </w:p>
          <w:p w14:paraId="18790619" w14:textId="0C646B54" w:rsidR="00A65B5B" w:rsidRPr="000D5771" w:rsidRDefault="00BF10A8" w:rsidP="006316B9">
            <w:pPr>
              <w:pStyle w:val="TableText0"/>
              <w:rPr>
                <w:sz w:val="20"/>
                <w:lang w:val="fr-FR"/>
              </w:rPr>
            </w:pPr>
            <w:r w:rsidRPr="000D5771">
              <w:rPr>
                <w:sz w:val="20"/>
                <w:szCs w:val="20"/>
                <w:lang w:val="fr-FR"/>
              </w:rPr>
              <w:t>d</w:t>
            </w:r>
            <w:r w:rsidR="00F43960" w:rsidRPr="000D5771">
              <w:rPr>
                <w:sz w:val="20"/>
                <w:szCs w:val="20"/>
                <w:lang w:val="fr-FR"/>
              </w:rPr>
              <w:t>'</w:t>
            </w:r>
            <w:r w:rsidR="00F43960" w:rsidRPr="000D5771">
              <w:rPr>
                <w:b/>
                <w:sz w:val="20"/>
                <w:szCs w:val="20"/>
                <w:lang w:val="fr-FR"/>
              </w:rPr>
              <w:t>appuyer</w:t>
            </w:r>
            <w:r w:rsidR="00F43960" w:rsidRPr="000D5771">
              <w:rPr>
                <w:sz w:val="20"/>
                <w:szCs w:val="20"/>
                <w:lang w:val="fr-FR"/>
              </w:rPr>
              <w:t xml:space="preserve"> la proposition africaine commune au titre de ce point de l'ordre du jour.</w:t>
            </w:r>
          </w:p>
        </w:tc>
      </w:tr>
      <w:tr w:rsidR="00145930" w:rsidRPr="000D5771" w14:paraId="78F3BDB2" w14:textId="77777777" w:rsidTr="004B4875">
        <w:trPr>
          <w:cantSplit/>
        </w:trPr>
        <w:tc>
          <w:tcPr>
            <w:tcW w:w="2972" w:type="dxa"/>
            <w:tcBorders>
              <w:top w:val="single" w:sz="6" w:space="0" w:color="auto"/>
              <w:left w:val="single" w:sz="4" w:space="0" w:color="auto"/>
              <w:bottom w:val="single" w:sz="6" w:space="0" w:color="auto"/>
            </w:tcBorders>
          </w:tcPr>
          <w:p w14:paraId="178CDA50" w14:textId="77777777" w:rsidR="00145930" w:rsidRPr="000D5771" w:rsidRDefault="00145930" w:rsidP="004B4875">
            <w:pPr>
              <w:pStyle w:val="TableText0"/>
              <w:rPr>
                <w:b/>
                <w:sz w:val="20"/>
                <w:szCs w:val="20"/>
                <w:lang w:val="fr-FR"/>
              </w:rPr>
            </w:pPr>
            <w:r w:rsidRPr="000D5771">
              <w:rPr>
                <w:b/>
                <w:sz w:val="20"/>
                <w:szCs w:val="20"/>
                <w:lang w:val="fr-FR"/>
              </w:rPr>
              <w:lastRenderedPageBreak/>
              <w:t>9.1, Question B</w:t>
            </w:r>
          </w:p>
          <w:p w14:paraId="119FEF0B" w14:textId="77777777" w:rsidR="00145930" w:rsidRPr="000D5771" w:rsidRDefault="00145930" w:rsidP="004B4875">
            <w:pPr>
              <w:pStyle w:val="TableText0"/>
              <w:rPr>
                <w:b/>
                <w:sz w:val="20"/>
                <w:szCs w:val="20"/>
                <w:lang w:val="fr-FR"/>
              </w:rPr>
            </w:pPr>
            <w:r w:rsidRPr="000D5771">
              <w:rPr>
                <w:sz w:val="20"/>
                <w:szCs w:val="20"/>
                <w:lang w:val="fr-FR"/>
              </w:rPr>
              <w:t>Examiner les attributions au service d'amateur et au service d'amateur par satellite dans la bande de fréquences 1 240</w:t>
            </w:r>
            <w:r w:rsidRPr="000D5771">
              <w:rPr>
                <w:sz w:val="20"/>
                <w:szCs w:val="20"/>
                <w:lang w:val="fr-FR"/>
              </w:rPr>
              <w:noBreakHyphen/>
              <w:t xml:space="preserve">1 300 MHz, afin de déterminer si des mesures additionnelles doivent être prises pour garantir la protection du service de radionavigation par satellite (espace vers Terre) fonctionnant dans la même bande de fréquences, conformément à la Résolution </w:t>
            </w:r>
            <w:r w:rsidRPr="000D5771">
              <w:rPr>
                <w:b/>
                <w:bCs/>
                <w:sz w:val="20"/>
                <w:szCs w:val="20"/>
                <w:lang w:val="fr-FR"/>
              </w:rPr>
              <w:t>774 (CMR-19)</w:t>
            </w:r>
          </w:p>
        </w:tc>
        <w:tc>
          <w:tcPr>
            <w:tcW w:w="7174" w:type="dxa"/>
            <w:tcBorders>
              <w:top w:val="single" w:sz="4" w:space="0" w:color="auto"/>
              <w:bottom w:val="single" w:sz="6" w:space="0" w:color="auto"/>
              <w:right w:val="single" w:sz="4" w:space="0" w:color="auto"/>
            </w:tcBorders>
          </w:tcPr>
          <w:p w14:paraId="3FA2313B" w14:textId="77777777" w:rsidR="00145930" w:rsidRPr="000D5771" w:rsidRDefault="00145930" w:rsidP="004B4875">
            <w:pPr>
              <w:pStyle w:val="TableText0"/>
              <w:rPr>
                <w:i/>
                <w:iCs/>
                <w:sz w:val="20"/>
                <w:szCs w:val="20"/>
                <w:u w:val="single"/>
                <w:lang w:val="fr-FR"/>
              </w:rPr>
            </w:pPr>
            <w:r w:rsidRPr="000D5771">
              <w:rPr>
                <w:i/>
                <w:iCs/>
                <w:sz w:val="20"/>
                <w:szCs w:val="20"/>
                <w:u w:val="single"/>
                <w:lang w:val="fr-FR"/>
              </w:rPr>
              <w:t>Partie 1: Position commune</w:t>
            </w:r>
          </w:p>
          <w:p w14:paraId="4C47776B" w14:textId="77777777" w:rsidR="00145930" w:rsidRPr="000D5771" w:rsidRDefault="00145930" w:rsidP="004B4875">
            <w:pPr>
              <w:pStyle w:val="TableText0"/>
              <w:rPr>
                <w:sz w:val="20"/>
                <w:szCs w:val="20"/>
                <w:lang w:val="fr-FR"/>
              </w:rPr>
            </w:pPr>
            <w:r w:rsidRPr="000D5771">
              <w:rPr>
                <w:b/>
                <w:bCs/>
                <w:sz w:val="20"/>
                <w:szCs w:val="20"/>
                <w:lang w:val="fr-FR"/>
              </w:rPr>
              <w:t>Appuyer</w:t>
            </w:r>
            <w:r w:rsidRPr="000D5771">
              <w:rPr>
                <w:sz w:val="20"/>
                <w:szCs w:val="20"/>
                <w:lang w:val="fr-FR"/>
              </w:rPr>
              <w:t xml:space="preserve"> l'élaboration des mesures techniques et opérationnelles qui pourraient être prises pour garantir la protection des récepteurs du SRNS (espace vers Terre) vis-à-vis des services d'amateur et d'amateur par satellite dans la bande de fréquences 1 240</w:t>
            </w:r>
            <w:r w:rsidRPr="000D5771">
              <w:rPr>
                <w:sz w:val="20"/>
                <w:szCs w:val="20"/>
                <w:lang w:val="fr-FR"/>
              </w:rPr>
              <w:noBreakHyphen/>
              <w:t>1 300 MHz</w:t>
            </w:r>
          </w:p>
          <w:p w14:paraId="6CBD10E5"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2C3E16E8" w14:textId="77777777" w:rsidR="00145930" w:rsidRPr="000D5771" w:rsidRDefault="00145930" w:rsidP="004B4875">
            <w:pPr>
              <w:pStyle w:val="TableText0"/>
              <w:rPr>
                <w:b/>
                <w:bCs/>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6501838B" w14:textId="77777777" w:rsidR="00145930" w:rsidRPr="000D5771" w:rsidRDefault="00145930" w:rsidP="004B4875">
            <w:pPr>
              <w:pStyle w:val="enumlev1"/>
              <w:tabs>
                <w:tab w:val="clear" w:pos="1134"/>
                <w:tab w:val="left" w:pos="464"/>
              </w:tabs>
              <w:ind w:left="464" w:hanging="464"/>
              <w:rPr>
                <w:sz w:val="20"/>
                <w:lang w:eastAsia="zh-CN"/>
              </w:rPr>
            </w:pPr>
            <w:r w:rsidRPr="000D5771">
              <w:rPr>
                <w:sz w:val="20"/>
              </w:rPr>
              <w:t>1</w:t>
            </w:r>
            <w:r w:rsidRPr="000D5771">
              <w:rPr>
                <w:sz w:val="20"/>
              </w:rPr>
              <w:tab/>
            </w:r>
            <w:r w:rsidRPr="000D5771">
              <w:rPr>
                <w:sz w:val="20"/>
                <w:lang w:eastAsia="zh-CN"/>
              </w:rPr>
              <w:t xml:space="preserve">de </w:t>
            </w:r>
            <w:r w:rsidRPr="000D5771">
              <w:rPr>
                <w:b/>
                <w:bCs/>
                <w:sz w:val="20"/>
                <w:lang w:eastAsia="zh-CN"/>
              </w:rPr>
              <w:t>noter</w:t>
            </w:r>
            <w:r w:rsidRPr="000D5771">
              <w:rPr>
                <w:sz w:val="20"/>
                <w:lang w:eastAsia="zh-CN"/>
              </w:rPr>
              <w:t xml:space="preserve"> que certains cas de brouillages préjudiciables causés par des émissions provenant de stations du service d'amateur fonctionnant à titre secondaire à des récepteurs du SRNS (espace vers Terre) fonctionnant à titre primaire ont été observés, documentés et signalés dans deux pays. De plus amples renseignements figurent dans le Rapport UIT-R M.2513;</w:t>
            </w:r>
          </w:p>
          <w:p w14:paraId="06204D5B" w14:textId="77777777" w:rsidR="00145930" w:rsidRPr="000D5771" w:rsidRDefault="00145930" w:rsidP="004B4875">
            <w:pPr>
              <w:pStyle w:val="enumlev1"/>
              <w:tabs>
                <w:tab w:val="clear" w:pos="1134"/>
                <w:tab w:val="left" w:pos="464"/>
              </w:tabs>
              <w:ind w:left="464" w:hanging="464"/>
              <w:rPr>
                <w:sz w:val="20"/>
                <w:lang w:eastAsia="zh-CN"/>
              </w:rPr>
            </w:pPr>
            <w:r w:rsidRPr="000D5771">
              <w:rPr>
                <w:sz w:val="20"/>
                <w:lang w:eastAsia="zh-CN"/>
              </w:rPr>
              <w:t>2</w:t>
            </w:r>
            <w:r w:rsidRPr="000D5771">
              <w:rPr>
                <w:sz w:val="20"/>
                <w:lang w:eastAsia="zh-CN"/>
              </w:rPr>
              <w:tab/>
              <w:t xml:space="preserve">de </w:t>
            </w:r>
            <w:r w:rsidRPr="000D5771">
              <w:rPr>
                <w:b/>
                <w:bCs/>
                <w:sz w:val="20"/>
                <w:lang w:eastAsia="zh-CN"/>
              </w:rPr>
              <w:t>noter</w:t>
            </w:r>
            <w:r w:rsidRPr="000D5771">
              <w:rPr>
                <w:sz w:val="20"/>
                <w:lang w:eastAsia="zh-CN"/>
              </w:rPr>
              <w:t xml:space="preserve"> que l'UIT-R élabore actuellement une Recommandation UIT</w:t>
            </w:r>
            <w:r w:rsidRPr="000D5771">
              <w:rPr>
                <w:sz w:val="20"/>
                <w:lang w:eastAsia="zh-CN"/>
              </w:rPr>
              <w:noBreakHyphen/>
              <w:t>R M.[AS.GUIDANCE] donnant des lignes directrices, afin d'éviter à terme que des brouillages préjudiciables de ce type soient causés aux récepteurs du SRNS (espace vers Terre). Cette Recommandation pourrait consister à encourager les services d'amateur et d'amateur par satellite à utiliser des sous</w:t>
            </w:r>
            <w:r w:rsidRPr="000D5771">
              <w:rPr>
                <w:sz w:val="20"/>
                <w:lang w:eastAsia="zh-CN"/>
              </w:rPr>
              <w:noBreakHyphen/>
              <w:t>bandes spécifiques, avec des décalages de fréquence suffisants par rapport aux lobes principaux du spectre des signaux du SRNS, un niveau maximal de puissance d'émission et des restrictions concernant la largeur de bande d'émission, pour renforcer la protection des récepteurs du SRNS (espace vers Terre) dans les bandes considérées. Ces lignes directrices visent à aider les administrations et les services d'amateur et d'amateur par satellite à assurer la protection du SNRS (espace vers Terre) dans la bande de fréquences 1 240</w:t>
            </w:r>
            <w:r w:rsidRPr="000D5771">
              <w:rPr>
                <w:sz w:val="20"/>
                <w:lang w:eastAsia="zh-CN"/>
              </w:rPr>
              <w:noBreakHyphen/>
              <w:t>1 300 MHz;</w:t>
            </w:r>
          </w:p>
          <w:p w14:paraId="20445814" w14:textId="77777777" w:rsidR="00145930" w:rsidRPr="000D5771" w:rsidRDefault="00145930" w:rsidP="00363DBC">
            <w:pPr>
              <w:pStyle w:val="enumlev1"/>
              <w:tabs>
                <w:tab w:val="clear" w:pos="1134"/>
                <w:tab w:val="left" w:pos="464"/>
              </w:tabs>
              <w:spacing w:after="40"/>
              <w:ind w:left="464" w:hanging="464"/>
              <w:rPr>
                <w:lang w:eastAsia="zh-CN"/>
              </w:rPr>
            </w:pPr>
            <w:r w:rsidRPr="000D5771">
              <w:rPr>
                <w:sz w:val="20"/>
                <w:lang w:eastAsia="zh-CN"/>
              </w:rPr>
              <w:t>3</w:t>
            </w:r>
            <w:r w:rsidRPr="000D5771">
              <w:rPr>
                <w:sz w:val="20"/>
                <w:lang w:eastAsia="zh-CN"/>
              </w:rPr>
              <w:tab/>
              <w:t xml:space="preserve">de </w:t>
            </w:r>
            <w:r w:rsidRPr="000D5771">
              <w:rPr>
                <w:b/>
                <w:bCs/>
                <w:sz w:val="20"/>
                <w:lang w:eastAsia="zh-CN"/>
              </w:rPr>
              <w:t>poursuivre</w:t>
            </w:r>
            <w:r w:rsidRPr="000D5771">
              <w:rPr>
                <w:sz w:val="20"/>
                <w:lang w:eastAsia="zh-CN"/>
              </w:rPr>
              <w:t xml:space="preserve"> les activités de suivi concernant l'élaboration de l'avant-projet de nouvelle Recommandation UIT-R [AS GUIDANCE] et de l'avant-projet de nouveau Rapport UIT-R M. [AMATEUR.CHARACTERISTICS].</w:t>
            </w:r>
          </w:p>
        </w:tc>
      </w:tr>
    </w:tbl>
    <w:p w14:paraId="39C14BFA" w14:textId="77777777" w:rsidR="00145930" w:rsidRPr="000D5771" w:rsidRDefault="00145930" w:rsidP="00145930">
      <w:r w:rsidRPr="000D5771">
        <w:br w:type="page"/>
      </w:r>
    </w:p>
    <w:p w14:paraId="478C8877" w14:textId="196C2741" w:rsidR="00145930" w:rsidRPr="000D5771" w:rsidRDefault="00145930" w:rsidP="00145930">
      <w:pPr>
        <w:pStyle w:val="Tabletitle"/>
      </w:pPr>
      <w:bookmarkStart w:id="11" w:name="lt_pId234"/>
      <w:r w:rsidRPr="000D5771">
        <w:rPr>
          <w:rFonts w:eastAsia="Calibri"/>
        </w:rPr>
        <w:lastRenderedPageBreak/>
        <w:t>Points de l'ordre du jour traités dans le Chapitre 3:</w:t>
      </w:r>
      <w:bookmarkEnd w:id="11"/>
      <w:r w:rsidRPr="000D5771">
        <w:rPr>
          <w:rFonts w:eastAsia="Calibri"/>
        </w:rPr>
        <w:t xml:space="preserve"> Questions relatives aux services scientifiques</w:t>
      </w:r>
      <w:r w:rsidRPr="000D5771">
        <w:rPr>
          <w:rFonts w:eastAsia="Calibri"/>
        </w:rPr>
        <w:br/>
      </w:r>
      <w:bookmarkStart w:id="12" w:name="lt_pId235"/>
      <w:r w:rsidRPr="000D5771">
        <w:t>(Points 1.12, 1.13, 1.14 et 9.1 de l'ordre du jour, Questions A et D)</w:t>
      </w:r>
      <w:bookmarkEnd w:id="12"/>
    </w:p>
    <w:tbl>
      <w:tblPr>
        <w:tblW w:w="101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2"/>
        <w:gridCol w:w="7174"/>
      </w:tblGrid>
      <w:tr w:rsidR="00145930" w:rsidRPr="000D5771" w14:paraId="23D4FE83" w14:textId="77777777" w:rsidTr="004B4875">
        <w:trPr>
          <w:cantSplit/>
        </w:trPr>
        <w:tc>
          <w:tcPr>
            <w:tcW w:w="2972" w:type="dxa"/>
            <w:tcBorders>
              <w:top w:val="single" w:sz="6" w:space="0" w:color="auto"/>
              <w:left w:val="single" w:sz="4" w:space="0" w:color="auto"/>
              <w:bottom w:val="single" w:sz="6" w:space="0" w:color="auto"/>
            </w:tcBorders>
          </w:tcPr>
          <w:p w14:paraId="755C247B" w14:textId="77777777" w:rsidR="00145930" w:rsidRPr="000D5771" w:rsidRDefault="00145930" w:rsidP="004B4875">
            <w:pPr>
              <w:pStyle w:val="TableHead0"/>
              <w:rPr>
                <w:sz w:val="20"/>
                <w:lang w:val="fr-FR"/>
              </w:rPr>
            </w:pPr>
            <w:r w:rsidRPr="000D5771">
              <w:rPr>
                <w:sz w:val="20"/>
                <w:lang w:val="fr-FR"/>
              </w:rPr>
              <w:t>Ordre du jour</w:t>
            </w:r>
          </w:p>
        </w:tc>
        <w:tc>
          <w:tcPr>
            <w:tcW w:w="7174" w:type="dxa"/>
            <w:tcBorders>
              <w:top w:val="single" w:sz="4" w:space="0" w:color="auto"/>
              <w:bottom w:val="single" w:sz="4" w:space="0" w:color="auto"/>
              <w:right w:val="single" w:sz="4" w:space="0" w:color="auto"/>
            </w:tcBorders>
          </w:tcPr>
          <w:p w14:paraId="6AF0680F" w14:textId="77777777" w:rsidR="00145930" w:rsidRPr="000D5771" w:rsidRDefault="00145930" w:rsidP="004B4875">
            <w:pPr>
              <w:pStyle w:val="TableHead0"/>
              <w:rPr>
                <w:sz w:val="20"/>
                <w:lang w:val="fr-FR"/>
              </w:rPr>
            </w:pPr>
            <w:r w:rsidRPr="000D5771">
              <w:rPr>
                <w:sz w:val="20"/>
                <w:lang w:val="fr-FR"/>
              </w:rPr>
              <w:t>Position/propositions africaines communes (AfCP)</w:t>
            </w:r>
          </w:p>
        </w:tc>
      </w:tr>
      <w:tr w:rsidR="00145930" w:rsidRPr="000D5771" w14:paraId="32FB712F" w14:textId="77777777" w:rsidTr="004B4875">
        <w:trPr>
          <w:cantSplit/>
        </w:trPr>
        <w:tc>
          <w:tcPr>
            <w:tcW w:w="2972" w:type="dxa"/>
            <w:tcBorders>
              <w:top w:val="single" w:sz="6" w:space="0" w:color="auto"/>
              <w:left w:val="single" w:sz="4" w:space="0" w:color="auto"/>
              <w:bottom w:val="single" w:sz="6" w:space="0" w:color="auto"/>
            </w:tcBorders>
          </w:tcPr>
          <w:p w14:paraId="3D34B331" w14:textId="77777777" w:rsidR="00145930" w:rsidRPr="000D5771" w:rsidRDefault="00145930" w:rsidP="004B4875">
            <w:pPr>
              <w:pStyle w:val="TableText0"/>
              <w:spacing w:before="120"/>
              <w:rPr>
                <w:b/>
                <w:sz w:val="20"/>
                <w:szCs w:val="20"/>
                <w:lang w:val="fr-FR"/>
              </w:rPr>
            </w:pPr>
            <w:r w:rsidRPr="000D5771">
              <w:rPr>
                <w:b/>
                <w:sz w:val="20"/>
                <w:szCs w:val="20"/>
                <w:lang w:val="fr-FR"/>
              </w:rPr>
              <w:t>1.12</w:t>
            </w:r>
          </w:p>
          <w:p w14:paraId="29CB4335" w14:textId="77777777" w:rsidR="00145930" w:rsidRPr="000D5771" w:rsidRDefault="00145930" w:rsidP="004B4875">
            <w:pPr>
              <w:pStyle w:val="TableText0"/>
              <w:spacing w:before="120"/>
              <w:rPr>
                <w:b/>
                <w:sz w:val="20"/>
                <w:szCs w:val="20"/>
                <w:lang w:val="fr-FR"/>
              </w:rPr>
            </w:pPr>
            <w:r w:rsidRPr="000D5771">
              <w:rPr>
                <w:bCs/>
                <w:iCs/>
                <w:sz w:val="20"/>
                <w:szCs w:val="20"/>
                <w:lang w:val="fr-FR"/>
              </w:rPr>
              <w:t>Possibilité de faire une nouvelle attribution à titre secondaire au service d'exploration de la Terre par satellite (active) pour les sondeurs radar spatioportés dans la gamme de fréquences au voisinage de 45 MHz, conformément à la Résolution </w:t>
            </w:r>
            <w:r w:rsidRPr="000D5771">
              <w:rPr>
                <w:b/>
                <w:bCs/>
                <w:iCs/>
                <w:sz w:val="20"/>
                <w:szCs w:val="20"/>
                <w:lang w:val="fr-FR"/>
              </w:rPr>
              <w:t>656 (Rév.CMR-19)</w:t>
            </w:r>
          </w:p>
        </w:tc>
        <w:tc>
          <w:tcPr>
            <w:tcW w:w="7174" w:type="dxa"/>
            <w:tcBorders>
              <w:top w:val="single" w:sz="4" w:space="0" w:color="auto"/>
              <w:bottom w:val="single" w:sz="6" w:space="0" w:color="auto"/>
              <w:right w:val="single" w:sz="4" w:space="0" w:color="auto"/>
            </w:tcBorders>
          </w:tcPr>
          <w:p w14:paraId="75DE0B03"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62596C39" w14:textId="77777777" w:rsidR="00145930" w:rsidRPr="000D5771" w:rsidRDefault="00145930" w:rsidP="004B4875">
            <w:pPr>
              <w:pStyle w:val="enumlev1"/>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Appuyer la Méthode D</w:t>
            </w:r>
            <w:r w:rsidRPr="000D5771">
              <w:rPr>
                <w:sz w:val="20"/>
              </w:rPr>
              <w:t xml:space="preserve"> (pas de modification), étant donné qu'aucune limite de </w:t>
            </w:r>
            <w:r w:rsidRPr="000D5771">
              <w:rPr>
                <w:b/>
                <w:bCs/>
                <w:sz w:val="20"/>
              </w:rPr>
              <w:t>puissance surfacique</w:t>
            </w:r>
            <w:r w:rsidRPr="000D5771">
              <w:rPr>
                <w:sz w:val="20"/>
              </w:rPr>
              <w:t xml:space="preserve"> suffisante n'a encore été établie pour assurer la protection de tous les services existants contre les brouillages.</w:t>
            </w:r>
          </w:p>
          <w:p w14:paraId="1B99A38C"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Noter</w:t>
            </w:r>
            <w:r w:rsidRPr="000D5771">
              <w:rPr>
                <w:sz w:val="20"/>
              </w:rPr>
              <w:t xml:space="preserve"> que l'Administration de la Tunisie adopte une méthode différente de celle retenue dans la proposition africaine commune pour traiter le point 1.12 de l'ordre du jour, sans pour autant s'y déclarer opposée.</w:t>
            </w:r>
          </w:p>
          <w:p w14:paraId="7023E75B" w14:textId="77777777" w:rsidR="00145930" w:rsidRPr="000D5771" w:rsidRDefault="00145930" w:rsidP="004B4875">
            <w:pPr>
              <w:pStyle w:val="TableText0"/>
              <w:spacing w:before="120" w:after="120"/>
              <w:rPr>
                <w:i/>
                <w:iCs/>
                <w:sz w:val="20"/>
                <w:szCs w:val="20"/>
                <w:u w:val="single"/>
                <w:lang w:val="fr-FR"/>
              </w:rPr>
            </w:pPr>
            <w:r w:rsidRPr="000D5771">
              <w:rPr>
                <w:i/>
                <w:iCs/>
                <w:sz w:val="20"/>
                <w:szCs w:val="20"/>
                <w:u w:val="single"/>
                <w:lang w:val="fr-FR"/>
              </w:rPr>
              <w:t>Partie 2: Marche à suivre</w:t>
            </w:r>
          </w:p>
          <w:p w14:paraId="2C6F826C" w14:textId="77777777" w:rsidR="00145930" w:rsidRPr="000D5771" w:rsidRDefault="00145930" w:rsidP="004B4875">
            <w:pPr>
              <w:pStyle w:val="TableText0"/>
              <w:spacing w:before="120"/>
              <w:rPr>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4CEB4685"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1</w:t>
            </w:r>
            <w:r w:rsidRPr="000D5771">
              <w:rPr>
                <w:sz w:val="20"/>
              </w:rPr>
              <w:tab/>
              <w:t>d'</w:t>
            </w:r>
            <w:r w:rsidRPr="000D5771">
              <w:rPr>
                <w:b/>
                <w:bCs/>
                <w:sz w:val="20"/>
              </w:rPr>
              <w:t>inviter</w:t>
            </w:r>
            <w:r w:rsidRPr="000D5771">
              <w:rPr>
                <w:sz w:val="20"/>
              </w:rPr>
              <w:t xml:space="preserve"> le secteur privé à effectuer des essais et à fournir des paramètres réels dans le domaine de la recherche spatiale;</w:t>
            </w:r>
          </w:p>
          <w:p w14:paraId="78FD3B9F"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2</w:t>
            </w:r>
            <w:r w:rsidRPr="000D5771">
              <w:rPr>
                <w:sz w:val="20"/>
              </w:rPr>
              <w:tab/>
              <w:t xml:space="preserve">de </w:t>
            </w:r>
            <w:r w:rsidRPr="000D5771">
              <w:rPr>
                <w:b/>
                <w:bCs/>
                <w:sz w:val="20"/>
              </w:rPr>
              <w:t>continuer</w:t>
            </w:r>
            <w:r w:rsidRPr="000D5771">
              <w:rPr>
                <w:sz w:val="20"/>
              </w:rPr>
              <w:t xml:space="preserve"> de participer à d'autres discussions au titre de ce point de l'ordre du jour;</w:t>
            </w:r>
          </w:p>
          <w:p w14:paraId="25E544C4"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3</w:t>
            </w:r>
            <w:r w:rsidRPr="000D5771">
              <w:rPr>
                <w:sz w:val="20"/>
              </w:rPr>
              <w:tab/>
              <w:t xml:space="preserve">de </w:t>
            </w:r>
            <w:r w:rsidRPr="000D5771">
              <w:rPr>
                <w:b/>
                <w:bCs/>
                <w:sz w:val="20"/>
              </w:rPr>
              <w:t>suivre</w:t>
            </w:r>
            <w:r w:rsidRPr="000D5771">
              <w:rPr>
                <w:sz w:val="20"/>
              </w:rPr>
              <w:t xml:space="preserve"> les faits nouveaux concernant ce point de l'ordre du jour, en considérant la Méthode A2, Option 2, comme un compromis favorable, en ce sens:</w:t>
            </w:r>
          </w:p>
          <w:p w14:paraId="678BCC5F"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a)</w:t>
            </w:r>
            <w:r w:rsidRPr="000D5771">
              <w:rPr>
                <w:sz w:val="20"/>
              </w:rPr>
              <w:tab/>
              <w:t xml:space="preserve">qu'elle permet de déterminer plus facilement une limite de </w:t>
            </w:r>
            <w:r w:rsidRPr="000D5771">
              <w:rPr>
                <w:b/>
                <w:bCs/>
                <w:sz w:val="20"/>
              </w:rPr>
              <w:t>puissance surfacique</w:t>
            </w:r>
            <w:r w:rsidRPr="000D5771">
              <w:rPr>
                <w:sz w:val="20"/>
              </w:rPr>
              <w:t xml:space="preserve"> appropriée pour éviter que des brouillages préjudiciables soient causés au service existant considéré. Il est important de calculer la puissance surfacique permettant de protéger tous les services existants de façon satisfaisante;</w:t>
            </w:r>
          </w:p>
          <w:p w14:paraId="792C490D" w14:textId="77777777" w:rsidR="00145930" w:rsidRPr="000D5771" w:rsidRDefault="00145930" w:rsidP="004B4875">
            <w:pPr>
              <w:pStyle w:val="enumlev2"/>
              <w:tabs>
                <w:tab w:val="clear" w:pos="1134"/>
                <w:tab w:val="clear" w:pos="1871"/>
                <w:tab w:val="left" w:pos="886"/>
              </w:tabs>
              <w:spacing w:before="40"/>
              <w:ind w:left="886" w:hanging="425"/>
            </w:pPr>
            <w:r w:rsidRPr="000D5771">
              <w:rPr>
                <w:sz w:val="20"/>
              </w:rPr>
              <w:t>b)</w:t>
            </w:r>
            <w:r w:rsidRPr="000D5771">
              <w:rPr>
                <w:sz w:val="20"/>
              </w:rPr>
              <w:tab/>
              <w:t>aucun accord n'a été trouvé en ce qui concerne la durée de l'exposition au brouillage causé par les sondeurs radar aux services brouillés.</w:t>
            </w:r>
          </w:p>
        </w:tc>
      </w:tr>
      <w:tr w:rsidR="00145930" w:rsidRPr="000D5771" w14:paraId="3D229E69" w14:textId="77777777" w:rsidTr="004B4875">
        <w:trPr>
          <w:cantSplit/>
        </w:trPr>
        <w:tc>
          <w:tcPr>
            <w:tcW w:w="2972" w:type="dxa"/>
            <w:tcBorders>
              <w:top w:val="single" w:sz="6" w:space="0" w:color="auto"/>
              <w:left w:val="single" w:sz="4" w:space="0" w:color="auto"/>
              <w:bottom w:val="single" w:sz="6" w:space="0" w:color="auto"/>
              <w:right w:val="single" w:sz="4" w:space="0" w:color="auto"/>
            </w:tcBorders>
          </w:tcPr>
          <w:p w14:paraId="7331DC7B" w14:textId="77777777" w:rsidR="00145930" w:rsidRPr="000D5771" w:rsidRDefault="00145930" w:rsidP="004B4875">
            <w:pPr>
              <w:pStyle w:val="TableText0"/>
              <w:spacing w:before="120"/>
              <w:rPr>
                <w:b/>
                <w:sz w:val="20"/>
                <w:szCs w:val="20"/>
                <w:lang w:val="fr-FR"/>
              </w:rPr>
            </w:pPr>
            <w:r w:rsidRPr="000D5771">
              <w:rPr>
                <w:b/>
                <w:sz w:val="20"/>
                <w:szCs w:val="20"/>
                <w:lang w:val="fr-FR"/>
              </w:rPr>
              <w:t>1.13</w:t>
            </w:r>
          </w:p>
          <w:p w14:paraId="5AE454AA" w14:textId="77777777" w:rsidR="00145930" w:rsidRPr="000D5771" w:rsidRDefault="00145930" w:rsidP="004B4875">
            <w:pPr>
              <w:pStyle w:val="TableText0"/>
              <w:spacing w:before="120"/>
              <w:rPr>
                <w:b/>
                <w:sz w:val="20"/>
                <w:szCs w:val="20"/>
                <w:lang w:val="fr-FR"/>
              </w:rPr>
            </w:pPr>
            <w:r w:rsidRPr="000D5771">
              <w:rPr>
                <w:bCs/>
                <w:iCs/>
                <w:sz w:val="20"/>
                <w:szCs w:val="20"/>
                <w:lang w:val="fr-FR"/>
              </w:rPr>
              <w:t>Possibilité de relever le statut de l'attribution de la bande de fréquences 14,8</w:t>
            </w:r>
            <w:r w:rsidRPr="000D5771">
              <w:rPr>
                <w:bCs/>
                <w:iCs/>
                <w:sz w:val="20"/>
                <w:szCs w:val="20"/>
                <w:lang w:val="fr-FR"/>
              </w:rPr>
              <w:noBreakHyphen/>
              <w:t>15,35 GHz au service de recherche spatiale, conformément à la Résolution </w:t>
            </w:r>
            <w:r w:rsidRPr="000D5771">
              <w:rPr>
                <w:b/>
                <w:bCs/>
                <w:iCs/>
                <w:sz w:val="20"/>
                <w:szCs w:val="20"/>
                <w:lang w:val="fr-FR"/>
              </w:rPr>
              <w:t>661 (CMR</w:t>
            </w:r>
            <w:r w:rsidRPr="000D5771">
              <w:rPr>
                <w:b/>
                <w:bCs/>
                <w:iCs/>
                <w:sz w:val="20"/>
                <w:szCs w:val="20"/>
                <w:lang w:val="fr-FR"/>
              </w:rPr>
              <w:noBreakHyphen/>
              <w:t>19)</w:t>
            </w:r>
          </w:p>
        </w:tc>
        <w:tc>
          <w:tcPr>
            <w:tcW w:w="7174" w:type="dxa"/>
            <w:tcBorders>
              <w:top w:val="single" w:sz="6" w:space="0" w:color="auto"/>
              <w:left w:val="single" w:sz="4" w:space="0" w:color="auto"/>
              <w:bottom w:val="single" w:sz="6" w:space="0" w:color="auto"/>
              <w:right w:val="single" w:sz="4" w:space="0" w:color="auto"/>
            </w:tcBorders>
          </w:tcPr>
          <w:p w14:paraId="0490F2E0"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47C22B2E" w14:textId="77777777" w:rsidR="00145930" w:rsidRPr="000D5771" w:rsidRDefault="00145930" w:rsidP="004B4875">
            <w:pPr>
              <w:pStyle w:val="enumlev1"/>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Appuyer le fait de n'apporter</w:t>
            </w:r>
            <w:r w:rsidRPr="000D5771" w:rsidDel="00F1795B">
              <w:rPr>
                <w:b/>
                <w:bCs/>
                <w:sz w:val="20"/>
              </w:rPr>
              <w:t xml:space="preserve"> </w:t>
            </w:r>
            <w:r w:rsidRPr="000D5771">
              <w:rPr>
                <w:b/>
                <w:bCs/>
                <w:sz w:val="20"/>
              </w:rPr>
              <w:t>aucune modification au Règlement des radiocommunications</w:t>
            </w:r>
            <w:r w:rsidRPr="000D5771">
              <w:rPr>
                <w:sz w:val="20"/>
              </w:rPr>
              <w:t>. Si les méthodes proposées ne permettent pas d'éviter que des brouillages préjudiciables soient causés aux services existants et aux systèmes des services primaires dans la bande de fréquences 14,8-15,35 GHz, il serait alors judicieux de ne pas apporter de modifications au Règlement des radiocommunications.</w:t>
            </w:r>
          </w:p>
          <w:p w14:paraId="7EFF5933"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Noter</w:t>
            </w:r>
            <w:r w:rsidRPr="000D5771">
              <w:rPr>
                <w:sz w:val="20"/>
              </w:rPr>
              <w:t xml:space="preserve"> que l'Administration de la Tunisie adopte une méthode différente de celle retenue dans la proposition africaine commune pour traiter le point 1.13 de l'ordre du jour, sans pour autant s'y déclarer opposée.</w:t>
            </w:r>
          </w:p>
          <w:p w14:paraId="250E0366"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25A51BED"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4A2D0B98" w14:textId="77777777" w:rsidR="00145930" w:rsidRPr="000D5771" w:rsidRDefault="00145930" w:rsidP="004B4875">
            <w:pPr>
              <w:pStyle w:val="TableText0"/>
              <w:rPr>
                <w:sz w:val="20"/>
                <w:szCs w:val="20"/>
                <w:lang w:val="fr-FR"/>
              </w:rPr>
            </w:pPr>
            <w:r w:rsidRPr="000D5771">
              <w:rPr>
                <w:sz w:val="20"/>
                <w:szCs w:val="20"/>
                <w:lang w:val="fr-FR"/>
              </w:rPr>
              <w:t xml:space="preserve">de </w:t>
            </w:r>
            <w:r w:rsidRPr="000D5771">
              <w:rPr>
                <w:b/>
                <w:bCs/>
                <w:sz w:val="20"/>
                <w:szCs w:val="20"/>
                <w:lang w:val="fr-FR"/>
              </w:rPr>
              <w:t>continuer</w:t>
            </w:r>
            <w:r w:rsidRPr="000D5771">
              <w:rPr>
                <w:sz w:val="20"/>
                <w:szCs w:val="20"/>
                <w:lang w:val="fr-FR"/>
              </w:rPr>
              <w:t xml:space="preserve"> de participer aux études de l'UIT-R menées au titre de ce point de l'ordre du jour d'ici à la CMR-23 et d'envisager le relèvement éventuel du statut du service de recherche spatiale dans la bande de fréquences 14,8-15,35 GHz, tout en assurant la protection des services primaires dans cette bande de fréquences, en vue d'appuyer éventuellement la </w:t>
            </w:r>
            <w:r w:rsidRPr="000D5771">
              <w:rPr>
                <w:b/>
                <w:bCs/>
                <w:sz w:val="20"/>
                <w:szCs w:val="20"/>
                <w:lang w:val="fr-FR"/>
              </w:rPr>
              <w:t>Méthode E1</w:t>
            </w:r>
            <w:r w:rsidRPr="000D5771">
              <w:rPr>
                <w:sz w:val="20"/>
                <w:szCs w:val="20"/>
                <w:lang w:val="fr-FR"/>
              </w:rPr>
              <w:t xml:space="preserve"> ou la </w:t>
            </w:r>
            <w:r w:rsidRPr="000D5771">
              <w:rPr>
                <w:b/>
                <w:bCs/>
                <w:sz w:val="20"/>
                <w:szCs w:val="20"/>
                <w:lang w:val="fr-FR"/>
              </w:rPr>
              <w:t>Méthode E2</w:t>
            </w:r>
            <w:r w:rsidRPr="000D5771">
              <w:rPr>
                <w:sz w:val="20"/>
                <w:szCs w:val="20"/>
                <w:lang w:val="fr-FR"/>
              </w:rPr>
              <w:t>, étant entendu que les exigences relatives à la protection des services fixe et mobile ainsi que du service de radioastronomie soient satisfaites.</w:t>
            </w:r>
          </w:p>
        </w:tc>
      </w:tr>
      <w:tr w:rsidR="00145930" w:rsidRPr="000D5771" w14:paraId="3B399C26" w14:textId="77777777" w:rsidTr="004B4875">
        <w:trPr>
          <w:cantSplit/>
        </w:trPr>
        <w:tc>
          <w:tcPr>
            <w:tcW w:w="2972" w:type="dxa"/>
            <w:tcBorders>
              <w:top w:val="single" w:sz="6" w:space="0" w:color="auto"/>
              <w:left w:val="single" w:sz="4" w:space="0" w:color="auto"/>
              <w:bottom w:val="single" w:sz="6" w:space="0" w:color="auto"/>
              <w:right w:val="single" w:sz="4" w:space="0" w:color="auto"/>
            </w:tcBorders>
          </w:tcPr>
          <w:p w14:paraId="7423F3F7"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1.14</w:t>
            </w:r>
          </w:p>
          <w:p w14:paraId="2253320F" w14:textId="77777777" w:rsidR="00145930" w:rsidRPr="000D5771" w:rsidRDefault="00145930" w:rsidP="004B4875">
            <w:pPr>
              <w:pStyle w:val="TableText0"/>
              <w:spacing w:before="120"/>
              <w:rPr>
                <w:b/>
                <w:sz w:val="20"/>
                <w:szCs w:val="20"/>
                <w:lang w:val="fr-FR"/>
              </w:rPr>
            </w:pPr>
            <w:r w:rsidRPr="000D5771">
              <w:rPr>
                <w:sz w:val="20"/>
                <w:szCs w:val="20"/>
                <w:lang w:val="fr-FR"/>
              </w:rPr>
              <w:t>Possibilité d'apporter des ajustements aux attributions de fréquences existantes ou de faire de nouvelles attributions de fréquences à titre primaire au service d'exploration de la Terre par satellite (passive) dans la gamme de fréquences 231,5</w:t>
            </w:r>
            <w:r w:rsidRPr="000D5771">
              <w:rPr>
                <w:sz w:val="20"/>
                <w:szCs w:val="20"/>
                <w:lang w:val="fr-FR"/>
              </w:rPr>
              <w:noBreakHyphen/>
              <w:t>252 GHz, pour s'assurer qu'elles correspondent aux besoins récents en matière d'observation des systèmes de télédétection, conformément à la Résolution </w:t>
            </w:r>
            <w:r w:rsidRPr="000D5771">
              <w:rPr>
                <w:b/>
                <w:sz w:val="20"/>
                <w:szCs w:val="20"/>
                <w:lang w:val="fr-FR"/>
              </w:rPr>
              <w:t>662 (CMR-19)</w:t>
            </w:r>
          </w:p>
        </w:tc>
        <w:tc>
          <w:tcPr>
            <w:tcW w:w="7174" w:type="dxa"/>
            <w:tcBorders>
              <w:top w:val="single" w:sz="4" w:space="0" w:color="auto"/>
              <w:left w:val="single" w:sz="4" w:space="0" w:color="auto"/>
              <w:bottom w:val="single" w:sz="6" w:space="0" w:color="auto"/>
              <w:right w:val="single" w:sz="4" w:space="0" w:color="auto"/>
            </w:tcBorders>
          </w:tcPr>
          <w:p w14:paraId="6CB42F81"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578F61B2" w14:textId="77777777" w:rsidR="00145930" w:rsidRPr="000D5771" w:rsidRDefault="00145930" w:rsidP="004B4875">
            <w:pPr>
              <w:pStyle w:val="TableText0"/>
              <w:spacing w:before="120"/>
              <w:rPr>
                <w:sz w:val="20"/>
                <w:szCs w:val="20"/>
                <w:lang w:val="fr-FR"/>
              </w:rPr>
            </w:pPr>
            <w:r w:rsidRPr="000D5771">
              <w:rPr>
                <w:b/>
                <w:bCs/>
                <w:sz w:val="20"/>
                <w:szCs w:val="20"/>
                <w:lang w:val="fr-FR"/>
              </w:rPr>
              <w:t>Appuyer la Méthode B, Option 3</w:t>
            </w:r>
            <w:r w:rsidRPr="000D5771">
              <w:rPr>
                <w:sz w:val="20"/>
                <w:szCs w:val="20"/>
                <w:lang w:val="fr-FR"/>
              </w:rPr>
              <w:t xml:space="preserve"> (qui prévoit notamment la suppression de la Résolution </w:t>
            </w:r>
            <w:r w:rsidRPr="000D5771">
              <w:rPr>
                <w:b/>
                <w:bCs/>
                <w:sz w:val="20"/>
                <w:szCs w:val="20"/>
                <w:lang w:val="fr-FR"/>
              </w:rPr>
              <w:t>662</w:t>
            </w:r>
            <w:r w:rsidRPr="000D5771">
              <w:rPr>
                <w:sz w:val="20"/>
                <w:szCs w:val="20"/>
                <w:lang w:val="fr-FR"/>
              </w:rPr>
              <w:t>).</w:t>
            </w:r>
          </w:p>
          <w:p w14:paraId="32A3D0FE" w14:textId="77777777" w:rsidR="00145930" w:rsidRPr="000D5771" w:rsidRDefault="00145930" w:rsidP="004B4875">
            <w:pPr>
              <w:pStyle w:val="Reasons"/>
              <w:rPr>
                <w:b/>
                <w:bCs/>
                <w:sz w:val="20"/>
              </w:rPr>
            </w:pPr>
            <w:r w:rsidRPr="000D5771">
              <w:rPr>
                <w:b/>
                <w:bCs/>
                <w:sz w:val="20"/>
              </w:rPr>
              <w:t>Motifs:</w:t>
            </w:r>
          </w:p>
          <w:p w14:paraId="51956641" w14:textId="77777777" w:rsidR="00145930" w:rsidRPr="000D5771" w:rsidRDefault="00145930" w:rsidP="004B4875">
            <w:pPr>
              <w:pStyle w:val="Reasons"/>
              <w:tabs>
                <w:tab w:val="clear" w:pos="1134"/>
                <w:tab w:val="left" w:pos="461"/>
              </w:tabs>
              <w:spacing w:before="40"/>
              <w:rPr>
                <w:sz w:val="20"/>
              </w:rPr>
            </w:pPr>
            <w:r w:rsidRPr="000D5771">
              <w:rPr>
                <w:sz w:val="20"/>
              </w:rPr>
              <w:t>1</w:t>
            </w:r>
            <w:r w:rsidRPr="000D5771">
              <w:rPr>
                <w:sz w:val="20"/>
              </w:rPr>
              <w:tab/>
              <w:t>Cette Méthode traite de la partie «</w:t>
            </w:r>
            <w:r w:rsidRPr="000D5771">
              <w:rPr>
                <w:i/>
                <w:iCs/>
                <w:sz w:val="20"/>
              </w:rPr>
              <w:t>invite</w:t>
            </w:r>
            <w:r w:rsidRPr="000D5771">
              <w:rPr>
                <w:sz w:val="20"/>
              </w:rPr>
              <w:t>»</w:t>
            </w:r>
            <w:r w:rsidRPr="000D5771">
              <w:rPr>
                <w:i/>
                <w:iCs/>
                <w:sz w:val="20"/>
              </w:rPr>
              <w:t xml:space="preserve"> </w:t>
            </w:r>
            <w:r w:rsidRPr="000D5771">
              <w:rPr>
                <w:sz w:val="20"/>
              </w:rPr>
              <w:t xml:space="preserve">de la </w:t>
            </w:r>
            <w:r w:rsidRPr="000D5771">
              <w:rPr>
                <w:b/>
                <w:bCs/>
                <w:sz w:val="20"/>
              </w:rPr>
              <w:t>Résolution 662</w:t>
            </w:r>
            <w:r w:rsidRPr="000D5771">
              <w:rPr>
                <w:sz w:val="20"/>
              </w:rPr>
              <w:t>.</w:t>
            </w:r>
          </w:p>
          <w:p w14:paraId="6B80BE7A" w14:textId="77777777" w:rsidR="00145930" w:rsidRPr="000D5771" w:rsidRDefault="00145930" w:rsidP="004B4875">
            <w:pPr>
              <w:pStyle w:val="Reasons"/>
              <w:tabs>
                <w:tab w:val="clear" w:pos="1134"/>
                <w:tab w:val="left" w:pos="461"/>
              </w:tabs>
              <w:spacing w:before="40"/>
              <w:rPr>
                <w:sz w:val="20"/>
              </w:rPr>
            </w:pPr>
            <w:r w:rsidRPr="000D5771">
              <w:rPr>
                <w:sz w:val="20"/>
              </w:rPr>
              <w:t>2</w:t>
            </w:r>
            <w:r w:rsidRPr="000D5771">
              <w:rPr>
                <w:sz w:val="20"/>
              </w:rPr>
              <w:tab/>
              <w:t>L'ajustement permettra de disposer d'un bloc contigu dans la gamme de fréquences 231,5-239,2 GHz (pour les services fixe et mobile) après regroupement des gammes de fréquences 231,5-235 GHz et 238-241 GHz.</w:t>
            </w:r>
          </w:p>
          <w:p w14:paraId="4518399E" w14:textId="77777777" w:rsidR="00145930" w:rsidRPr="000D5771" w:rsidRDefault="00145930" w:rsidP="004B4875">
            <w:pPr>
              <w:pStyle w:val="Reasons"/>
              <w:tabs>
                <w:tab w:val="clear" w:pos="1134"/>
                <w:tab w:val="left" w:pos="461"/>
              </w:tabs>
              <w:spacing w:before="40"/>
            </w:pPr>
            <w:r w:rsidRPr="000D5771">
              <w:rPr>
                <w:sz w:val="20"/>
              </w:rPr>
              <w:t>3</w:t>
            </w:r>
            <w:r w:rsidRPr="000D5771">
              <w:rPr>
                <w:sz w:val="20"/>
              </w:rPr>
              <w:tab/>
              <w:t>La Méthode assure la protection des services existants.</w:t>
            </w:r>
          </w:p>
          <w:p w14:paraId="4D67406F"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0D1FBA98"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15460BA6" w14:textId="77777777" w:rsidR="00145930" w:rsidRPr="000D5771" w:rsidRDefault="00145930" w:rsidP="004B4875">
            <w:pPr>
              <w:pStyle w:val="TableText0"/>
              <w:rPr>
                <w:sz w:val="20"/>
                <w:szCs w:val="20"/>
                <w:lang w:val="fr-FR"/>
              </w:rPr>
            </w:pPr>
            <w:r w:rsidRPr="000D5771">
              <w:rPr>
                <w:sz w:val="20"/>
                <w:szCs w:val="20"/>
                <w:lang w:val="fr-FR"/>
              </w:rPr>
              <w:t>d'</w:t>
            </w:r>
            <w:r w:rsidRPr="000D5771">
              <w:rPr>
                <w:b/>
                <w:bCs/>
                <w:sz w:val="20"/>
                <w:szCs w:val="20"/>
                <w:lang w:val="fr-FR"/>
              </w:rPr>
              <w:t>appuyer</w:t>
            </w:r>
            <w:r w:rsidRPr="000D5771">
              <w:rPr>
                <w:sz w:val="20"/>
                <w:szCs w:val="20"/>
                <w:lang w:val="fr-FR"/>
              </w:rPr>
              <w:t xml:space="preserve"> la proposition africaine commune relative à ce point de l'ordre du jour (Méthode B, Option 3).</w:t>
            </w:r>
          </w:p>
        </w:tc>
      </w:tr>
      <w:tr w:rsidR="00145930" w:rsidRPr="000D5771" w14:paraId="7EAD3686" w14:textId="77777777" w:rsidTr="004B4875">
        <w:trPr>
          <w:cantSplit/>
        </w:trPr>
        <w:tc>
          <w:tcPr>
            <w:tcW w:w="2972" w:type="dxa"/>
            <w:tcBorders>
              <w:top w:val="single" w:sz="6" w:space="0" w:color="auto"/>
              <w:left w:val="single" w:sz="4" w:space="0" w:color="auto"/>
              <w:bottom w:val="single" w:sz="6" w:space="0" w:color="auto"/>
            </w:tcBorders>
          </w:tcPr>
          <w:p w14:paraId="2C28242A" w14:textId="77777777" w:rsidR="00145930" w:rsidRPr="000D5771" w:rsidRDefault="00145930" w:rsidP="004B4875">
            <w:pPr>
              <w:pStyle w:val="TableText0"/>
              <w:spacing w:before="120"/>
              <w:rPr>
                <w:b/>
                <w:sz w:val="20"/>
                <w:szCs w:val="20"/>
                <w:lang w:val="fr-FR"/>
              </w:rPr>
            </w:pPr>
            <w:r w:rsidRPr="000D5771">
              <w:rPr>
                <w:b/>
                <w:sz w:val="20"/>
                <w:szCs w:val="20"/>
                <w:lang w:val="fr-FR"/>
              </w:rPr>
              <w:t>9.1, Question A</w:t>
            </w:r>
          </w:p>
          <w:p w14:paraId="1B00283E" w14:textId="77777777" w:rsidR="00145930" w:rsidRPr="000D5771" w:rsidRDefault="00145930" w:rsidP="004B4875">
            <w:pPr>
              <w:pStyle w:val="TableText0"/>
              <w:spacing w:before="120"/>
              <w:rPr>
                <w:b/>
                <w:sz w:val="20"/>
                <w:szCs w:val="20"/>
                <w:lang w:val="fr-FR"/>
              </w:rPr>
            </w:pPr>
            <w:r w:rsidRPr="000D5771">
              <w:rPr>
                <w:sz w:val="20"/>
                <w:szCs w:val="20"/>
                <w:lang w:val="fr-FR"/>
              </w:rPr>
              <w:t>Conformément à la Résolution </w:t>
            </w:r>
            <w:r w:rsidRPr="000D5771">
              <w:rPr>
                <w:b/>
                <w:bCs/>
                <w:sz w:val="20"/>
                <w:szCs w:val="20"/>
                <w:lang w:val="fr-FR"/>
              </w:rPr>
              <w:t>657 (Rév.CMR-19)</w:t>
            </w:r>
            <w:r w:rsidRPr="000D5771">
              <w:rPr>
                <w:sz w:val="20"/>
                <w:szCs w:val="20"/>
                <w:lang w:val="fr-FR"/>
              </w:rPr>
              <w:t>, examiner les résultats des études relatives aux caractéristiques techniques et opérationnelles et aux besoins de spectre des capteurs de météorologie spatiale, ainsi qu'aux désignations de service de radiocommunication qui conviennent pour ces capteurs</w:t>
            </w:r>
          </w:p>
        </w:tc>
        <w:tc>
          <w:tcPr>
            <w:tcW w:w="7174" w:type="dxa"/>
            <w:tcBorders>
              <w:top w:val="single" w:sz="6" w:space="0" w:color="auto"/>
              <w:bottom w:val="single" w:sz="4" w:space="0" w:color="auto"/>
              <w:right w:val="single" w:sz="4" w:space="0" w:color="auto"/>
            </w:tcBorders>
          </w:tcPr>
          <w:p w14:paraId="701482D9"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5DECC51A" w14:textId="77777777" w:rsidR="00145930" w:rsidRPr="000D5771" w:rsidRDefault="00145930" w:rsidP="004B4875">
            <w:pPr>
              <w:pStyle w:val="enumlev1"/>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Appuyer</w:t>
            </w:r>
            <w:r w:rsidRPr="000D5771">
              <w:rPr>
                <w:sz w:val="20"/>
              </w:rPr>
              <w:t xml:space="preserve"> la reconnaissance et la protection des capteurs de météorologie spatiale, moyennant la modification des Articles 1 et 4 du RR, comme souligné aux points </w:t>
            </w:r>
            <w:r w:rsidRPr="000D5771">
              <w:rPr>
                <w:rFonts w:eastAsia="Calibri"/>
                <w:b/>
                <w:color w:val="000000"/>
                <w:sz w:val="20"/>
              </w:rPr>
              <w:t>1.XXX</w:t>
            </w:r>
            <w:r w:rsidRPr="000D5771">
              <w:rPr>
                <w:rFonts w:eastAsia="Calibri"/>
                <w:color w:val="000000"/>
                <w:sz w:val="20"/>
              </w:rPr>
              <w:t xml:space="preserve"> et </w:t>
            </w:r>
            <w:r w:rsidRPr="000D5771">
              <w:rPr>
                <w:rFonts w:eastAsia="Calibri"/>
                <w:b/>
                <w:color w:val="000000"/>
                <w:sz w:val="20"/>
              </w:rPr>
              <w:t>4.XXX</w:t>
            </w:r>
            <w:r w:rsidRPr="000D5771">
              <w:rPr>
                <w:rFonts w:eastAsia="Calibri"/>
                <w:color w:val="000000"/>
                <w:sz w:val="20"/>
              </w:rPr>
              <w:t xml:space="preserve"> </w:t>
            </w:r>
            <w:r w:rsidRPr="000D5771">
              <w:rPr>
                <w:sz w:val="20"/>
              </w:rPr>
              <w:t>ci-dessus.</w:t>
            </w:r>
          </w:p>
          <w:p w14:paraId="5F526377"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Appuyer</w:t>
            </w:r>
            <w:r w:rsidRPr="000D5771">
              <w:rPr>
                <w:sz w:val="20"/>
              </w:rPr>
              <w:t xml:space="preserve"> le projet de nouvelle Résolution de la CMR intitulée «</w:t>
            </w:r>
            <w:r w:rsidRPr="000D5771">
              <w:rPr>
                <w:b/>
                <w:bCs/>
                <w:sz w:val="20"/>
              </w:rPr>
              <w:t>Importance des applications du service des auxiliaires de la météorologie MetAids (météorologie spatiale)</w:t>
            </w:r>
            <w:r w:rsidRPr="000D5771">
              <w:rPr>
                <w:sz w:val="20"/>
              </w:rPr>
              <w:t>», pour faciliter les études visant à définir les caractéristiques techniques et opérationnelles ainsi qu'à identifier les besoins de spectre pour permettre à la CMR-27 de prendre des décisions sur ce sujet important pour les capteurs de météorologie spatiale (SWS);</w:t>
            </w:r>
          </w:p>
          <w:p w14:paraId="76BEB115" w14:textId="77777777" w:rsidR="00145930" w:rsidRPr="000D5771" w:rsidRDefault="00145930" w:rsidP="004B4875">
            <w:pPr>
              <w:pStyle w:val="enumlev1"/>
              <w:tabs>
                <w:tab w:val="clear" w:pos="1134"/>
                <w:tab w:val="left" w:pos="461"/>
              </w:tabs>
              <w:spacing w:before="40"/>
              <w:ind w:left="461" w:hanging="461"/>
              <w:rPr>
                <w:i/>
                <w:iCs/>
                <w:sz w:val="20"/>
                <w:u w:val="single"/>
              </w:rPr>
            </w:pPr>
            <w:r w:rsidRPr="000D5771">
              <w:rPr>
                <w:sz w:val="20"/>
              </w:rPr>
              <w:t>3</w:t>
            </w:r>
            <w:r w:rsidRPr="000D5771">
              <w:rPr>
                <w:sz w:val="20"/>
              </w:rPr>
              <w:tab/>
            </w:r>
            <w:r w:rsidRPr="000D5771">
              <w:rPr>
                <w:b/>
                <w:bCs/>
                <w:sz w:val="20"/>
              </w:rPr>
              <w:t>Appuyer</w:t>
            </w:r>
            <w:r w:rsidRPr="000D5771">
              <w:rPr>
                <w:sz w:val="20"/>
              </w:rPr>
              <w:t xml:space="preserve"> la suppression en conséquence de la Résolution </w:t>
            </w:r>
            <w:r w:rsidRPr="000D5771">
              <w:rPr>
                <w:rFonts w:eastAsia="Calibri"/>
                <w:b/>
                <w:color w:val="000000"/>
                <w:sz w:val="20"/>
              </w:rPr>
              <w:t>657 (Rév.CMR-19) à la CMR-23</w:t>
            </w:r>
            <w:r w:rsidRPr="000D5771">
              <w:rPr>
                <w:sz w:val="20"/>
              </w:rPr>
              <w:t>.</w:t>
            </w:r>
          </w:p>
          <w:p w14:paraId="0C9C5F34"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65FD0902"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aux administrations des pays membres de l'UAT:</w:t>
            </w:r>
          </w:p>
          <w:p w14:paraId="374F77A1" w14:textId="77777777" w:rsidR="00145930" w:rsidRPr="000D5771" w:rsidRDefault="00145930" w:rsidP="004B4875">
            <w:pPr>
              <w:pStyle w:val="TableText0"/>
              <w:rPr>
                <w:sz w:val="20"/>
                <w:szCs w:val="20"/>
                <w:lang w:val="fr-FR"/>
              </w:rPr>
            </w:pPr>
            <w:r w:rsidRPr="000D5771">
              <w:rPr>
                <w:sz w:val="20"/>
                <w:szCs w:val="20"/>
                <w:lang w:val="fr-FR"/>
              </w:rPr>
              <w:t>d'</w:t>
            </w:r>
            <w:r w:rsidRPr="000D5771">
              <w:rPr>
                <w:b/>
                <w:bCs/>
                <w:sz w:val="20"/>
                <w:szCs w:val="20"/>
                <w:lang w:val="fr-FR"/>
              </w:rPr>
              <w:t>appuyer</w:t>
            </w:r>
            <w:r w:rsidRPr="000D5771">
              <w:rPr>
                <w:sz w:val="20"/>
                <w:szCs w:val="20"/>
                <w:lang w:val="fr-FR"/>
              </w:rPr>
              <w:t xml:space="preserve"> la proposition africaine commune (énoncée ci-dessus), étant donné que cette question est importante dans le cadre des travaux relatifs à la lutte contre les changements climatiques dans le monde.</w:t>
            </w:r>
          </w:p>
        </w:tc>
      </w:tr>
      <w:tr w:rsidR="00145930" w:rsidRPr="000D5771" w14:paraId="7D6899EF" w14:textId="77777777" w:rsidTr="004B4875">
        <w:trPr>
          <w:cantSplit/>
        </w:trPr>
        <w:tc>
          <w:tcPr>
            <w:tcW w:w="2972" w:type="dxa"/>
            <w:tcBorders>
              <w:top w:val="single" w:sz="6" w:space="0" w:color="auto"/>
              <w:left w:val="single" w:sz="4" w:space="0" w:color="auto"/>
              <w:bottom w:val="single" w:sz="6" w:space="0" w:color="auto"/>
            </w:tcBorders>
          </w:tcPr>
          <w:p w14:paraId="5611A71E" w14:textId="77777777" w:rsidR="00145930" w:rsidRPr="000D5771" w:rsidRDefault="00145930" w:rsidP="004B4875">
            <w:pPr>
              <w:pStyle w:val="TableText0"/>
              <w:spacing w:before="120"/>
              <w:rPr>
                <w:b/>
                <w:sz w:val="20"/>
                <w:szCs w:val="20"/>
                <w:lang w:val="fr-FR"/>
              </w:rPr>
            </w:pPr>
            <w:r w:rsidRPr="000D5771">
              <w:rPr>
                <w:b/>
                <w:sz w:val="20"/>
                <w:szCs w:val="20"/>
                <w:lang w:val="fr-FR"/>
              </w:rPr>
              <w:t>9.1, Question D</w:t>
            </w:r>
          </w:p>
          <w:p w14:paraId="7E450E39" w14:textId="77777777" w:rsidR="00145930" w:rsidRPr="000D5771" w:rsidRDefault="00145930" w:rsidP="004B4875">
            <w:pPr>
              <w:pStyle w:val="TableText0"/>
              <w:spacing w:before="120"/>
              <w:rPr>
                <w:b/>
                <w:sz w:val="20"/>
                <w:szCs w:val="20"/>
                <w:lang w:val="fr-FR"/>
              </w:rPr>
            </w:pPr>
            <w:r w:rsidRPr="000D5771">
              <w:rPr>
                <w:sz w:val="20"/>
                <w:szCs w:val="20"/>
                <w:lang w:val="fr-FR"/>
              </w:rPr>
              <w:t>Protection du SETS (passive) dans la bande de fréquences 36</w:t>
            </w:r>
            <w:r w:rsidRPr="000D5771">
              <w:rPr>
                <w:sz w:val="20"/>
                <w:szCs w:val="20"/>
                <w:lang w:val="fr-FR"/>
              </w:rPr>
              <w:noBreakHyphen/>
              <w:t>37 GHz vis-à-vis des stations spatiales du SFS non OSG</w:t>
            </w:r>
          </w:p>
        </w:tc>
        <w:tc>
          <w:tcPr>
            <w:tcW w:w="7174" w:type="dxa"/>
            <w:tcBorders>
              <w:top w:val="single" w:sz="4" w:space="0" w:color="auto"/>
              <w:bottom w:val="single" w:sz="6" w:space="0" w:color="auto"/>
              <w:right w:val="single" w:sz="4" w:space="0" w:color="auto"/>
            </w:tcBorders>
          </w:tcPr>
          <w:p w14:paraId="3A3FA93A"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374BEE1D" w14:textId="77777777" w:rsidR="00145930" w:rsidRPr="000D5771" w:rsidRDefault="00145930" w:rsidP="004B4875">
            <w:pPr>
              <w:pStyle w:val="TableText0"/>
              <w:spacing w:before="120"/>
              <w:rPr>
                <w:sz w:val="20"/>
                <w:szCs w:val="20"/>
                <w:lang w:val="fr-FR"/>
              </w:rPr>
            </w:pPr>
            <w:r w:rsidRPr="000D5771">
              <w:rPr>
                <w:b/>
                <w:bCs/>
                <w:sz w:val="20"/>
                <w:szCs w:val="20"/>
                <w:lang w:val="fr-FR"/>
              </w:rPr>
              <w:t>Appuyer</w:t>
            </w:r>
            <w:r w:rsidRPr="000D5771">
              <w:rPr>
                <w:sz w:val="20"/>
                <w:szCs w:val="20"/>
                <w:lang w:val="fr-FR"/>
              </w:rPr>
              <w:t xml:space="preserve"> les études menées par l'UIT-R concernant la protection des capteurs du SETS (passive)</w:t>
            </w:r>
            <w:r w:rsidRPr="000D5771">
              <w:rPr>
                <w:lang w:val="fr-FR"/>
              </w:rPr>
              <w:t xml:space="preserve"> </w:t>
            </w:r>
            <w:r w:rsidRPr="000D5771">
              <w:rPr>
                <w:sz w:val="20"/>
                <w:szCs w:val="20"/>
                <w:lang w:val="fr-FR"/>
              </w:rPr>
              <w:t>fonctionnant dans la bande de fréquences 36-37 GHz vis-à-vis des systèmes du SFS non OSG dans la bande de fréquences 37,5-38 GHz, compte dûment tenu des aspects opérationnels des systèmes du SFS non OSG, et élaborer des recommandations et/ou des rapports, selon le cas.</w:t>
            </w:r>
          </w:p>
          <w:p w14:paraId="76FA926B"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05D00271"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aux administrations des pays membres de l'UAT:</w:t>
            </w:r>
          </w:p>
          <w:p w14:paraId="17FA6E5D" w14:textId="77777777" w:rsidR="00145930" w:rsidRPr="000D5771" w:rsidRDefault="00145930" w:rsidP="004B4875">
            <w:pPr>
              <w:pStyle w:val="TableText0"/>
              <w:rPr>
                <w:sz w:val="20"/>
                <w:szCs w:val="20"/>
                <w:lang w:val="fr-FR"/>
              </w:rPr>
            </w:pPr>
            <w:r w:rsidRPr="000D5771">
              <w:rPr>
                <w:sz w:val="20"/>
                <w:szCs w:val="20"/>
                <w:lang w:val="fr-FR"/>
              </w:rPr>
              <w:t xml:space="preserve">de </w:t>
            </w:r>
            <w:r w:rsidRPr="000D5771">
              <w:rPr>
                <w:b/>
                <w:bCs/>
                <w:sz w:val="20"/>
                <w:szCs w:val="20"/>
                <w:lang w:val="fr-FR"/>
              </w:rPr>
              <w:t>continuer de participer efficacement</w:t>
            </w:r>
            <w:r w:rsidRPr="000D5771">
              <w:rPr>
                <w:sz w:val="20"/>
                <w:szCs w:val="20"/>
                <w:lang w:val="fr-FR"/>
              </w:rPr>
              <w:t xml:space="preserve"> aux études menées par l'UIT-R sur cette question, afin qu'il soit tenu compte des points de vue des pays africains.</w:t>
            </w:r>
          </w:p>
        </w:tc>
      </w:tr>
    </w:tbl>
    <w:p w14:paraId="30E64FD9" w14:textId="77777777" w:rsidR="00145930" w:rsidRPr="000D5771" w:rsidRDefault="00145930" w:rsidP="00145930">
      <w:r w:rsidRPr="000D5771">
        <w:br w:type="page"/>
      </w:r>
    </w:p>
    <w:p w14:paraId="0E921293" w14:textId="2F28CABA" w:rsidR="00145930" w:rsidRPr="000D5771" w:rsidRDefault="00145930" w:rsidP="00145930">
      <w:pPr>
        <w:pStyle w:val="Tabletitle"/>
      </w:pPr>
      <w:r w:rsidRPr="000D5771">
        <w:rPr>
          <w:rFonts w:eastAsia="Calibri"/>
        </w:rPr>
        <w:lastRenderedPageBreak/>
        <w:t>Points de l'ordre du jour traités dans le Chapitre 4: Questions relatives aux services par satellite</w:t>
      </w:r>
      <w:r w:rsidRPr="000D5771">
        <w:rPr>
          <w:rFonts w:eastAsia="Calibri"/>
        </w:rPr>
        <w:br/>
      </w:r>
      <w:r w:rsidRPr="000D5771">
        <w:t>(Points 1.15, 1.16, 1.17, 1.18, 1.19 et 7, Questions A à K, de l'ordre du jour)</w:t>
      </w:r>
    </w:p>
    <w:tbl>
      <w:tblPr>
        <w:tblW w:w="1014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2"/>
        <w:gridCol w:w="7174"/>
      </w:tblGrid>
      <w:tr w:rsidR="00145930" w:rsidRPr="000D5771" w14:paraId="052DB666" w14:textId="77777777" w:rsidTr="004B4875">
        <w:tc>
          <w:tcPr>
            <w:tcW w:w="2972" w:type="dxa"/>
            <w:tcBorders>
              <w:top w:val="single" w:sz="4" w:space="0" w:color="auto"/>
              <w:bottom w:val="single" w:sz="4" w:space="0" w:color="auto"/>
            </w:tcBorders>
          </w:tcPr>
          <w:p w14:paraId="14DF439B" w14:textId="77777777" w:rsidR="00145930" w:rsidRPr="000D5771" w:rsidRDefault="00145930" w:rsidP="004B4875">
            <w:pPr>
              <w:pStyle w:val="TableHead0"/>
              <w:rPr>
                <w:sz w:val="20"/>
                <w:lang w:val="fr-FR"/>
              </w:rPr>
            </w:pPr>
            <w:r w:rsidRPr="000D5771">
              <w:rPr>
                <w:sz w:val="20"/>
                <w:lang w:val="fr-FR"/>
              </w:rPr>
              <w:t>Ordre du jour</w:t>
            </w:r>
          </w:p>
        </w:tc>
        <w:tc>
          <w:tcPr>
            <w:tcW w:w="7174" w:type="dxa"/>
            <w:tcBorders>
              <w:top w:val="single" w:sz="4" w:space="0" w:color="auto"/>
              <w:bottom w:val="single" w:sz="4" w:space="0" w:color="auto"/>
            </w:tcBorders>
          </w:tcPr>
          <w:p w14:paraId="54315F9C" w14:textId="77777777" w:rsidR="00145930" w:rsidRPr="000D5771" w:rsidRDefault="00145930" w:rsidP="004B4875">
            <w:pPr>
              <w:pStyle w:val="TableHead0"/>
              <w:rPr>
                <w:sz w:val="20"/>
                <w:lang w:val="fr-FR"/>
              </w:rPr>
            </w:pPr>
            <w:r w:rsidRPr="000D5771">
              <w:rPr>
                <w:sz w:val="20"/>
                <w:lang w:val="fr-FR"/>
              </w:rPr>
              <w:t>Résultats (AfCP) de l'APM23-4</w:t>
            </w:r>
          </w:p>
        </w:tc>
      </w:tr>
      <w:tr w:rsidR="00145930" w:rsidRPr="000D5771" w14:paraId="49967603" w14:textId="77777777" w:rsidTr="004B4875">
        <w:tc>
          <w:tcPr>
            <w:tcW w:w="2972" w:type="dxa"/>
            <w:tcBorders>
              <w:top w:val="single" w:sz="4" w:space="0" w:color="auto"/>
            </w:tcBorders>
          </w:tcPr>
          <w:p w14:paraId="45BB088C" w14:textId="77777777" w:rsidR="00145930" w:rsidRPr="000D5771" w:rsidRDefault="00145930" w:rsidP="004B4875">
            <w:pPr>
              <w:pStyle w:val="TableText0"/>
              <w:spacing w:before="120"/>
              <w:rPr>
                <w:b/>
                <w:sz w:val="20"/>
                <w:szCs w:val="20"/>
                <w:lang w:val="fr-FR"/>
              </w:rPr>
            </w:pPr>
            <w:r w:rsidRPr="000D5771">
              <w:rPr>
                <w:b/>
                <w:sz w:val="20"/>
                <w:szCs w:val="20"/>
                <w:lang w:val="fr-FR"/>
              </w:rPr>
              <w:t>1.15</w:t>
            </w:r>
          </w:p>
          <w:p w14:paraId="3343C41E" w14:textId="77777777" w:rsidR="00145930" w:rsidRPr="000D5771" w:rsidRDefault="00145930" w:rsidP="004B4875">
            <w:pPr>
              <w:pStyle w:val="TableText0"/>
              <w:spacing w:before="120"/>
              <w:rPr>
                <w:b/>
                <w:sz w:val="20"/>
                <w:szCs w:val="20"/>
                <w:lang w:val="fr-FR"/>
              </w:rPr>
            </w:pPr>
            <w:r w:rsidRPr="000D5771">
              <w:rPr>
                <w:bCs/>
                <w:iCs/>
                <w:sz w:val="20"/>
                <w:szCs w:val="20"/>
                <w:lang w:val="fr-FR"/>
              </w:rPr>
              <w:t>Harmoniser l'utilisation de la bande de fréquences 12,75</w:t>
            </w:r>
            <w:r w:rsidRPr="000D5771">
              <w:rPr>
                <w:bCs/>
                <w:iCs/>
                <w:sz w:val="20"/>
                <w:szCs w:val="20"/>
                <w:lang w:val="fr-FR"/>
              </w:rPr>
              <w:noBreakHyphen/>
              <w:t>13,25 GHz (Terre vers espace) par les stations terriennes à bord d'aéronefs et de navires communiquant avec des stations spatiales géostationnaires du service fixe par satellite partout dans le monde, conformément à la Résolution </w:t>
            </w:r>
            <w:r w:rsidRPr="000D5771">
              <w:rPr>
                <w:b/>
                <w:iCs/>
                <w:sz w:val="20"/>
                <w:szCs w:val="20"/>
                <w:lang w:val="fr-FR"/>
              </w:rPr>
              <w:t>172 (CMR-19)</w:t>
            </w:r>
          </w:p>
        </w:tc>
        <w:tc>
          <w:tcPr>
            <w:tcW w:w="7174" w:type="dxa"/>
            <w:tcBorders>
              <w:top w:val="single" w:sz="4" w:space="0" w:color="auto"/>
            </w:tcBorders>
          </w:tcPr>
          <w:p w14:paraId="49C783E5"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061BCF99" w14:textId="77777777" w:rsidR="00145930" w:rsidRPr="000D5771" w:rsidRDefault="00145930" w:rsidP="004B4875">
            <w:pPr>
              <w:pStyle w:val="TableText0"/>
              <w:spacing w:before="120"/>
              <w:rPr>
                <w:b/>
                <w:bCs/>
                <w:i/>
                <w:iCs/>
                <w:sz w:val="20"/>
                <w:szCs w:val="20"/>
                <w:u w:val="single"/>
                <w:lang w:val="fr-FR"/>
              </w:rPr>
            </w:pPr>
            <w:r w:rsidRPr="000D5771">
              <w:rPr>
                <w:b/>
                <w:bCs/>
                <w:i/>
                <w:iCs/>
                <w:sz w:val="20"/>
                <w:szCs w:val="20"/>
                <w:lang w:val="fr-FR"/>
              </w:rPr>
              <w:t xml:space="preserve">L'APM23-4 est convenue d'appuyer la </w:t>
            </w:r>
            <w:r w:rsidRPr="000D5771">
              <w:rPr>
                <w:b/>
                <w:bCs/>
                <w:i/>
                <w:iCs/>
                <w:sz w:val="20"/>
                <w:szCs w:val="20"/>
                <w:u w:val="single"/>
                <w:lang w:val="fr-FR"/>
              </w:rPr>
              <w:t>Méthode B</w:t>
            </w:r>
            <w:r w:rsidRPr="000D5771">
              <w:rPr>
                <w:b/>
                <w:bCs/>
                <w:i/>
                <w:iCs/>
                <w:sz w:val="20"/>
                <w:szCs w:val="20"/>
                <w:lang w:val="fr-FR"/>
              </w:rPr>
              <w:t xml:space="preserve"> si les conditions suivantes sont satisfaites</w:t>
            </w:r>
            <w:r w:rsidRPr="000D5771">
              <w:rPr>
                <w:b/>
                <w:bCs/>
                <w:sz w:val="20"/>
                <w:szCs w:val="20"/>
                <w:lang w:val="fr-FR"/>
              </w:rPr>
              <w:t>:</w:t>
            </w:r>
          </w:p>
          <w:p w14:paraId="73F7C72B"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1</w:t>
            </w:r>
            <w:r w:rsidRPr="000D5771">
              <w:rPr>
                <w:sz w:val="20"/>
              </w:rPr>
              <w:tab/>
            </w:r>
            <w:r w:rsidRPr="000D5771">
              <w:rPr>
                <w:b/>
                <w:bCs/>
                <w:sz w:val="20"/>
              </w:rPr>
              <w:t>Assurer</w:t>
            </w:r>
            <w:r w:rsidRPr="000D5771">
              <w:rPr>
                <w:sz w:val="20"/>
              </w:rPr>
              <w:t xml:space="preserve"> la protection des services existants dans la bande de fréquences 13,25</w:t>
            </w:r>
            <w:r w:rsidRPr="000D5771">
              <w:rPr>
                <w:sz w:val="20"/>
              </w:rPr>
              <w:noBreakHyphen/>
              <w:t>13,75 GHz, ainsi que de ceux dans les bandes de fréquences adjacentes, compte tenu de la nécessité de protéger les allotissements/assignations de l'Appendice 30B; l'exploitation de ces stations terriennes à bord d'aéronefs et de navires ne devrait pas avoir d'incidences sur les allotissements figurant dans le Plan et les assignations figurant dans la Liste au titre de l'Appendice </w:t>
            </w:r>
            <w:r w:rsidRPr="000D5771">
              <w:rPr>
                <w:b/>
                <w:bCs/>
                <w:sz w:val="20"/>
              </w:rPr>
              <w:t>30B</w:t>
            </w:r>
            <w:r w:rsidRPr="000D5771">
              <w:rPr>
                <w:sz w:val="20"/>
              </w:rPr>
              <w:t xml:space="preserve"> du RR et ne devrait pas limiter l'accès d'autres administrations à leurs ressources nationales figurant dans l'Appendice </w:t>
            </w:r>
            <w:r w:rsidRPr="000D5771">
              <w:rPr>
                <w:b/>
                <w:bCs/>
                <w:sz w:val="20"/>
              </w:rPr>
              <w:t>30B</w:t>
            </w:r>
            <w:r w:rsidRPr="000D5771">
              <w:rPr>
                <w:sz w:val="20"/>
              </w:rPr>
              <w:t xml:space="preserve"> ainsi que la mise en œuvre de la Résolution </w:t>
            </w:r>
            <w:r w:rsidRPr="000D5771">
              <w:rPr>
                <w:b/>
                <w:bCs/>
                <w:sz w:val="20"/>
              </w:rPr>
              <w:t>170 (CMR-19)</w:t>
            </w:r>
            <w:r w:rsidRPr="000D5771">
              <w:rPr>
                <w:sz w:val="20"/>
              </w:rPr>
              <w:t>.</w:t>
            </w:r>
          </w:p>
          <w:p w14:paraId="03A0AB5E"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2</w:t>
            </w:r>
            <w:r w:rsidRPr="000D5771">
              <w:rPr>
                <w:sz w:val="20"/>
              </w:rPr>
              <w:tab/>
            </w:r>
            <w:r w:rsidRPr="000D5771">
              <w:rPr>
                <w:b/>
                <w:bCs/>
                <w:sz w:val="20"/>
              </w:rPr>
              <w:t>Assurer</w:t>
            </w:r>
            <w:r w:rsidRPr="000D5771">
              <w:rPr>
                <w:sz w:val="20"/>
              </w:rPr>
              <w:t xml:space="preserve"> la protection des services existants dans la bande de fréquences 13,25</w:t>
            </w:r>
            <w:r w:rsidRPr="000D5771">
              <w:rPr>
                <w:sz w:val="20"/>
              </w:rPr>
              <w:noBreakHyphen/>
              <w:t>13,75 GHz, ainsi que de ceux dans les bandes de fréquences adjacentes, compte tenu de la nécessité de protéger les allotissements/assignations de l'Appendice </w:t>
            </w:r>
            <w:r w:rsidRPr="000D5771">
              <w:rPr>
                <w:b/>
                <w:bCs/>
                <w:sz w:val="20"/>
              </w:rPr>
              <w:t>30B</w:t>
            </w:r>
            <w:r w:rsidRPr="000D5771">
              <w:rPr>
                <w:sz w:val="20"/>
              </w:rPr>
              <w:t>; l'exploitation de ces stations terriennes à bord d'aéronefs et de navires ne devrait pas avoir d'incidences sur les allotissements figurant dans le Plan et les assignations figurant dans la Liste au titre de l'Appendice </w:t>
            </w:r>
            <w:r w:rsidRPr="000D5771">
              <w:rPr>
                <w:b/>
                <w:bCs/>
                <w:sz w:val="20"/>
              </w:rPr>
              <w:t>30B</w:t>
            </w:r>
            <w:r w:rsidRPr="000D5771">
              <w:rPr>
                <w:sz w:val="20"/>
              </w:rPr>
              <w:t xml:space="preserve"> du RR et ne devrait pas limiter l'accès d'autres administrations à leurs ressources nationales figurant dans l'Appendice </w:t>
            </w:r>
            <w:r w:rsidRPr="000D5771">
              <w:rPr>
                <w:b/>
                <w:bCs/>
                <w:sz w:val="20"/>
              </w:rPr>
              <w:t>30B</w:t>
            </w:r>
            <w:r w:rsidRPr="000D5771">
              <w:rPr>
                <w:sz w:val="20"/>
              </w:rPr>
              <w:t xml:space="preserve"> ainsi que la mise en œuvre de la Résolution </w:t>
            </w:r>
            <w:r w:rsidRPr="000D5771">
              <w:rPr>
                <w:b/>
                <w:bCs/>
                <w:sz w:val="20"/>
              </w:rPr>
              <w:t>170 (CMR-19)</w:t>
            </w:r>
            <w:r w:rsidRPr="000D5771">
              <w:rPr>
                <w:sz w:val="20"/>
              </w:rPr>
              <w:t>.</w:t>
            </w:r>
          </w:p>
          <w:p w14:paraId="45DAFA9B"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3</w:t>
            </w:r>
            <w:r w:rsidRPr="000D5771">
              <w:rPr>
                <w:sz w:val="20"/>
              </w:rPr>
              <w:tab/>
              <w:t>Les stations terriennes aéronautiques et maritimes dans la bande de fréquences 12,75-13,25 GHz doivent avoir la capacité de limiter leur exploitation au territoire des administrations des pays pour lesquels un accord au titre du § </w:t>
            </w:r>
            <w:r w:rsidRPr="000D5771">
              <w:rPr>
                <w:b/>
                <w:bCs/>
                <w:sz w:val="20"/>
              </w:rPr>
              <w:t>6.6</w:t>
            </w:r>
            <w:r w:rsidRPr="000D5771">
              <w:rPr>
                <w:sz w:val="20"/>
              </w:rPr>
              <w:t xml:space="preserve"> a été obtenu.</w:t>
            </w:r>
          </w:p>
          <w:p w14:paraId="7CCCF4C1"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4</w:t>
            </w:r>
            <w:r w:rsidRPr="000D5771">
              <w:rPr>
                <w:sz w:val="20"/>
              </w:rPr>
              <w:tab/>
            </w:r>
            <w:r w:rsidRPr="000D5771">
              <w:rPr>
                <w:b/>
                <w:bCs/>
                <w:sz w:val="20"/>
              </w:rPr>
              <w:t>Appuyer</w:t>
            </w:r>
            <w:r w:rsidRPr="000D5771">
              <w:rPr>
                <w:sz w:val="20"/>
              </w:rPr>
              <w:t xml:space="preserve"> le fait que l'exploitation des stations terriennes aéronautiques et maritimes en mouvement (A-ESIM et M-ESIM) dans les eaux territoriales ou dans l'espace aérien relevant de la juridiction d'une administration n'est possible que si cette administration a donné son autorisation à cette fin.</w:t>
            </w:r>
          </w:p>
          <w:p w14:paraId="5DD69842"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5</w:t>
            </w:r>
            <w:r w:rsidRPr="000D5771">
              <w:rPr>
                <w:sz w:val="20"/>
              </w:rPr>
              <w:tab/>
            </w:r>
            <w:r w:rsidRPr="000D5771">
              <w:rPr>
                <w:b/>
                <w:bCs/>
                <w:sz w:val="20"/>
              </w:rPr>
              <w:t>Appuyer</w:t>
            </w:r>
            <w:r w:rsidRPr="000D5771">
              <w:rPr>
                <w:sz w:val="20"/>
              </w:rPr>
              <w:t xml:space="preserve"> le fait que l'administration responsable de la fiche de notification doit utiliser une assignation de l'Appendice </w:t>
            </w:r>
            <w:r w:rsidRPr="000D5771">
              <w:rPr>
                <w:b/>
                <w:bCs/>
                <w:sz w:val="20"/>
              </w:rPr>
              <w:t>30B</w:t>
            </w:r>
            <w:r w:rsidRPr="000D5771">
              <w:rPr>
                <w:sz w:val="20"/>
              </w:rPr>
              <w:t xml:space="preserve"> figurant déjà dans la Liste pour assurer l'exploitation des stations terriennes à bord d'aéronefs et de navires dans la bande de fréquences 12,75-13,25 GHz, afin de rechercher l'accord exprès des administrations affectées par cette utilisation.</w:t>
            </w:r>
          </w:p>
          <w:p w14:paraId="0C9BF778"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6</w:t>
            </w:r>
            <w:r w:rsidRPr="000D5771">
              <w:rPr>
                <w:sz w:val="20"/>
              </w:rPr>
              <w:tab/>
            </w:r>
            <w:r w:rsidRPr="000D5771">
              <w:rPr>
                <w:b/>
                <w:bCs/>
                <w:sz w:val="20"/>
              </w:rPr>
              <w:t>Appuyer</w:t>
            </w:r>
            <w:r w:rsidRPr="000D5771">
              <w:rPr>
                <w:sz w:val="20"/>
              </w:rPr>
              <w:t xml:space="preserve"> le fait que le BR doit publier dans l'Appendice </w:t>
            </w:r>
            <w:r w:rsidRPr="000D5771">
              <w:rPr>
                <w:b/>
                <w:bCs/>
                <w:sz w:val="20"/>
              </w:rPr>
              <w:t>30B</w:t>
            </w:r>
            <w:r w:rsidRPr="000D5771">
              <w:rPr>
                <w:sz w:val="20"/>
              </w:rPr>
              <w:t xml:space="preserve"> la Liste des assignations des stations ESIM qui ont été mises en service, accompagnée d'informations sur la zone de service et les pays autorisant cette utilisation pour aider l'administration affectée à identifier la source des brouillages.</w:t>
            </w:r>
          </w:p>
          <w:p w14:paraId="567161C0"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7</w:t>
            </w:r>
            <w:r w:rsidRPr="000D5771">
              <w:rPr>
                <w:sz w:val="20"/>
              </w:rPr>
              <w:tab/>
            </w:r>
            <w:r w:rsidRPr="000D5771">
              <w:rPr>
                <w:b/>
                <w:bCs/>
                <w:sz w:val="20"/>
              </w:rPr>
              <w:t>Appuyer</w:t>
            </w:r>
            <w:r w:rsidRPr="000D5771">
              <w:rPr>
                <w:sz w:val="20"/>
              </w:rPr>
              <w:t xml:space="preserve"> l'utilisation d'une distance minimale de </w:t>
            </w:r>
            <w:r w:rsidRPr="000D5771">
              <w:rPr>
                <w:rFonts w:eastAsia="Calibri"/>
                <w:sz w:val="20"/>
              </w:rPr>
              <w:t xml:space="preserve">[175], </w:t>
            </w:r>
            <w:r w:rsidRPr="000D5771">
              <w:rPr>
                <w:sz w:val="20"/>
              </w:rPr>
              <w:t>133/150 km à partir de la laisse de basse mer officiellement reconnue par l'État côtier pour assurer la protection des services de Terre vis-à-vis des émissions des stations M-ESIM.</w:t>
            </w:r>
          </w:p>
          <w:p w14:paraId="56BFF491"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8</w:t>
            </w:r>
            <w:r w:rsidRPr="000D5771">
              <w:rPr>
                <w:sz w:val="20"/>
              </w:rPr>
              <w:tab/>
            </w:r>
            <w:r w:rsidRPr="000D5771">
              <w:rPr>
                <w:b/>
                <w:bCs/>
                <w:sz w:val="20"/>
              </w:rPr>
              <w:t>Insister</w:t>
            </w:r>
            <w:r w:rsidRPr="000D5771">
              <w:rPr>
                <w:sz w:val="20"/>
              </w:rPr>
              <w:t xml:space="preserve"> sur le fait que l'administration notificatrice du réseau à satellite est la seule habilitée à notifier une station ESIM appelée à communiquer avec ce réseau et à résoudre les cas de brouillage.</w:t>
            </w:r>
          </w:p>
          <w:p w14:paraId="1D163525"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9</w:t>
            </w:r>
            <w:r w:rsidRPr="000D5771">
              <w:rPr>
                <w:sz w:val="20"/>
              </w:rPr>
              <w:tab/>
            </w:r>
            <w:r w:rsidRPr="000D5771">
              <w:rPr>
                <w:b/>
                <w:bCs/>
                <w:sz w:val="20"/>
              </w:rPr>
              <w:t>Insister</w:t>
            </w:r>
            <w:r w:rsidRPr="000D5771">
              <w:rPr>
                <w:sz w:val="20"/>
              </w:rPr>
              <w:t xml:space="preserve"> sur le fait que les stations ESIM de réception exploitées dans la bande de fréquences qui leur est associée ne doivent pas avoir d'effets préjudiciables sur les allotissements dans le Plan ou sur les assignations dans la Liste, et qu'aucune protection ne doit être demandée vis-à-vis d'autres applications du SFS ainsi que d'autres services de radiocommunication auxquels la bande de fréquences est attribuée. L'UAT préfère que ces mesures figurent sous le </w:t>
            </w:r>
            <w:r w:rsidRPr="000D5771">
              <w:rPr>
                <w:i/>
                <w:iCs/>
                <w:sz w:val="20"/>
              </w:rPr>
              <w:t>décide</w:t>
            </w:r>
            <w:r w:rsidRPr="000D5771">
              <w:rPr>
                <w:sz w:val="20"/>
              </w:rPr>
              <w:t>.</w:t>
            </w:r>
          </w:p>
          <w:p w14:paraId="78019771" w14:textId="77777777" w:rsidR="00145930" w:rsidRPr="000D5771" w:rsidRDefault="00145930" w:rsidP="004B4875">
            <w:pPr>
              <w:pStyle w:val="enumlev1"/>
              <w:tabs>
                <w:tab w:val="clear" w:pos="1134"/>
                <w:tab w:val="left" w:pos="461"/>
              </w:tabs>
              <w:spacing w:before="40"/>
              <w:ind w:left="459" w:hanging="459"/>
            </w:pPr>
            <w:r w:rsidRPr="000D5771">
              <w:rPr>
                <w:sz w:val="20"/>
              </w:rPr>
              <w:t>10</w:t>
            </w:r>
            <w:r w:rsidRPr="000D5771">
              <w:rPr>
                <w:sz w:val="20"/>
              </w:rPr>
              <w:tab/>
            </w:r>
            <w:r w:rsidRPr="000D5771">
              <w:rPr>
                <w:b/>
                <w:bCs/>
                <w:sz w:val="20"/>
              </w:rPr>
              <w:t>Achever</w:t>
            </w:r>
            <w:r w:rsidRPr="000D5771">
              <w:rPr>
                <w:sz w:val="20"/>
              </w:rPr>
              <w:t xml:space="preserve"> l'élaboration du mécanisme de gestion des brouillages et définir le rôle du Centre de contrôle et de surveillance de réseau (NCMC) pour traiter les cas </w:t>
            </w:r>
            <w:r w:rsidRPr="000D5771">
              <w:rPr>
                <w:sz w:val="20"/>
              </w:rPr>
              <w:lastRenderedPageBreak/>
              <w:t>de brouillages causés par l'exploitation de stations A-ESIM ou M-ESIM d'autres administrations.</w:t>
            </w:r>
          </w:p>
          <w:p w14:paraId="701BC36F"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11</w:t>
            </w:r>
            <w:r w:rsidRPr="000D5771">
              <w:rPr>
                <w:sz w:val="20"/>
              </w:rPr>
              <w:tab/>
            </w:r>
            <w:r w:rsidRPr="000D5771">
              <w:rPr>
                <w:b/>
                <w:bCs/>
                <w:sz w:val="20"/>
              </w:rPr>
              <w:t>Élaborer</w:t>
            </w:r>
            <w:r w:rsidRPr="000D5771">
              <w:rPr>
                <w:sz w:val="20"/>
              </w:rPr>
              <w:t xml:space="preserve"> une méthode pour aider le Bureau des radiocommunications à examiner la conformité des stations terriennes à bord d'aéronefs et de navires lorsqu'une valeur appropriée de puissance surfacique est utilisée pour protéger les services de Terre vis-à-vis des stations terriennes en mouvement, une décision devant être prise au sujet de cette méthode avant la fin de la Conférence.</w:t>
            </w:r>
          </w:p>
          <w:p w14:paraId="74255D0D"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12</w:t>
            </w:r>
            <w:r w:rsidRPr="000D5771">
              <w:rPr>
                <w:sz w:val="20"/>
              </w:rPr>
              <w:tab/>
            </w:r>
            <w:r w:rsidRPr="000D5771">
              <w:rPr>
                <w:b/>
                <w:bCs/>
                <w:sz w:val="20"/>
              </w:rPr>
              <w:t>Examiner</w:t>
            </w:r>
            <w:r w:rsidRPr="000D5771">
              <w:rPr>
                <w:sz w:val="20"/>
              </w:rPr>
              <w:t xml:space="preserve"> les assignations de fréquence inscrites dans la Liste au titre du § </w:t>
            </w:r>
            <w:r w:rsidRPr="000D5771">
              <w:rPr>
                <w:b/>
                <w:bCs/>
                <w:sz w:val="20"/>
              </w:rPr>
              <w:t>6.17</w:t>
            </w:r>
            <w:r w:rsidRPr="000D5771">
              <w:rPr>
                <w:sz w:val="20"/>
              </w:rPr>
              <w:t xml:space="preserve"> qui peuvent être utilisées en tant qu'assignations d'appui par les stations ESIM.</w:t>
            </w:r>
          </w:p>
          <w:p w14:paraId="586FB2EF"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13</w:t>
            </w:r>
            <w:r w:rsidRPr="000D5771">
              <w:rPr>
                <w:sz w:val="20"/>
              </w:rPr>
              <w:tab/>
            </w:r>
            <w:r w:rsidRPr="000D5771">
              <w:rPr>
                <w:b/>
                <w:bCs/>
                <w:sz w:val="20"/>
              </w:rPr>
              <w:t>Nécessité d'examiner</w:t>
            </w:r>
            <w:r w:rsidRPr="000D5771">
              <w:rPr>
                <w:sz w:val="20"/>
              </w:rPr>
              <w:t xml:space="preserve"> les coûts qui pourraient être associés à la mise en œuvre éventuelle du projet de nouvelle Résolution au titre du point 1.15 de l'ordre du jour.</w:t>
            </w:r>
          </w:p>
          <w:p w14:paraId="5030545D" w14:textId="77777777" w:rsidR="00145930" w:rsidRPr="000D5771" w:rsidRDefault="00145930" w:rsidP="004B4875">
            <w:pPr>
              <w:pStyle w:val="enumlev1"/>
              <w:tabs>
                <w:tab w:val="clear" w:pos="1134"/>
                <w:tab w:val="left" w:pos="461"/>
              </w:tabs>
              <w:spacing w:before="40"/>
              <w:ind w:left="459" w:hanging="459"/>
              <w:rPr>
                <w:sz w:val="20"/>
              </w:rPr>
            </w:pPr>
            <w:r w:rsidRPr="000D5771">
              <w:rPr>
                <w:sz w:val="20"/>
              </w:rPr>
              <w:t>14</w:t>
            </w:r>
            <w:r w:rsidRPr="000D5771">
              <w:rPr>
                <w:sz w:val="20"/>
              </w:rPr>
              <w:tab/>
            </w:r>
            <w:r w:rsidRPr="000D5771">
              <w:rPr>
                <w:b/>
                <w:bCs/>
                <w:sz w:val="20"/>
              </w:rPr>
              <w:t>Décider</w:t>
            </w:r>
            <w:r w:rsidRPr="000D5771">
              <w:rPr>
                <w:sz w:val="20"/>
              </w:rPr>
              <w:t xml:space="preserve"> que les études au titre de ce point de l'ordre du jour doivent également porter sur les effets du brouillage cumulatif causé par les stations ESIM pour assurer la protection à long terme du service fixe et du service mobile.</w:t>
            </w:r>
          </w:p>
          <w:p w14:paraId="69214FF2"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3E04E0CA"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5C30721C" w14:textId="77777777" w:rsidR="00145930" w:rsidRPr="000D5771" w:rsidRDefault="00145930" w:rsidP="004B4875">
            <w:pPr>
              <w:pStyle w:val="TableText0"/>
              <w:spacing w:before="120"/>
              <w:rPr>
                <w:sz w:val="20"/>
                <w:szCs w:val="20"/>
                <w:lang w:val="fr-FR"/>
              </w:rPr>
            </w:pPr>
            <w:r w:rsidRPr="000D5771">
              <w:rPr>
                <w:sz w:val="20"/>
                <w:szCs w:val="20"/>
                <w:lang w:val="fr-FR"/>
              </w:rPr>
              <w:t>d'</w:t>
            </w:r>
            <w:r w:rsidRPr="000D5771">
              <w:rPr>
                <w:b/>
                <w:bCs/>
                <w:sz w:val="20"/>
                <w:szCs w:val="20"/>
                <w:lang w:val="fr-FR"/>
              </w:rPr>
              <w:t>appuyer</w:t>
            </w:r>
            <w:r w:rsidRPr="000D5771">
              <w:rPr>
                <w:sz w:val="20"/>
                <w:szCs w:val="20"/>
                <w:lang w:val="fr-FR"/>
              </w:rPr>
              <w:t xml:space="preserve"> la proposition africaine commune (Méthode B) relative à ce point de l'ordre du jour, tout en veillant à ce que le projet de nouvelle Résolution relevant de la Méthode B satisfasse à toutes les conditions susmentionnées.</w:t>
            </w:r>
          </w:p>
        </w:tc>
      </w:tr>
      <w:tr w:rsidR="00145930" w:rsidRPr="000D5771" w14:paraId="55E8D433" w14:textId="77777777" w:rsidTr="004B4875">
        <w:tc>
          <w:tcPr>
            <w:tcW w:w="2972" w:type="dxa"/>
            <w:tcBorders>
              <w:top w:val="single" w:sz="4" w:space="0" w:color="auto"/>
            </w:tcBorders>
          </w:tcPr>
          <w:p w14:paraId="2C3A22C3"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1.16</w:t>
            </w:r>
          </w:p>
          <w:p w14:paraId="4D546C3B" w14:textId="77777777" w:rsidR="00145930" w:rsidRPr="000D5771" w:rsidRDefault="00145930" w:rsidP="004B4875">
            <w:pPr>
              <w:pStyle w:val="TableText0"/>
              <w:spacing w:before="120"/>
              <w:rPr>
                <w:b/>
                <w:sz w:val="20"/>
                <w:szCs w:val="20"/>
                <w:lang w:val="fr-FR"/>
              </w:rPr>
            </w:pPr>
            <w:r w:rsidRPr="000D5771">
              <w:rPr>
                <w:bCs/>
                <w:iCs/>
                <w:sz w:val="20"/>
                <w:szCs w:val="20"/>
                <w:lang w:val="fr-FR"/>
              </w:rPr>
              <w:t>Étudier et définir les mesures d'ordre technique, opérationnel et réglementaire, selon le cas, à prendre pour faciliter l'utilisation des bandes de fréquences 17,7</w:t>
            </w:r>
            <w:r w:rsidRPr="000D5771">
              <w:rPr>
                <w:bCs/>
                <w:iCs/>
                <w:sz w:val="20"/>
                <w:szCs w:val="20"/>
                <w:lang w:val="fr-FR"/>
              </w:rPr>
              <w:noBreakHyphen/>
              <w:t>18,6 GHz, 18,8</w:t>
            </w:r>
            <w:r w:rsidRPr="000D5771">
              <w:rPr>
                <w:bCs/>
                <w:iCs/>
                <w:sz w:val="20"/>
                <w:szCs w:val="20"/>
                <w:lang w:val="fr-FR"/>
              </w:rPr>
              <w:noBreakHyphen/>
              <w:t>19,3 GHz et 19,7</w:t>
            </w:r>
            <w:r w:rsidRPr="000D5771">
              <w:rPr>
                <w:bCs/>
                <w:iCs/>
                <w:sz w:val="20"/>
                <w:szCs w:val="20"/>
                <w:lang w:val="fr-FR"/>
              </w:rPr>
              <w:noBreakHyphen/>
              <w:t>20,2 GHz (espace vers Terre), ainsi que 27,5</w:t>
            </w:r>
            <w:r w:rsidRPr="000D5771">
              <w:rPr>
                <w:bCs/>
                <w:iCs/>
                <w:sz w:val="20"/>
                <w:szCs w:val="20"/>
                <w:lang w:val="fr-FR"/>
              </w:rPr>
              <w:noBreakHyphen/>
              <w:t>29,1 GHz et 29,5</w:t>
            </w:r>
            <w:r w:rsidRPr="000D5771">
              <w:rPr>
                <w:bCs/>
                <w:iCs/>
                <w:sz w:val="20"/>
                <w:szCs w:val="20"/>
                <w:lang w:val="fr-FR"/>
              </w:rPr>
              <w:noBreakHyphen/>
              <w:t>30 GHz (Terre vers espace) par les stations terriennes en mouvement non géostationnaires du service fixe par satellite, tout en assurant la protection voulue des services existants dans ces bandes de fréquences, conformément à la Résolution </w:t>
            </w:r>
            <w:r w:rsidRPr="000D5771">
              <w:rPr>
                <w:b/>
                <w:iCs/>
                <w:sz w:val="20"/>
                <w:szCs w:val="20"/>
                <w:lang w:val="fr-FR"/>
              </w:rPr>
              <w:t>173 (CMR-19)</w:t>
            </w:r>
          </w:p>
        </w:tc>
        <w:tc>
          <w:tcPr>
            <w:tcW w:w="7174" w:type="dxa"/>
          </w:tcPr>
          <w:p w14:paraId="3AC8E1A9"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4785DC26" w14:textId="77777777" w:rsidR="00145930" w:rsidRPr="000D5771" w:rsidRDefault="00145930" w:rsidP="004B4875">
            <w:pPr>
              <w:pStyle w:val="TableText0"/>
              <w:spacing w:before="120"/>
              <w:rPr>
                <w:b/>
                <w:bCs/>
                <w:i/>
                <w:iCs/>
                <w:sz w:val="20"/>
                <w:szCs w:val="20"/>
                <w:u w:val="single"/>
                <w:lang w:val="fr-FR"/>
              </w:rPr>
            </w:pPr>
            <w:r w:rsidRPr="000D5771">
              <w:rPr>
                <w:b/>
                <w:bCs/>
                <w:i/>
                <w:iCs/>
                <w:sz w:val="20"/>
                <w:szCs w:val="20"/>
                <w:lang w:val="fr-FR"/>
              </w:rPr>
              <w:t xml:space="preserve">L'APM23-4 est convenue d'appuyer la </w:t>
            </w:r>
            <w:r w:rsidRPr="000D5771">
              <w:rPr>
                <w:b/>
                <w:bCs/>
                <w:i/>
                <w:iCs/>
                <w:sz w:val="20"/>
                <w:szCs w:val="20"/>
                <w:u w:val="single"/>
                <w:lang w:val="fr-FR"/>
              </w:rPr>
              <w:t>Méthode B</w:t>
            </w:r>
            <w:r w:rsidRPr="000D5771">
              <w:rPr>
                <w:b/>
                <w:bCs/>
                <w:i/>
                <w:iCs/>
                <w:sz w:val="20"/>
                <w:szCs w:val="20"/>
                <w:lang w:val="fr-FR"/>
              </w:rPr>
              <w:t xml:space="preserve"> si les conditions suivantes sont satisfaites</w:t>
            </w:r>
            <w:r w:rsidRPr="000D5771">
              <w:rPr>
                <w:b/>
                <w:bCs/>
                <w:sz w:val="20"/>
                <w:szCs w:val="20"/>
                <w:lang w:val="fr-FR"/>
              </w:rPr>
              <w:t>:</w:t>
            </w:r>
          </w:p>
          <w:p w14:paraId="755B69C7"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1</w:t>
            </w:r>
            <w:r w:rsidRPr="000D5771">
              <w:rPr>
                <w:sz w:val="20"/>
              </w:rPr>
              <w:tab/>
              <w:t>Pour que les services de Terre fonctionnant dans la bande de fréquences 27,5</w:t>
            </w:r>
            <w:r w:rsidRPr="000D5771">
              <w:rPr>
                <w:sz w:val="20"/>
              </w:rPr>
              <w:noBreakHyphen/>
              <w:t>29,1 GHz soient protégés, les stations d'émission ESIM non OSG dans cette bande de fréquences ne doivent pas causer de brouillages inacceptables aux services de Terre auxquels la bande de fréquences est attribuée et qui sont exploités conformément au Règlement des radiocommunications, et l'Annexe 1 de la nouvelle Résolution au titre de ce point de l'ordre du jour s'appliquera.</w:t>
            </w:r>
          </w:p>
          <w:p w14:paraId="4EF5FE8A"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2</w:t>
            </w:r>
            <w:r w:rsidRPr="000D5771">
              <w:rPr>
                <w:sz w:val="20"/>
              </w:rPr>
              <w:tab/>
              <w:t>Pour assurer la protection de l'attribution aux services de Terre à titre secondaire (numéro </w:t>
            </w:r>
            <w:r w:rsidRPr="000D5771">
              <w:rPr>
                <w:b/>
                <w:bCs/>
                <w:sz w:val="20"/>
              </w:rPr>
              <w:t>5.542</w:t>
            </w:r>
            <w:r w:rsidRPr="000D5771">
              <w:rPr>
                <w:sz w:val="20"/>
              </w:rPr>
              <w:t xml:space="preserve">) dans la bande de fréquences 29,5-30 GHz, les stations d'émission ESIM non OSG dans cette bande de fréquences ne doivent pas compromettre l'exploitation des services de Terre auxquels cette bande de fréquences est attribuée et qui sont exploités conformément au Règlement des radiocommunications, et les conditions techniques figurant dans l'Annexe 1 de la nouvelle Résolution au titre de ce point de l'ordre du jour s'appliqueront en ce qui concerne les administrations énumérées au numéro </w:t>
            </w:r>
            <w:r w:rsidRPr="000D5771">
              <w:rPr>
                <w:b/>
                <w:bCs/>
                <w:sz w:val="20"/>
              </w:rPr>
              <w:t>5.542</w:t>
            </w:r>
            <w:r w:rsidRPr="000D5771">
              <w:rPr>
                <w:sz w:val="20"/>
              </w:rPr>
              <w:t xml:space="preserve"> du RR.</w:t>
            </w:r>
          </w:p>
          <w:p w14:paraId="4E32C8BA"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3</w:t>
            </w:r>
            <w:r w:rsidRPr="000D5771">
              <w:rPr>
                <w:sz w:val="20"/>
              </w:rPr>
              <w:tab/>
              <w:t>Les stations ESIM non OSG fonctionnant dans les bandes de fréquences 17,7</w:t>
            </w:r>
            <w:r w:rsidRPr="000D5771">
              <w:rPr>
                <w:sz w:val="20"/>
              </w:rPr>
              <w:noBreakHyphen/>
              <w:t>18,6 GHz, 18,8-19,3 GHz et 19,7-20,2 GHz (voir le numéro </w:t>
            </w:r>
            <w:r w:rsidRPr="000D5771">
              <w:rPr>
                <w:b/>
                <w:bCs/>
                <w:sz w:val="20"/>
              </w:rPr>
              <w:t>5.524</w:t>
            </w:r>
            <w:r w:rsidRPr="000D5771">
              <w:rPr>
                <w:sz w:val="20"/>
              </w:rPr>
              <w:t>) ne doivent pas demander à être protégées vis-à-vis des services de Terre auxquels ces bandes de fréquences sont attribuées et qui sont exploités conformément au Règlement des radiocommunications.</w:t>
            </w:r>
          </w:p>
          <w:p w14:paraId="0D4B642F"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4</w:t>
            </w:r>
            <w:r w:rsidRPr="000D5771">
              <w:rPr>
                <w:sz w:val="20"/>
              </w:rPr>
              <w:tab/>
              <w:t>Pour assurer la protection des services spatiaux, les caractéristiques des stations ESIM non OSG doivent rester dans les limites des caractéristiques des stations terriennes types associées au système à satellites non OSG avec lequel ces stations ESIM communiquent.</w:t>
            </w:r>
          </w:p>
          <w:p w14:paraId="204F2609"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5</w:t>
            </w:r>
            <w:r w:rsidRPr="000D5771">
              <w:rPr>
                <w:sz w:val="20"/>
              </w:rPr>
              <w:tab/>
              <w:t xml:space="preserve">Pour assurer la protection des systèmes OSG du SFS et du SRS fonctionnant dans la bande de fréquences 17,7-18,6 GHz vis-à-vis des systèmes du SFS non OSG utilisant des stations ESIM, le numéro </w:t>
            </w:r>
            <w:r w:rsidRPr="000D5771">
              <w:rPr>
                <w:b/>
                <w:bCs/>
                <w:sz w:val="20"/>
              </w:rPr>
              <w:t>22.2</w:t>
            </w:r>
            <w:r w:rsidRPr="000D5771">
              <w:rPr>
                <w:sz w:val="20"/>
              </w:rPr>
              <w:t xml:space="preserve"> du RR s'appliquera.</w:t>
            </w:r>
          </w:p>
          <w:p w14:paraId="1772DB46"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6</w:t>
            </w:r>
            <w:r w:rsidRPr="000D5771">
              <w:rPr>
                <w:sz w:val="20"/>
              </w:rPr>
              <w:tab/>
              <w:t xml:space="preserve">Pour assurer la protection des réseaux du SFS OSG fonctionnant dans les bandes de fréquences 17,8-18,6 GHz, 19,7-20,2 GHz, 27,5-28,6 GHz et 29,5-30,0 GHz, les limites d'epfd pertinentes indiquées aux numéros </w:t>
            </w:r>
            <w:r w:rsidRPr="000D5771">
              <w:rPr>
                <w:b/>
                <w:bCs/>
                <w:sz w:val="20"/>
              </w:rPr>
              <w:t>22.5C</w:t>
            </w:r>
            <w:r w:rsidRPr="000D5771">
              <w:rPr>
                <w:sz w:val="20"/>
              </w:rPr>
              <w:t xml:space="preserve">, </w:t>
            </w:r>
            <w:r w:rsidRPr="000D5771">
              <w:rPr>
                <w:b/>
                <w:bCs/>
                <w:sz w:val="20"/>
              </w:rPr>
              <w:t>22.5D</w:t>
            </w:r>
            <w:r w:rsidRPr="000D5771">
              <w:rPr>
                <w:sz w:val="20"/>
              </w:rPr>
              <w:t xml:space="preserve"> et </w:t>
            </w:r>
            <w:r w:rsidRPr="000D5771">
              <w:rPr>
                <w:b/>
                <w:bCs/>
                <w:sz w:val="20"/>
              </w:rPr>
              <w:t>22.5F</w:t>
            </w:r>
            <w:r w:rsidRPr="000D5771">
              <w:rPr>
                <w:sz w:val="20"/>
              </w:rPr>
              <w:t xml:space="preserve"> du RR s'appliqueront.</w:t>
            </w:r>
          </w:p>
          <w:p w14:paraId="2C52C228"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7</w:t>
            </w:r>
            <w:r w:rsidRPr="000D5771">
              <w:rPr>
                <w:sz w:val="20"/>
              </w:rPr>
              <w:tab/>
              <w:t>Pour assurer la protection des systèmes OSG du SFS et du SRS fonctionnant dans les bandes de fréquences auxquelles les limites d'epfd ne s'appliquent pas:</w:t>
            </w:r>
          </w:p>
          <w:p w14:paraId="7DEF3512" w14:textId="77777777" w:rsidR="00145930" w:rsidRPr="000D5771" w:rsidRDefault="00145930" w:rsidP="004B4875">
            <w:pPr>
              <w:pStyle w:val="enumlev2"/>
              <w:tabs>
                <w:tab w:val="clear" w:pos="1134"/>
                <w:tab w:val="clear" w:pos="1871"/>
                <w:tab w:val="left" w:pos="745"/>
              </w:tabs>
              <w:spacing w:before="40"/>
              <w:ind w:left="745" w:hanging="284"/>
              <w:rPr>
                <w:sz w:val="20"/>
              </w:rPr>
            </w:pPr>
            <w:r w:rsidRPr="000D5771">
              <w:rPr>
                <w:sz w:val="20"/>
              </w:rPr>
              <w:lastRenderedPageBreak/>
              <w:t>i)</w:t>
            </w:r>
            <w:r w:rsidRPr="000D5771">
              <w:rPr>
                <w:sz w:val="20"/>
              </w:rPr>
              <w:tab/>
              <w:t>les caractéristiques des stations ESIM non OSG doivent rester dans les limites des caractéristiques des stations terriennes types associées au système à satellites non OSG avec lequel ces stations ESIM communiquent;</w:t>
            </w:r>
          </w:p>
          <w:p w14:paraId="5CD3EAC0" w14:textId="77777777" w:rsidR="00145930" w:rsidRPr="000D5771" w:rsidRDefault="00145930" w:rsidP="004B4875">
            <w:pPr>
              <w:pStyle w:val="enumlev2"/>
              <w:tabs>
                <w:tab w:val="clear" w:pos="1134"/>
                <w:tab w:val="clear" w:pos="1871"/>
                <w:tab w:val="left" w:pos="745"/>
              </w:tabs>
              <w:spacing w:before="40"/>
              <w:ind w:left="745" w:hanging="284"/>
              <w:rPr>
                <w:sz w:val="20"/>
              </w:rPr>
            </w:pPr>
            <w:r w:rsidRPr="000D5771">
              <w:rPr>
                <w:sz w:val="20"/>
              </w:rPr>
              <w:t>ii)</w:t>
            </w:r>
            <w:r w:rsidRPr="000D5771">
              <w:rPr>
                <w:sz w:val="20"/>
              </w:rPr>
              <w:tab/>
              <w:t>les stations ESIM non OSG ne doivent pas causer plus de brouillage, ni demander à bénéficier d'une protection plus grande que pour des stations terriennes types du système à satellites non OSG;</w:t>
            </w:r>
          </w:p>
          <w:p w14:paraId="48E1A14A" w14:textId="77777777" w:rsidR="00145930" w:rsidRPr="000D5771" w:rsidRDefault="00145930" w:rsidP="004B4875">
            <w:pPr>
              <w:pStyle w:val="enumlev2"/>
              <w:tabs>
                <w:tab w:val="clear" w:pos="1134"/>
                <w:tab w:val="clear" w:pos="1871"/>
                <w:tab w:val="left" w:pos="745"/>
              </w:tabs>
              <w:spacing w:before="40"/>
              <w:ind w:left="745" w:hanging="284"/>
              <w:rPr>
                <w:sz w:val="20"/>
              </w:rPr>
            </w:pPr>
            <w:r w:rsidRPr="000D5771">
              <w:rPr>
                <w:sz w:val="20"/>
              </w:rPr>
              <w:t>iii)</w:t>
            </w:r>
            <w:r w:rsidRPr="000D5771">
              <w:rPr>
                <w:sz w:val="20"/>
              </w:rPr>
              <w:tab/>
              <w:t xml:space="preserve">l'exploitation des stations ESIM non OSG doit être conforme aux accords obtenus dans le cadre de la coordination à la suite de l'application des dispositions du numéro </w:t>
            </w:r>
            <w:r w:rsidRPr="000D5771">
              <w:rPr>
                <w:b/>
                <w:bCs/>
                <w:sz w:val="20"/>
              </w:rPr>
              <w:t>9.11A</w:t>
            </w:r>
            <w:r w:rsidRPr="000D5771">
              <w:rPr>
                <w:sz w:val="20"/>
              </w:rPr>
              <w:t>.</w:t>
            </w:r>
          </w:p>
          <w:p w14:paraId="12F5700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8</w:t>
            </w:r>
            <w:r w:rsidRPr="000D5771">
              <w:rPr>
                <w:sz w:val="20"/>
              </w:rPr>
              <w:tab/>
              <w:t>L'élaboration d'une méthode relative à l'examen par le Bureau de la conformité des stations ESIM aéronautiques non OSG aux limites de puissance surfacique pour protéger les services de Terre vis-à-vis des stations terriennes en mouvement doit être approuvée avant la fin de la Conférence.</w:t>
            </w:r>
          </w:p>
          <w:p w14:paraId="6CD83FDE"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9</w:t>
            </w:r>
            <w:r w:rsidRPr="000D5771">
              <w:rPr>
                <w:sz w:val="20"/>
              </w:rPr>
              <w:tab/>
              <w:t>La seule administration pouvant notifier une station ESIM est l'administration notificatrice du réseau à satellite non OSG avec lequel la station ESIM est appelée à communiquer.</w:t>
            </w:r>
          </w:p>
          <w:p w14:paraId="3F171ABD"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10</w:t>
            </w:r>
            <w:r w:rsidRPr="000D5771">
              <w:rPr>
                <w:sz w:val="20"/>
              </w:rPr>
              <w:tab/>
              <w:t>Les stations ESIM ont la capacité de limiter leur exploitation aux territoires des administrations pour lesquels une autorisation a été accordée pour une telle exploitation.</w:t>
            </w:r>
          </w:p>
          <w:p w14:paraId="74699E7F"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11</w:t>
            </w:r>
            <w:r w:rsidRPr="000D5771">
              <w:rPr>
                <w:sz w:val="20"/>
              </w:rPr>
              <w:tab/>
              <w:t>L'administration notificatrice est la seule administration responsable du règlement des cas signalés de plaintes en brouillage. Si plusieurs administrations ont notifié des satellites dans une seule et même constellation de satellites non OSG, chacune des administrations notificatrices est chargée de supprimer les brouillages inacceptables causés par des stations ESIM qui ont été autorisées à fonctionner.</w:t>
            </w:r>
          </w:p>
          <w:p w14:paraId="12F2662D"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12</w:t>
            </w:r>
            <w:r w:rsidRPr="000D5771">
              <w:rPr>
                <w:sz w:val="20"/>
              </w:rPr>
              <w:tab/>
              <w:t>Cette méthode ne doit pas imposer de nouvelles contraintes aux administrations ayant reçu une autorisation.</w:t>
            </w:r>
          </w:p>
          <w:p w14:paraId="78467F85"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13</w:t>
            </w:r>
            <w:r w:rsidRPr="000D5771">
              <w:rPr>
                <w:sz w:val="20"/>
              </w:rPr>
              <w:tab/>
              <w:t>Il faut définir des procédures détaillées applicables au mécanisme de gestion des brouillages, pour remédier aux brouillages causés par l'exploitation des stations terriennes en mouvement d'autres administrations, étant donné que plusieurs questions liées à l'exploitation des stations ESIM doivent encore être clarifiées et précisées dans le projet de nouvelle résolution concernant le mécanisme de gestion des brouillages et les fonctionnalités qu'il doit avoir.</w:t>
            </w:r>
          </w:p>
          <w:p w14:paraId="439713D7"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14</w:t>
            </w:r>
            <w:r w:rsidRPr="000D5771">
              <w:rPr>
                <w:sz w:val="20"/>
              </w:rPr>
              <w:tab/>
              <w:t>Le Bureau des radiocommunications publiera la liste des administrations notificatrices de systèmes OSG avec lesquels la station ESIM non OSG communique et des pays ayant autorisé l'utilisation de cette station ESIM pour contribuer à remédier aux brouillages. Cette liste serait fournie par l'administration notificatrice.</w:t>
            </w:r>
          </w:p>
          <w:p w14:paraId="15E10922"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752811A6" w14:textId="77777777" w:rsidR="00145930" w:rsidRPr="000D5771" w:rsidRDefault="00145930" w:rsidP="004B4875">
            <w:pPr>
              <w:pStyle w:val="TableText0"/>
              <w:spacing w:before="120"/>
              <w:rPr>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1D3A0544" w14:textId="77777777" w:rsidR="00145930" w:rsidRPr="000D5771" w:rsidRDefault="00145930" w:rsidP="004B4875">
            <w:pPr>
              <w:pStyle w:val="TableText0"/>
              <w:rPr>
                <w:sz w:val="20"/>
                <w:szCs w:val="20"/>
                <w:lang w:val="fr-FR"/>
              </w:rPr>
            </w:pPr>
            <w:r w:rsidRPr="000D5771">
              <w:rPr>
                <w:sz w:val="20"/>
                <w:szCs w:val="20"/>
                <w:lang w:val="fr-FR"/>
              </w:rPr>
              <w:t>d'</w:t>
            </w:r>
            <w:r w:rsidRPr="000D5771">
              <w:rPr>
                <w:b/>
                <w:bCs/>
                <w:sz w:val="20"/>
                <w:szCs w:val="20"/>
                <w:lang w:val="fr-FR"/>
              </w:rPr>
              <w:t>appuyer</w:t>
            </w:r>
            <w:r w:rsidRPr="000D5771">
              <w:rPr>
                <w:sz w:val="20"/>
                <w:szCs w:val="20"/>
                <w:lang w:val="fr-FR"/>
              </w:rPr>
              <w:t xml:space="preserve"> la proposition africaine commune (Méthode B) relative à ce point de l'ordre du jour, à condition que le projet de nouvelle Résolution relevant de la Méthode B satisfasse à toutes les conditions susmentionnées.</w:t>
            </w:r>
          </w:p>
        </w:tc>
      </w:tr>
      <w:tr w:rsidR="00145930" w:rsidRPr="000D5771" w14:paraId="165E3840" w14:textId="77777777" w:rsidTr="004B4875">
        <w:trPr>
          <w:trHeight w:val="2545"/>
        </w:trPr>
        <w:tc>
          <w:tcPr>
            <w:tcW w:w="2972" w:type="dxa"/>
            <w:tcBorders>
              <w:top w:val="single" w:sz="4" w:space="0" w:color="auto"/>
            </w:tcBorders>
          </w:tcPr>
          <w:p w14:paraId="602181D7"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1.17</w:t>
            </w:r>
          </w:p>
          <w:p w14:paraId="007F02BB" w14:textId="77777777" w:rsidR="00145930" w:rsidRPr="000D5771" w:rsidRDefault="00145930" w:rsidP="004B4875">
            <w:pPr>
              <w:pStyle w:val="TableText0"/>
              <w:spacing w:before="120"/>
              <w:rPr>
                <w:b/>
                <w:sz w:val="20"/>
                <w:szCs w:val="20"/>
                <w:lang w:val="fr-FR"/>
              </w:rPr>
            </w:pPr>
            <w:r w:rsidRPr="000D5771">
              <w:rPr>
                <w:bCs/>
                <w:iCs/>
                <w:sz w:val="20"/>
                <w:szCs w:val="20"/>
                <w:lang w:val="fr-FR"/>
              </w:rPr>
              <w:t>Déterminer et prendre, sur la base des études menées par l'UIT-R conformément à la Résolution </w:t>
            </w:r>
            <w:r w:rsidRPr="000D5771">
              <w:rPr>
                <w:b/>
                <w:bCs/>
                <w:iCs/>
                <w:sz w:val="20"/>
                <w:szCs w:val="20"/>
                <w:lang w:val="fr-FR"/>
              </w:rPr>
              <w:t>773 (CMR-19)</w:t>
            </w:r>
            <w:r w:rsidRPr="000D5771">
              <w:rPr>
                <w:bCs/>
                <w:iCs/>
                <w:sz w:val="20"/>
                <w:szCs w:val="20"/>
                <w:lang w:val="fr-FR"/>
              </w:rPr>
              <w:t>, les mesures réglementaires qui conviennent concernant l'établissement de liaisons inter</w:t>
            </w:r>
            <w:r w:rsidRPr="000D5771">
              <w:rPr>
                <w:bCs/>
                <w:iCs/>
                <w:sz w:val="20"/>
                <w:szCs w:val="20"/>
                <w:lang w:val="fr-FR"/>
              </w:rPr>
              <w:noBreakHyphen/>
              <w:t>satellites dans certaines bandes de fréquences, ou dans des parties de ces bandes, en ajoutant une attribution au service inter</w:t>
            </w:r>
            <w:r w:rsidRPr="000D5771">
              <w:rPr>
                <w:bCs/>
                <w:iCs/>
                <w:sz w:val="20"/>
                <w:szCs w:val="20"/>
                <w:lang w:val="fr-FR"/>
              </w:rPr>
              <w:noBreakHyphen/>
              <w:t>satellites, s'il y a lieu</w:t>
            </w:r>
          </w:p>
        </w:tc>
        <w:tc>
          <w:tcPr>
            <w:tcW w:w="7174" w:type="dxa"/>
          </w:tcPr>
          <w:p w14:paraId="23986972"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29120605" w14:textId="77777777" w:rsidR="00145930" w:rsidRPr="000D5771" w:rsidRDefault="00145930" w:rsidP="004B4875">
            <w:pPr>
              <w:pStyle w:val="enumlev1"/>
              <w:keepLines/>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Appuyer la Méthode B</w:t>
            </w:r>
            <w:r w:rsidRPr="000D5771">
              <w:rPr>
                <w:sz w:val="20"/>
              </w:rPr>
              <w:t xml:space="preserve"> comme suit.</w:t>
            </w:r>
          </w:p>
          <w:p w14:paraId="337DB75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Convenir</w:t>
            </w:r>
            <w:r w:rsidRPr="000D5771">
              <w:rPr>
                <w:sz w:val="20"/>
              </w:rPr>
              <w:t xml:space="preserve"> qu'un cadre réglementaire devrait être élaboré pour assurer la protection des services dans la bande de fréquences et dans les bandes de fréquences adjacentes auxquels sont attribuées les bandes de fréquences visées dans ce point de l'ordre du jour, et notamment la protection des systèmes existants et futurs du SFS. Cette position repose sur les conditions suivantes:</w:t>
            </w:r>
          </w:p>
          <w:p w14:paraId="78F015D4"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a)</w:t>
            </w:r>
            <w:r w:rsidRPr="000D5771">
              <w:rPr>
                <w:sz w:val="20"/>
              </w:rPr>
              <w:tab/>
              <w:t>S'agissant du type d'attribution:</w:t>
            </w:r>
          </w:p>
          <w:p w14:paraId="2D826090" w14:textId="77777777" w:rsidR="00145930" w:rsidRPr="000D5771" w:rsidRDefault="00145930" w:rsidP="004B4875">
            <w:pPr>
              <w:pStyle w:val="enumlev2"/>
              <w:tabs>
                <w:tab w:val="clear" w:pos="1134"/>
                <w:tab w:val="clear" w:pos="1871"/>
                <w:tab w:val="left" w:pos="886"/>
              </w:tabs>
              <w:spacing w:before="40"/>
              <w:ind w:left="886" w:hanging="425"/>
              <w:rPr>
                <w:i/>
                <w:iCs/>
                <w:sz w:val="20"/>
              </w:rPr>
            </w:pPr>
            <w:r w:rsidRPr="000D5771">
              <w:rPr>
                <w:sz w:val="20"/>
              </w:rPr>
              <w:tab/>
            </w:r>
            <w:r w:rsidRPr="000D5771">
              <w:rPr>
                <w:i/>
                <w:iCs/>
                <w:sz w:val="20"/>
              </w:rPr>
              <w:t xml:space="preserve">Variante du SFS/SIS: </w:t>
            </w:r>
            <w:r w:rsidRPr="000D5771">
              <w:rPr>
                <w:sz w:val="20"/>
              </w:rPr>
              <w:t>appuyer la Variante du SIS</w:t>
            </w:r>
          </w:p>
          <w:p w14:paraId="7DBF3DD0"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ab/>
              <w:t>Exclusion de l'utilisation de la bande Ku pour les liaisons inter-satellites</w:t>
            </w:r>
          </w:p>
          <w:p w14:paraId="2CB35C09"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b)</w:t>
            </w:r>
            <w:r w:rsidRPr="000D5771">
              <w:rPr>
                <w:sz w:val="20"/>
              </w:rPr>
              <w:tab/>
              <w:t>Appuyer le concept d'exploitation «à l'intérieur du cône de couverture».</w:t>
            </w:r>
          </w:p>
          <w:p w14:paraId="77DE8854"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c)</w:t>
            </w:r>
            <w:r w:rsidRPr="000D5771">
              <w:rPr>
                <w:sz w:val="20"/>
              </w:rPr>
              <w:tab/>
              <w:t>Mécanismes de partage avec les systèmes du SFS non OSG:</w:t>
            </w:r>
          </w:p>
          <w:p w14:paraId="2F20EE29" w14:textId="77777777" w:rsidR="00145930" w:rsidRPr="000D5771" w:rsidRDefault="00145930" w:rsidP="004B4875">
            <w:pPr>
              <w:pStyle w:val="enumlev2"/>
              <w:tabs>
                <w:tab w:val="clear" w:pos="1134"/>
                <w:tab w:val="clear" w:pos="1871"/>
                <w:tab w:val="left" w:pos="886"/>
              </w:tabs>
              <w:spacing w:before="40"/>
              <w:ind w:left="886" w:hanging="425"/>
              <w:rPr>
                <w:i/>
                <w:iCs/>
                <w:sz w:val="20"/>
              </w:rPr>
            </w:pPr>
            <w:r w:rsidRPr="000D5771">
              <w:rPr>
                <w:sz w:val="20"/>
              </w:rPr>
              <w:lastRenderedPageBreak/>
              <w:tab/>
            </w:r>
            <w:r w:rsidRPr="000D5771">
              <w:rPr>
                <w:i/>
                <w:iCs/>
                <w:sz w:val="20"/>
              </w:rPr>
              <w:t>Variante avec des limites strictes applicables au SFS non OSG</w:t>
            </w:r>
          </w:p>
          <w:p w14:paraId="1D5D6740"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d)</w:t>
            </w:r>
            <w:r w:rsidRPr="000D5771">
              <w:rPr>
                <w:sz w:val="20"/>
              </w:rPr>
              <w:tab/>
              <w:t>S'agissant des mécanismes de protection pour les services existants:</w:t>
            </w:r>
            <w:bookmarkStart w:id="13" w:name="lt_pId366"/>
          </w:p>
          <w:p w14:paraId="234EB940" w14:textId="77777777" w:rsidR="00145930" w:rsidRPr="000D5771" w:rsidRDefault="00145930" w:rsidP="004B4875">
            <w:pPr>
              <w:pStyle w:val="enumlev3"/>
              <w:tabs>
                <w:tab w:val="clear" w:pos="1134"/>
                <w:tab w:val="left" w:pos="1170"/>
              </w:tabs>
              <w:spacing w:before="40"/>
              <w:ind w:left="1170" w:hanging="284"/>
              <w:rPr>
                <w:sz w:val="20"/>
              </w:rPr>
            </w:pPr>
            <w:r w:rsidRPr="000D5771">
              <w:rPr>
                <w:rFonts w:eastAsia="Calibri"/>
                <w:sz w:val="20"/>
              </w:rPr>
              <w:t>•</w:t>
            </w:r>
            <w:r w:rsidRPr="000D5771">
              <w:rPr>
                <w:rFonts w:eastAsia="Calibri"/>
                <w:sz w:val="20"/>
              </w:rPr>
              <w:tab/>
              <w:t>Annexe 1:</w:t>
            </w:r>
            <w:bookmarkStart w:id="14" w:name="lt_pId367"/>
            <w:bookmarkEnd w:id="13"/>
            <w:r w:rsidRPr="000D5771">
              <w:rPr>
                <w:sz w:val="20"/>
              </w:rPr>
              <w:t xml:space="preserve"> </w:t>
            </w:r>
            <w:r w:rsidRPr="000D5771">
              <w:rPr>
                <w:rFonts w:eastAsia="Calibri"/>
                <w:sz w:val="20"/>
              </w:rPr>
              <w:t>aucun problème ne se pose en ce qui concerne les formules, car elles ont toutes été approuvées.</w:t>
            </w:r>
          </w:p>
          <w:p w14:paraId="1E258C2B" w14:textId="77777777" w:rsidR="00145930" w:rsidRPr="000D5771" w:rsidRDefault="00145930" w:rsidP="004B4875">
            <w:pPr>
              <w:pStyle w:val="enumlev3"/>
              <w:tabs>
                <w:tab w:val="clear" w:pos="1134"/>
                <w:tab w:val="left" w:pos="1170"/>
              </w:tabs>
              <w:spacing w:before="40"/>
              <w:ind w:left="1170" w:hanging="284"/>
              <w:rPr>
                <w:sz w:val="20"/>
              </w:rPr>
            </w:pPr>
            <w:r w:rsidRPr="000D5771">
              <w:rPr>
                <w:rFonts w:eastAsia="Calibri"/>
                <w:sz w:val="20"/>
              </w:rPr>
              <w:t>•</w:t>
            </w:r>
            <w:r w:rsidRPr="000D5771">
              <w:rPr>
                <w:rFonts w:eastAsia="Calibri"/>
                <w:sz w:val="20"/>
              </w:rPr>
              <w:tab/>
              <w:t>Annexe 2:</w:t>
            </w:r>
            <w:bookmarkStart w:id="15" w:name="lt_pId368"/>
            <w:bookmarkEnd w:id="14"/>
            <w:r w:rsidRPr="000D5771">
              <w:rPr>
                <w:rFonts w:eastAsia="Calibri"/>
                <w:sz w:val="20"/>
              </w:rPr>
              <w:t xml:space="preserve"> l'Option 2-2 est appuyée.</w:t>
            </w:r>
          </w:p>
          <w:p w14:paraId="217EFEC7" w14:textId="77777777" w:rsidR="00145930" w:rsidRPr="000D5771" w:rsidRDefault="00145930" w:rsidP="004B4875">
            <w:pPr>
              <w:pStyle w:val="enumlev3"/>
              <w:tabs>
                <w:tab w:val="clear" w:pos="1134"/>
                <w:tab w:val="left" w:pos="1170"/>
              </w:tabs>
              <w:spacing w:before="40"/>
              <w:ind w:left="1170" w:hanging="284"/>
              <w:rPr>
                <w:sz w:val="20"/>
              </w:rPr>
            </w:pPr>
            <w:r w:rsidRPr="000D5771">
              <w:rPr>
                <w:rFonts w:eastAsia="Calibri"/>
                <w:sz w:val="20"/>
              </w:rPr>
              <w:t>•</w:t>
            </w:r>
            <w:r w:rsidRPr="000D5771">
              <w:rPr>
                <w:rFonts w:eastAsia="Calibri"/>
                <w:sz w:val="20"/>
              </w:rPr>
              <w:tab/>
              <w:t>Annexe 3:</w:t>
            </w:r>
            <w:bookmarkStart w:id="16" w:name="lt_pId369"/>
            <w:bookmarkEnd w:id="15"/>
            <w:r w:rsidRPr="000D5771">
              <w:rPr>
                <w:sz w:val="20"/>
              </w:rPr>
              <w:t xml:space="preserve"> </w:t>
            </w:r>
            <w:r w:rsidRPr="000D5771">
              <w:rPr>
                <w:rFonts w:eastAsia="Calibri"/>
                <w:sz w:val="20"/>
              </w:rPr>
              <w:t>l'Option 1 est appuyée.</w:t>
            </w:r>
          </w:p>
          <w:p w14:paraId="2000D1C4"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sz w:val="20"/>
              </w:rPr>
              <w:t>•</w:t>
            </w:r>
            <w:r w:rsidRPr="000D5771">
              <w:rPr>
                <w:sz w:val="20"/>
              </w:rPr>
              <w:tab/>
            </w:r>
            <w:r w:rsidRPr="000D5771">
              <w:rPr>
                <w:rFonts w:eastAsia="Calibri"/>
                <w:sz w:val="20"/>
              </w:rPr>
              <w:t>Annexe 4:</w:t>
            </w:r>
            <w:bookmarkEnd w:id="16"/>
            <w:r w:rsidRPr="000D5771">
              <w:rPr>
                <w:sz w:val="20"/>
              </w:rPr>
              <w:t xml:space="preserve"> </w:t>
            </w:r>
            <w:r w:rsidRPr="000D5771">
              <w:rPr>
                <w:rFonts w:eastAsia="Calibri"/>
                <w:sz w:val="20"/>
              </w:rPr>
              <w:t>l'Option 2 est appuyée.</w:t>
            </w:r>
          </w:p>
          <w:p w14:paraId="5A7C0BE4" w14:textId="77777777" w:rsidR="00145930" w:rsidRPr="000D5771" w:rsidRDefault="00145930" w:rsidP="004B4875">
            <w:pPr>
              <w:pStyle w:val="enumlev3"/>
              <w:tabs>
                <w:tab w:val="clear" w:pos="1134"/>
                <w:tab w:val="left" w:pos="1170"/>
              </w:tabs>
              <w:spacing w:before="40"/>
              <w:ind w:left="1170" w:hanging="284"/>
              <w:rPr>
                <w:rFonts w:eastAsia="Calibri"/>
                <w:i/>
                <w:iCs/>
                <w:sz w:val="20"/>
              </w:rPr>
            </w:pPr>
            <w:r w:rsidRPr="000D5771">
              <w:rPr>
                <w:rFonts w:eastAsia="Calibri"/>
                <w:sz w:val="20"/>
              </w:rPr>
              <w:tab/>
            </w:r>
            <w:r w:rsidRPr="000D5771">
              <w:rPr>
                <w:rFonts w:eastAsia="Calibri"/>
                <w:i/>
                <w:iCs/>
                <w:sz w:val="20"/>
              </w:rPr>
              <w:t>Il est proposé de reconnaître que les limites de p.i.r.e. varient en fonction de l'altitude pour assurer la protection des réseaux existants contre d'éventuels dommages matériels, comme indiqué dans les tableaux ci-dessous, ainsi que d'ajouter des dispositions additionnelles, sous «invite l'UIT-R», pour l'examen des limites de p.i.r.e. propres à assurer la protection des systèmes du SFS non OSG contre les dommages matériels causés par les systèmes du SIS non OSG qu'il est prévu d'exploiter à des altitudes supérieures ou égales à 900 km et inférieures à 1 290 km, et charger le BR de faire rapport à la prochaine Conférence sur les progrès accomplis dans la révision des limites de p.i.r.e. à des altitudes supérieures ou égales à 900 km et inférieures à 1 290 km.</w:t>
            </w:r>
          </w:p>
          <w:p w14:paraId="63E112CD" w14:textId="77777777" w:rsidR="00145930" w:rsidRPr="000D5771" w:rsidRDefault="00145930" w:rsidP="004B4875">
            <w:pPr>
              <w:pStyle w:val="enumlev3"/>
              <w:tabs>
                <w:tab w:val="clear" w:pos="1134"/>
                <w:tab w:val="left" w:pos="1170"/>
              </w:tabs>
              <w:spacing w:before="40" w:after="120"/>
              <w:ind w:left="1170" w:hanging="284"/>
              <w:rPr>
                <w:rFonts w:eastAsia="Calibri"/>
                <w:i/>
                <w:iCs/>
                <w:sz w:val="20"/>
              </w:rPr>
            </w:pPr>
            <w:r w:rsidRPr="000D5771">
              <w:rPr>
                <w:rFonts w:eastAsia="Calibri"/>
                <w:i/>
                <w:iCs/>
                <w:sz w:val="20"/>
              </w:rPr>
              <w:tab/>
              <w:t>La densité spectrale de p.i.r.e. dans l'axe des émissions provenant d'une station spatiale non OSG émettant dans les bandes de fréquences 27,5</w:t>
            </w:r>
            <w:r w:rsidRPr="000D5771">
              <w:rPr>
                <w:rFonts w:eastAsia="Calibri"/>
                <w:i/>
                <w:iCs/>
                <w:sz w:val="20"/>
              </w:rPr>
              <w:noBreakHyphen/>
              <w:t>29,1 GHz et 29,5-30 GHz pour communiquer avec un système non OSG à une altitude de fonctionnement minimale supérieure à 2 000 km ne doit pas dépasser –20 dBW/Hz, et la p.i.r.e. totale d'une station spatiale non OSG ne doit pas dépasser les valeurs suivantes:</w:t>
            </w:r>
          </w:p>
          <w:tbl>
            <w:tblPr>
              <w:tblStyle w:val="TableGrid"/>
              <w:tblW w:w="0" w:type="auto"/>
              <w:jc w:val="center"/>
              <w:tblLayout w:type="fixed"/>
              <w:tblLook w:val="04A0" w:firstRow="1" w:lastRow="0" w:firstColumn="1" w:lastColumn="0" w:noHBand="0" w:noVBand="1"/>
            </w:tblPr>
            <w:tblGrid>
              <w:gridCol w:w="2641"/>
              <w:gridCol w:w="1710"/>
            </w:tblGrid>
            <w:tr w:rsidR="00145930" w:rsidRPr="000D5771" w14:paraId="785A3B0C" w14:textId="77777777" w:rsidTr="004B4875">
              <w:trPr>
                <w:jc w:val="center"/>
              </w:trPr>
              <w:tc>
                <w:tcPr>
                  <w:tcW w:w="4351" w:type="dxa"/>
                  <w:gridSpan w:val="2"/>
                  <w:vAlign w:val="center"/>
                </w:tcPr>
                <w:p w14:paraId="4C9B2EAB" w14:textId="77777777" w:rsidR="00145930" w:rsidRPr="000D5771" w:rsidRDefault="00145930" w:rsidP="004B4875">
                  <w:pPr>
                    <w:pStyle w:val="Tablehead"/>
                  </w:pPr>
                  <w:r w:rsidRPr="000D5771">
                    <w:t>Altitude de fonctionnement minimale supérieure à 2 000 km</w:t>
                  </w:r>
                </w:p>
              </w:tc>
            </w:tr>
            <w:tr w:rsidR="00145930" w:rsidRPr="000D5771" w14:paraId="1D4E7928" w14:textId="77777777" w:rsidTr="004B4875">
              <w:trPr>
                <w:jc w:val="center"/>
              </w:trPr>
              <w:tc>
                <w:tcPr>
                  <w:tcW w:w="2641" w:type="dxa"/>
                  <w:vAlign w:val="center"/>
                </w:tcPr>
                <w:p w14:paraId="38982EE6" w14:textId="77777777" w:rsidR="00145930" w:rsidRPr="000D5771" w:rsidRDefault="00145930" w:rsidP="004B4875">
                  <w:pPr>
                    <w:pStyle w:val="Tablehead"/>
                    <w:rPr>
                      <w:rFonts w:ascii="Times New Roman Bold" w:hAnsi="Times New Roman Bold" w:cs="Times New Roman Bold"/>
                    </w:rPr>
                  </w:pPr>
                  <w:r w:rsidRPr="000D5771">
                    <w:t>Altitude de fonctionnement de la station spatiale non OSG d'émission</w:t>
                  </w:r>
                  <w:r w:rsidRPr="000D5771" w:rsidDel="00CB0EE4">
                    <w:t xml:space="preserve"> </w:t>
                  </w:r>
                  <w:r w:rsidRPr="000D5771">
                    <w:t>(km)</w:t>
                  </w:r>
                </w:p>
              </w:tc>
              <w:tc>
                <w:tcPr>
                  <w:tcW w:w="1710" w:type="dxa"/>
                  <w:vAlign w:val="center"/>
                </w:tcPr>
                <w:p w14:paraId="414C0AFE" w14:textId="77777777" w:rsidR="00145930" w:rsidRPr="000D5771" w:rsidRDefault="00145930" w:rsidP="004B4875">
                  <w:pPr>
                    <w:pStyle w:val="Tablehead"/>
                    <w:rPr>
                      <w:rFonts w:ascii="Times New Roman Bold" w:hAnsi="Times New Roman Bold" w:cs="Times New Roman Bold"/>
                    </w:rPr>
                  </w:pPr>
                  <w:r w:rsidRPr="000D5771">
                    <w:t>p.i.r.e. totale maximale (dBW)</w:t>
                  </w:r>
                </w:p>
              </w:tc>
            </w:tr>
            <w:tr w:rsidR="00145930" w:rsidRPr="000D5771" w14:paraId="5BA85CDE" w14:textId="77777777" w:rsidTr="004B4875">
              <w:trPr>
                <w:jc w:val="center"/>
              </w:trPr>
              <w:tc>
                <w:tcPr>
                  <w:tcW w:w="2641" w:type="dxa"/>
                  <w:vAlign w:val="center"/>
                </w:tcPr>
                <w:p w14:paraId="668AC6ED" w14:textId="77777777" w:rsidR="00145930" w:rsidRPr="000D5771" w:rsidRDefault="00145930" w:rsidP="004B4875">
                  <w:pPr>
                    <w:pStyle w:val="Tabletext"/>
                    <w:jc w:val="center"/>
                  </w:pPr>
                  <w:r w:rsidRPr="000D5771">
                    <w:t>altitude &lt; 450</w:t>
                  </w:r>
                </w:p>
              </w:tc>
              <w:tc>
                <w:tcPr>
                  <w:tcW w:w="1710" w:type="dxa"/>
                  <w:vAlign w:val="center"/>
                </w:tcPr>
                <w:p w14:paraId="74FE524D" w14:textId="77777777" w:rsidR="00145930" w:rsidRPr="000D5771" w:rsidRDefault="00145930" w:rsidP="004B4875">
                  <w:pPr>
                    <w:pStyle w:val="Tabletext"/>
                    <w:jc w:val="center"/>
                  </w:pPr>
                  <w:r w:rsidRPr="000D5771">
                    <w:t>63</w:t>
                  </w:r>
                </w:p>
              </w:tc>
            </w:tr>
            <w:tr w:rsidR="00145930" w:rsidRPr="000D5771" w14:paraId="0C2BC9E5" w14:textId="77777777" w:rsidTr="004B4875">
              <w:trPr>
                <w:jc w:val="center"/>
              </w:trPr>
              <w:tc>
                <w:tcPr>
                  <w:tcW w:w="2641" w:type="dxa"/>
                  <w:vAlign w:val="center"/>
                </w:tcPr>
                <w:p w14:paraId="64FF8517" w14:textId="77777777" w:rsidR="00145930" w:rsidRPr="000D5771" w:rsidRDefault="00145930" w:rsidP="004B4875">
                  <w:pPr>
                    <w:pStyle w:val="Tabletext"/>
                    <w:jc w:val="center"/>
                  </w:pPr>
                  <w:r w:rsidRPr="000D5771">
                    <w:t>450 ≤ altitude &lt; 600</w:t>
                  </w:r>
                </w:p>
              </w:tc>
              <w:tc>
                <w:tcPr>
                  <w:tcW w:w="1710" w:type="dxa"/>
                  <w:vAlign w:val="center"/>
                </w:tcPr>
                <w:p w14:paraId="39A1B865" w14:textId="77777777" w:rsidR="00145930" w:rsidRPr="000D5771" w:rsidRDefault="00145930" w:rsidP="004B4875">
                  <w:pPr>
                    <w:pStyle w:val="Tabletext"/>
                    <w:jc w:val="center"/>
                  </w:pPr>
                  <w:r w:rsidRPr="000D5771">
                    <w:t>61</w:t>
                  </w:r>
                </w:p>
              </w:tc>
            </w:tr>
            <w:tr w:rsidR="00145930" w:rsidRPr="000D5771" w14:paraId="08D62578" w14:textId="77777777" w:rsidTr="004B4875">
              <w:trPr>
                <w:jc w:val="center"/>
              </w:trPr>
              <w:tc>
                <w:tcPr>
                  <w:tcW w:w="2641" w:type="dxa"/>
                  <w:vAlign w:val="center"/>
                </w:tcPr>
                <w:p w14:paraId="06ED0972" w14:textId="77777777" w:rsidR="00145930" w:rsidRPr="000D5771" w:rsidRDefault="00145930" w:rsidP="004B4875">
                  <w:pPr>
                    <w:pStyle w:val="Tabletext"/>
                    <w:jc w:val="center"/>
                  </w:pPr>
                  <w:r w:rsidRPr="000D5771">
                    <w:t>600 ≤ altitude &lt; 750</w:t>
                  </w:r>
                </w:p>
              </w:tc>
              <w:tc>
                <w:tcPr>
                  <w:tcW w:w="1710" w:type="dxa"/>
                  <w:vAlign w:val="center"/>
                </w:tcPr>
                <w:p w14:paraId="4E90172E" w14:textId="77777777" w:rsidR="00145930" w:rsidRPr="000D5771" w:rsidRDefault="00145930" w:rsidP="004B4875">
                  <w:pPr>
                    <w:pStyle w:val="Tabletext"/>
                    <w:jc w:val="center"/>
                  </w:pPr>
                  <w:r w:rsidRPr="000D5771">
                    <w:t>58</w:t>
                  </w:r>
                </w:p>
              </w:tc>
            </w:tr>
            <w:tr w:rsidR="00145930" w:rsidRPr="000D5771" w14:paraId="7DEEB397" w14:textId="77777777" w:rsidTr="004B4875">
              <w:trPr>
                <w:jc w:val="center"/>
              </w:trPr>
              <w:tc>
                <w:tcPr>
                  <w:tcW w:w="2641" w:type="dxa"/>
                  <w:vAlign w:val="center"/>
                </w:tcPr>
                <w:p w14:paraId="1A681356" w14:textId="77777777" w:rsidR="00145930" w:rsidRPr="000D5771" w:rsidRDefault="00145930" w:rsidP="004B4875">
                  <w:pPr>
                    <w:pStyle w:val="Tabletext"/>
                    <w:jc w:val="center"/>
                  </w:pPr>
                  <w:r w:rsidRPr="000D5771">
                    <w:t>750 ≤ altitude &lt; 900</w:t>
                  </w:r>
                </w:p>
              </w:tc>
              <w:tc>
                <w:tcPr>
                  <w:tcW w:w="1710" w:type="dxa"/>
                  <w:vAlign w:val="center"/>
                </w:tcPr>
                <w:p w14:paraId="25BA7A33" w14:textId="77777777" w:rsidR="00145930" w:rsidRPr="000D5771" w:rsidRDefault="00145930" w:rsidP="004B4875">
                  <w:pPr>
                    <w:pStyle w:val="Tabletext"/>
                    <w:jc w:val="center"/>
                  </w:pPr>
                  <w:r w:rsidRPr="000D5771">
                    <w:t>55</w:t>
                  </w:r>
                </w:p>
              </w:tc>
            </w:tr>
            <w:tr w:rsidR="00145930" w:rsidRPr="000D5771" w14:paraId="11A82F51" w14:textId="77777777" w:rsidTr="004B4875">
              <w:trPr>
                <w:jc w:val="center"/>
              </w:trPr>
              <w:tc>
                <w:tcPr>
                  <w:tcW w:w="2641" w:type="dxa"/>
                  <w:vAlign w:val="center"/>
                </w:tcPr>
                <w:p w14:paraId="496CA97B" w14:textId="77777777" w:rsidR="00145930" w:rsidRPr="000D5771" w:rsidRDefault="00145930" w:rsidP="004B4875">
                  <w:pPr>
                    <w:pStyle w:val="Tabletext"/>
                    <w:jc w:val="center"/>
                  </w:pPr>
                  <w:r w:rsidRPr="000D5771">
                    <w:t>900 ≤ altitude &lt; 1 290</w:t>
                  </w:r>
                </w:p>
              </w:tc>
              <w:tc>
                <w:tcPr>
                  <w:tcW w:w="1710" w:type="dxa"/>
                  <w:vAlign w:val="center"/>
                </w:tcPr>
                <w:p w14:paraId="68AEB6D0" w14:textId="77777777" w:rsidR="00145930" w:rsidRPr="000D5771" w:rsidRDefault="00145930" w:rsidP="004B4875">
                  <w:pPr>
                    <w:pStyle w:val="Tabletext"/>
                    <w:jc w:val="center"/>
                  </w:pPr>
                  <w:r w:rsidRPr="000D5771">
                    <w:t>Sans objet</w:t>
                  </w:r>
                </w:p>
              </w:tc>
            </w:tr>
            <w:tr w:rsidR="00145930" w:rsidRPr="000D5771" w14:paraId="186934DB" w14:textId="77777777" w:rsidTr="004B4875">
              <w:trPr>
                <w:jc w:val="center"/>
              </w:trPr>
              <w:tc>
                <w:tcPr>
                  <w:tcW w:w="2641" w:type="dxa"/>
                  <w:vAlign w:val="center"/>
                </w:tcPr>
                <w:p w14:paraId="7C2C0386" w14:textId="77777777" w:rsidR="00145930" w:rsidRPr="000D5771" w:rsidRDefault="00145930" w:rsidP="004B4875">
                  <w:pPr>
                    <w:pStyle w:val="Tabletext"/>
                    <w:jc w:val="center"/>
                  </w:pPr>
                  <w:r w:rsidRPr="000D5771">
                    <w:t>altitude ≥ 1 290</w:t>
                  </w:r>
                </w:p>
              </w:tc>
              <w:tc>
                <w:tcPr>
                  <w:tcW w:w="1710" w:type="dxa"/>
                  <w:vAlign w:val="center"/>
                </w:tcPr>
                <w:p w14:paraId="3F90285C" w14:textId="77777777" w:rsidR="00145930" w:rsidRPr="000D5771" w:rsidRDefault="00145930" w:rsidP="004B4875">
                  <w:pPr>
                    <w:pStyle w:val="Tabletext"/>
                    <w:jc w:val="center"/>
                  </w:pPr>
                  <w:r w:rsidRPr="000D5771">
                    <w:t>Sans objet</w:t>
                  </w:r>
                </w:p>
              </w:tc>
            </w:tr>
          </w:tbl>
          <w:p w14:paraId="171D6A76" w14:textId="77777777" w:rsidR="00145930" w:rsidRPr="000D5771" w:rsidRDefault="00145930" w:rsidP="004B4875">
            <w:pPr>
              <w:pStyle w:val="enumlev3"/>
              <w:tabs>
                <w:tab w:val="clear" w:pos="1134"/>
                <w:tab w:val="left" w:pos="1170"/>
              </w:tabs>
              <w:spacing w:before="120" w:after="120"/>
              <w:ind w:left="1170" w:hanging="284"/>
              <w:rPr>
                <w:rFonts w:eastAsia="Calibri"/>
                <w:i/>
                <w:iCs/>
                <w:sz w:val="20"/>
              </w:rPr>
            </w:pPr>
            <w:r w:rsidRPr="000D5771">
              <w:rPr>
                <w:rFonts w:eastAsia="Calibri"/>
                <w:i/>
                <w:iCs/>
                <w:sz w:val="20"/>
              </w:rPr>
              <w:tab/>
              <w:t>La densité spectrale de p.i.r.e. dans l'axe des émissions provenant d'une station spatiale non OSG émettant dans les bandes de fréquences 27,5</w:t>
            </w:r>
            <w:r w:rsidRPr="000D5771">
              <w:rPr>
                <w:rFonts w:eastAsia="Calibri"/>
                <w:i/>
                <w:iCs/>
                <w:sz w:val="20"/>
              </w:rPr>
              <w:noBreakHyphen/>
              <w:t>29,1 GHz et 29,5-30 GHz pour communiquer avec un système non OSG à une altitude de fonctionnement minimale inférieure à 2 000 km ne doit pas dépasser –30 dBW/Hz, et la p.i.r.e. totale d'une station spatiale non OSG ne doit pas dépasser les valeurs suivantes:</w:t>
            </w:r>
          </w:p>
          <w:tbl>
            <w:tblPr>
              <w:tblStyle w:val="TableGrid"/>
              <w:tblW w:w="0" w:type="auto"/>
              <w:jc w:val="center"/>
              <w:tblLayout w:type="fixed"/>
              <w:tblLook w:val="04A0" w:firstRow="1" w:lastRow="0" w:firstColumn="1" w:lastColumn="0" w:noHBand="0" w:noVBand="1"/>
            </w:tblPr>
            <w:tblGrid>
              <w:gridCol w:w="2641"/>
              <w:gridCol w:w="1710"/>
            </w:tblGrid>
            <w:tr w:rsidR="00145930" w:rsidRPr="000D5771" w14:paraId="6C6885DC" w14:textId="77777777" w:rsidTr="004B4875">
              <w:trPr>
                <w:cantSplit/>
                <w:jc w:val="center"/>
              </w:trPr>
              <w:tc>
                <w:tcPr>
                  <w:tcW w:w="4351" w:type="dxa"/>
                  <w:gridSpan w:val="2"/>
                  <w:vAlign w:val="center"/>
                </w:tcPr>
                <w:p w14:paraId="5E89ED7C" w14:textId="77777777" w:rsidR="00145930" w:rsidRPr="000D5771" w:rsidRDefault="00145930" w:rsidP="004B4875">
                  <w:pPr>
                    <w:pStyle w:val="Tablehead"/>
                  </w:pPr>
                  <w:r w:rsidRPr="000D5771">
                    <w:t>Altitude de fonctionnement minimale inférieure à 2 000 km</w:t>
                  </w:r>
                </w:p>
              </w:tc>
            </w:tr>
            <w:tr w:rsidR="00145930" w:rsidRPr="000D5771" w14:paraId="6970A56E" w14:textId="77777777" w:rsidTr="004B4875">
              <w:trPr>
                <w:cantSplit/>
                <w:jc w:val="center"/>
              </w:trPr>
              <w:tc>
                <w:tcPr>
                  <w:tcW w:w="2641" w:type="dxa"/>
                  <w:vAlign w:val="center"/>
                </w:tcPr>
                <w:p w14:paraId="00E444A2" w14:textId="77777777" w:rsidR="00145930" w:rsidRPr="000D5771" w:rsidRDefault="00145930" w:rsidP="004B4875">
                  <w:pPr>
                    <w:pStyle w:val="Tablehead"/>
                    <w:rPr>
                      <w:rFonts w:ascii="Times New Roman Bold" w:hAnsi="Times New Roman Bold" w:cs="Times New Roman Bold"/>
                    </w:rPr>
                  </w:pPr>
                  <w:r w:rsidRPr="000D5771">
                    <w:t>Altitude de fonctionnement de la station spatiale non OSG d'émission</w:t>
                  </w:r>
                  <w:r w:rsidRPr="000D5771" w:rsidDel="00CB0EE4">
                    <w:t xml:space="preserve"> </w:t>
                  </w:r>
                  <w:r w:rsidRPr="000D5771">
                    <w:t>(km)</w:t>
                  </w:r>
                </w:p>
              </w:tc>
              <w:tc>
                <w:tcPr>
                  <w:tcW w:w="1710" w:type="dxa"/>
                  <w:vAlign w:val="center"/>
                </w:tcPr>
                <w:p w14:paraId="5029AA21" w14:textId="77777777" w:rsidR="00145930" w:rsidRPr="000D5771" w:rsidRDefault="00145930" w:rsidP="004B4875">
                  <w:pPr>
                    <w:pStyle w:val="Tablehead"/>
                    <w:rPr>
                      <w:rFonts w:ascii="Times New Roman Bold" w:hAnsi="Times New Roman Bold" w:cs="Times New Roman Bold"/>
                    </w:rPr>
                  </w:pPr>
                  <w:r w:rsidRPr="000D5771">
                    <w:t>p.i.r.e. totale maximale (dBW)</w:t>
                  </w:r>
                </w:p>
              </w:tc>
            </w:tr>
            <w:tr w:rsidR="00145930" w:rsidRPr="000D5771" w14:paraId="20E599E3" w14:textId="77777777" w:rsidTr="004B4875">
              <w:trPr>
                <w:cantSplit/>
                <w:jc w:val="center"/>
              </w:trPr>
              <w:tc>
                <w:tcPr>
                  <w:tcW w:w="2641" w:type="dxa"/>
                  <w:vAlign w:val="center"/>
                </w:tcPr>
                <w:p w14:paraId="2187526B" w14:textId="77777777" w:rsidR="00145930" w:rsidRPr="000D5771" w:rsidRDefault="00145930" w:rsidP="004B4875">
                  <w:pPr>
                    <w:pStyle w:val="Tabletext"/>
                    <w:jc w:val="center"/>
                  </w:pPr>
                  <w:r w:rsidRPr="000D5771">
                    <w:t>altitude &lt; 450</w:t>
                  </w:r>
                </w:p>
              </w:tc>
              <w:tc>
                <w:tcPr>
                  <w:tcW w:w="1710" w:type="dxa"/>
                  <w:vAlign w:val="center"/>
                </w:tcPr>
                <w:p w14:paraId="5F718419" w14:textId="77777777" w:rsidR="00145930" w:rsidRPr="000D5771" w:rsidRDefault="00145930" w:rsidP="004B4875">
                  <w:pPr>
                    <w:pStyle w:val="Tabletext"/>
                    <w:jc w:val="center"/>
                  </w:pPr>
                  <w:r w:rsidRPr="000D5771">
                    <w:t>60</w:t>
                  </w:r>
                </w:p>
              </w:tc>
            </w:tr>
            <w:tr w:rsidR="00145930" w:rsidRPr="000D5771" w14:paraId="41D78F4A" w14:textId="77777777" w:rsidTr="004B4875">
              <w:trPr>
                <w:cantSplit/>
                <w:jc w:val="center"/>
              </w:trPr>
              <w:tc>
                <w:tcPr>
                  <w:tcW w:w="2641" w:type="dxa"/>
                  <w:vAlign w:val="center"/>
                </w:tcPr>
                <w:p w14:paraId="234D5509" w14:textId="77777777" w:rsidR="00145930" w:rsidRPr="000D5771" w:rsidRDefault="00145930" w:rsidP="004B4875">
                  <w:pPr>
                    <w:pStyle w:val="Tabletext"/>
                    <w:jc w:val="center"/>
                  </w:pPr>
                  <w:r w:rsidRPr="000D5771">
                    <w:t>450 ≤ altitude &lt; 600</w:t>
                  </w:r>
                </w:p>
              </w:tc>
              <w:tc>
                <w:tcPr>
                  <w:tcW w:w="1710" w:type="dxa"/>
                  <w:vAlign w:val="center"/>
                </w:tcPr>
                <w:p w14:paraId="68C3FD41" w14:textId="77777777" w:rsidR="00145930" w:rsidRPr="000D5771" w:rsidRDefault="00145930" w:rsidP="004B4875">
                  <w:pPr>
                    <w:pStyle w:val="Tabletext"/>
                    <w:jc w:val="center"/>
                  </w:pPr>
                  <w:r w:rsidRPr="000D5771">
                    <w:t>58</w:t>
                  </w:r>
                </w:p>
              </w:tc>
            </w:tr>
            <w:tr w:rsidR="00145930" w:rsidRPr="000D5771" w14:paraId="585F6603" w14:textId="77777777" w:rsidTr="004B4875">
              <w:trPr>
                <w:cantSplit/>
                <w:jc w:val="center"/>
              </w:trPr>
              <w:tc>
                <w:tcPr>
                  <w:tcW w:w="2641" w:type="dxa"/>
                  <w:vAlign w:val="center"/>
                </w:tcPr>
                <w:p w14:paraId="05A0DA36" w14:textId="77777777" w:rsidR="00145930" w:rsidRPr="000D5771" w:rsidRDefault="00145930" w:rsidP="004B4875">
                  <w:pPr>
                    <w:pStyle w:val="Tabletext"/>
                    <w:jc w:val="center"/>
                  </w:pPr>
                  <w:r w:rsidRPr="000D5771">
                    <w:t>600 ≤ altitude &lt; 750</w:t>
                  </w:r>
                </w:p>
              </w:tc>
              <w:tc>
                <w:tcPr>
                  <w:tcW w:w="1710" w:type="dxa"/>
                  <w:vAlign w:val="center"/>
                </w:tcPr>
                <w:p w14:paraId="06DFF24F" w14:textId="77777777" w:rsidR="00145930" w:rsidRPr="000D5771" w:rsidRDefault="00145930" w:rsidP="004B4875">
                  <w:pPr>
                    <w:pStyle w:val="Tabletext"/>
                    <w:jc w:val="center"/>
                  </w:pPr>
                  <w:r w:rsidRPr="000D5771">
                    <w:t>55</w:t>
                  </w:r>
                </w:p>
              </w:tc>
            </w:tr>
            <w:tr w:rsidR="00145930" w:rsidRPr="000D5771" w14:paraId="108D7229" w14:textId="77777777" w:rsidTr="004B4875">
              <w:trPr>
                <w:cantSplit/>
                <w:jc w:val="center"/>
              </w:trPr>
              <w:tc>
                <w:tcPr>
                  <w:tcW w:w="2641" w:type="dxa"/>
                  <w:vAlign w:val="center"/>
                </w:tcPr>
                <w:p w14:paraId="5ED96C76" w14:textId="77777777" w:rsidR="00145930" w:rsidRPr="000D5771" w:rsidRDefault="00145930" w:rsidP="004B4875">
                  <w:pPr>
                    <w:pStyle w:val="Tabletext"/>
                    <w:jc w:val="center"/>
                  </w:pPr>
                  <w:r w:rsidRPr="000D5771">
                    <w:lastRenderedPageBreak/>
                    <w:t>750 ≤ altitude &lt; 900</w:t>
                  </w:r>
                </w:p>
              </w:tc>
              <w:tc>
                <w:tcPr>
                  <w:tcW w:w="1710" w:type="dxa"/>
                  <w:vAlign w:val="center"/>
                </w:tcPr>
                <w:p w14:paraId="5622CFDF" w14:textId="77777777" w:rsidR="00145930" w:rsidRPr="000D5771" w:rsidRDefault="00145930" w:rsidP="004B4875">
                  <w:pPr>
                    <w:pStyle w:val="Tabletext"/>
                    <w:jc w:val="center"/>
                  </w:pPr>
                  <w:r w:rsidRPr="000D5771">
                    <w:t>53</w:t>
                  </w:r>
                </w:p>
              </w:tc>
            </w:tr>
            <w:tr w:rsidR="00145930" w:rsidRPr="000D5771" w14:paraId="34991373" w14:textId="77777777" w:rsidTr="004B4875">
              <w:trPr>
                <w:cantSplit/>
                <w:jc w:val="center"/>
              </w:trPr>
              <w:tc>
                <w:tcPr>
                  <w:tcW w:w="2641" w:type="dxa"/>
                  <w:vAlign w:val="center"/>
                </w:tcPr>
                <w:p w14:paraId="1D6141B3" w14:textId="77777777" w:rsidR="00145930" w:rsidRPr="000D5771" w:rsidRDefault="00145930" w:rsidP="004B4875">
                  <w:pPr>
                    <w:pStyle w:val="Tabletext"/>
                    <w:jc w:val="center"/>
                  </w:pPr>
                  <w:r w:rsidRPr="000D5771">
                    <w:t>900 ≤ altitude &lt; 1 290</w:t>
                  </w:r>
                </w:p>
              </w:tc>
              <w:tc>
                <w:tcPr>
                  <w:tcW w:w="1710" w:type="dxa"/>
                  <w:vAlign w:val="center"/>
                </w:tcPr>
                <w:p w14:paraId="37222959" w14:textId="77777777" w:rsidR="00145930" w:rsidRPr="000D5771" w:rsidRDefault="00145930" w:rsidP="004B4875">
                  <w:pPr>
                    <w:pStyle w:val="Tabletext"/>
                    <w:jc w:val="center"/>
                  </w:pPr>
                  <w:r w:rsidRPr="000D5771">
                    <w:t>Sans objet</w:t>
                  </w:r>
                </w:p>
              </w:tc>
            </w:tr>
            <w:tr w:rsidR="00145930" w:rsidRPr="000D5771" w14:paraId="2D1DD0F2" w14:textId="77777777" w:rsidTr="004B4875">
              <w:trPr>
                <w:cantSplit/>
                <w:jc w:val="center"/>
              </w:trPr>
              <w:tc>
                <w:tcPr>
                  <w:tcW w:w="2641" w:type="dxa"/>
                  <w:vAlign w:val="center"/>
                </w:tcPr>
                <w:p w14:paraId="6F8BEDA1" w14:textId="77777777" w:rsidR="00145930" w:rsidRPr="000D5771" w:rsidRDefault="00145930" w:rsidP="004B4875">
                  <w:pPr>
                    <w:pStyle w:val="Tabletext"/>
                    <w:jc w:val="center"/>
                  </w:pPr>
                  <w:r w:rsidRPr="000D5771">
                    <w:t>altitude ≥ 1 290</w:t>
                  </w:r>
                </w:p>
              </w:tc>
              <w:tc>
                <w:tcPr>
                  <w:tcW w:w="1710" w:type="dxa"/>
                  <w:vAlign w:val="center"/>
                </w:tcPr>
                <w:p w14:paraId="662824EF" w14:textId="77777777" w:rsidR="00145930" w:rsidRPr="000D5771" w:rsidRDefault="00145930" w:rsidP="004B4875">
                  <w:pPr>
                    <w:pStyle w:val="Tabletext"/>
                    <w:jc w:val="center"/>
                  </w:pPr>
                  <w:r w:rsidRPr="000D5771">
                    <w:t>Sans objet</w:t>
                  </w:r>
                </w:p>
              </w:tc>
            </w:tr>
          </w:tbl>
          <w:p w14:paraId="6BE5B1DF" w14:textId="77777777" w:rsidR="00145930" w:rsidRPr="000D5771" w:rsidRDefault="00145930" w:rsidP="004B4875">
            <w:pPr>
              <w:pStyle w:val="enumlev3"/>
              <w:tabs>
                <w:tab w:val="clear" w:pos="1134"/>
                <w:tab w:val="left" w:pos="1170"/>
              </w:tabs>
              <w:spacing w:before="120"/>
              <w:ind w:left="1170" w:hanging="284"/>
              <w:rPr>
                <w:sz w:val="20"/>
              </w:rPr>
            </w:pPr>
            <w:bookmarkStart w:id="17" w:name="lt_pId406"/>
            <w:r w:rsidRPr="000D5771">
              <w:rPr>
                <w:sz w:val="20"/>
              </w:rPr>
              <w:t>•</w:t>
            </w:r>
            <w:r w:rsidRPr="000D5771">
              <w:rPr>
                <w:sz w:val="20"/>
              </w:rPr>
              <w:tab/>
              <w:t>Annexe 5:</w:t>
            </w:r>
            <w:bookmarkEnd w:id="17"/>
            <w:r w:rsidRPr="000D5771">
              <w:rPr>
                <w:sz w:val="20"/>
              </w:rPr>
              <w:t xml:space="preserve"> L'Option B est appuyée.</w:t>
            </w:r>
          </w:p>
          <w:p w14:paraId="65E5AFA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r>
            <w:r w:rsidRPr="000D5771">
              <w:rPr>
                <w:b/>
                <w:bCs/>
                <w:sz w:val="20"/>
              </w:rPr>
              <w:t>Appuyer</w:t>
            </w:r>
            <w:r w:rsidRPr="000D5771">
              <w:rPr>
                <w:sz w:val="20"/>
              </w:rPr>
              <w:t xml:space="preserve"> l'élaboration de la description du ou des systèmes de gestion des brouillages et des installations de contrôle (NCMC) traitant de la cessation des émissions, afin de trouver une solution satisfaisante au problème.</w:t>
            </w:r>
          </w:p>
          <w:p w14:paraId="37913679"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4</w:t>
            </w:r>
            <w:r w:rsidRPr="000D5771">
              <w:rPr>
                <w:sz w:val="20"/>
              </w:rPr>
              <w:tab/>
            </w:r>
            <w:r w:rsidRPr="000D5771">
              <w:rPr>
                <w:b/>
                <w:bCs/>
                <w:sz w:val="20"/>
              </w:rPr>
              <w:t>Appuyer</w:t>
            </w:r>
            <w:r w:rsidRPr="000D5771">
              <w:rPr>
                <w:sz w:val="20"/>
              </w:rPr>
              <w:t xml:space="preserve"> la définition d'une limite acceptable de puissance surfacique produite à la surface de la Terre en direction d'une station passerelle du service mobile par satellite non OSG pour les liaisons espace-espace dans la bande de fréquences 19,3-19,7 GHz.</w:t>
            </w:r>
          </w:p>
          <w:p w14:paraId="58E38364"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5</w:t>
            </w:r>
            <w:r w:rsidRPr="000D5771">
              <w:rPr>
                <w:sz w:val="20"/>
              </w:rPr>
              <w:tab/>
            </w:r>
            <w:r w:rsidRPr="000D5771">
              <w:rPr>
                <w:b/>
                <w:bCs/>
                <w:sz w:val="20"/>
              </w:rPr>
              <w:t>Envisager</w:t>
            </w:r>
            <w:r w:rsidRPr="000D5771">
              <w:rPr>
                <w:sz w:val="20"/>
              </w:rPr>
              <w:t xml:space="preserve"> d'apporter une modification à la définition du concept de «cône élargi», en imposant des limites d'altitude aux fournisseurs de services et aux utilisateurs et en excluant ainsi les liaisons inter-satellites LEO.</w:t>
            </w:r>
          </w:p>
          <w:p w14:paraId="2B347F74" w14:textId="77777777" w:rsidR="00145930" w:rsidRPr="000D5771" w:rsidRDefault="00145930" w:rsidP="004B4875">
            <w:pPr>
              <w:pStyle w:val="TableText0"/>
              <w:spacing w:before="120"/>
              <w:rPr>
                <w:i/>
                <w:iCs/>
                <w:sz w:val="20"/>
                <w:u w:val="single"/>
                <w:lang w:val="fr-FR" w:eastAsia="zh-CN"/>
              </w:rPr>
            </w:pPr>
            <w:r w:rsidRPr="000D5771">
              <w:rPr>
                <w:i/>
                <w:iCs/>
                <w:sz w:val="20"/>
                <w:u w:val="single"/>
                <w:lang w:val="fr-FR" w:eastAsia="zh-CN"/>
              </w:rPr>
              <w:t>Partie 2:</w:t>
            </w:r>
            <w:r w:rsidRPr="000D5771">
              <w:rPr>
                <w:i/>
                <w:iCs/>
                <w:sz w:val="20"/>
                <w:szCs w:val="20"/>
                <w:u w:val="single"/>
                <w:lang w:val="fr-FR"/>
              </w:rPr>
              <w:t xml:space="preserve"> Marche à suivre</w:t>
            </w:r>
          </w:p>
          <w:p w14:paraId="180A3CBD" w14:textId="77777777" w:rsidR="00145930" w:rsidRPr="000D5771" w:rsidRDefault="00145930" w:rsidP="004B4875">
            <w:pPr>
              <w:pStyle w:val="TableText0"/>
              <w:spacing w:before="120"/>
              <w:rPr>
                <w:sz w:val="20"/>
                <w:lang w:val="fr-FR" w:eastAsia="zh-CN"/>
              </w:rPr>
            </w:pPr>
            <w:r w:rsidRPr="000D5771">
              <w:rPr>
                <w:b/>
                <w:bCs/>
                <w:i/>
                <w:iCs/>
                <w:sz w:val="20"/>
                <w:szCs w:val="20"/>
                <w:lang w:val="fr-FR"/>
              </w:rPr>
              <w:t>Demander aux administrations des pays membres de l'UAT</w:t>
            </w:r>
            <w:r w:rsidRPr="000D5771">
              <w:rPr>
                <w:b/>
                <w:bCs/>
                <w:sz w:val="20"/>
                <w:szCs w:val="20"/>
                <w:lang w:val="fr-FR"/>
              </w:rPr>
              <w:t>:</w:t>
            </w:r>
          </w:p>
          <w:p w14:paraId="5BC8EFF5"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d'</w:t>
            </w:r>
            <w:r w:rsidRPr="000D5771">
              <w:rPr>
                <w:b/>
                <w:bCs/>
                <w:sz w:val="20"/>
              </w:rPr>
              <w:t>appuyer</w:t>
            </w:r>
            <w:r w:rsidRPr="000D5771">
              <w:rPr>
                <w:sz w:val="20"/>
              </w:rPr>
              <w:t xml:space="preserve"> la proposition africaine commune relative à ce point de l'ordre du jour (les principaux éléments figurent dans le projet AfCP ci-joint soumis à la CMR</w:t>
            </w:r>
            <w:r w:rsidRPr="000D5771">
              <w:rPr>
                <w:sz w:val="20"/>
              </w:rPr>
              <w:noBreakHyphen/>
              <w:t>23);</w:t>
            </w:r>
          </w:p>
          <w:p w14:paraId="46AA66EA"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t xml:space="preserve">de </w:t>
            </w:r>
            <w:r w:rsidRPr="000D5771">
              <w:rPr>
                <w:b/>
                <w:bCs/>
                <w:sz w:val="20"/>
              </w:rPr>
              <w:t>participer activement</w:t>
            </w:r>
            <w:r w:rsidRPr="000D5771">
              <w:rPr>
                <w:sz w:val="20"/>
              </w:rPr>
              <w:t xml:space="preserve"> aux discussions sur ce point de l'ordre du jour, pour assurer la protection des stations OSG et non OSG dans les bandes de fréquences adjacentes ainsi que des stations de Terre vis-à-vis des émissions hors axe;</w:t>
            </w:r>
          </w:p>
          <w:p w14:paraId="123B01D7"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t xml:space="preserve">de </w:t>
            </w:r>
            <w:r w:rsidRPr="000D5771">
              <w:rPr>
                <w:b/>
                <w:bCs/>
                <w:sz w:val="20"/>
              </w:rPr>
              <w:t>revoir</w:t>
            </w:r>
            <w:r w:rsidRPr="000D5771">
              <w:rPr>
                <w:sz w:val="20"/>
              </w:rPr>
              <w:t xml:space="preserve"> l'applicabilité de la réglementation actuelle pour protéger le SFS OSG au titre du numéro </w:t>
            </w:r>
            <w:r w:rsidRPr="000D5771">
              <w:rPr>
                <w:b/>
                <w:bCs/>
                <w:sz w:val="20"/>
              </w:rPr>
              <w:t>9.11A</w:t>
            </w:r>
            <w:r w:rsidRPr="000D5771">
              <w:rPr>
                <w:sz w:val="20"/>
              </w:rPr>
              <w:t xml:space="preserve"> et les limites indiquées dans le Tableau </w:t>
            </w:r>
            <w:r w:rsidRPr="000D5771">
              <w:rPr>
                <w:b/>
                <w:bCs/>
                <w:sz w:val="20"/>
              </w:rPr>
              <w:t>22-2</w:t>
            </w:r>
            <w:r w:rsidRPr="000D5771">
              <w:rPr>
                <w:sz w:val="20"/>
              </w:rPr>
              <w:t>;</w:t>
            </w:r>
          </w:p>
          <w:p w14:paraId="7CC25EFB"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4</w:t>
            </w:r>
            <w:r w:rsidRPr="000D5771">
              <w:rPr>
                <w:sz w:val="20"/>
              </w:rPr>
              <w:tab/>
              <w:t xml:space="preserve">de </w:t>
            </w:r>
            <w:r w:rsidRPr="000D5771">
              <w:rPr>
                <w:b/>
                <w:bCs/>
                <w:sz w:val="20"/>
              </w:rPr>
              <w:t>revoir</w:t>
            </w:r>
            <w:r w:rsidRPr="000D5771">
              <w:rPr>
                <w:sz w:val="20"/>
              </w:rPr>
              <w:t xml:space="preserve"> l'applicabilité de la réglementation actuelle pour protéger le SFS non OSG au moyen des limites indiquées dans l'Annexe 4 du projet de nouvelle résolution;</w:t>
            </w:r>
          </w:p>
          <w:p w14:paraId="47C2C722" w14:textId="77777777" w:rsidR="00145930" w:rsidRPr="000D5771" w:rsidRDefault="00145930" w:rsidP="004B4875">
            <w:pPr>
              <w:pStyle w:val="enumlev1"/>
              <w:keepLines/>
              <w:tabs>
                <w:tab w:val="clear" w:pos="1134"/>
                <w:tab w:val="left" w:pos="461"/>
              </w:tabs>
              <w:spacing w:before="40"/>
              <w:ind w:left="461" w:hanging="461"/>
              <w:rPr>
                <w:rFonts w:eastAsia="Calibri"/>
              </w:rPr>
            </w:pPr>
            <w:r w:rsidRPr="000D5771">
              <w:rPr>
                <w:sz w:val="20"/>
              </w:rPr>
              <w:t>5</w:t>
            </w:r>
            <w:r w:rsidRPr="000D5771">
              <w:rPr>
                <w:sz w:val="20"/>
              </w:rPr>
              <w:tab/>
              <w:t>d'</w:t>
            </w:r>
            <w:r w:rsidRPr="000D5771">
              <w:rPr>
                <w:b/>
                <w:bCs/>
                <w:sz w:val="20"/>
              </w:rPr>
              <w:t>examiner</w:t>
            </w:r>
            <w:r w:rsidRPr="000D5771">
              <w:rPr>
                <w:sz w:val="20"/>
              </w:rPr>
              <w:t xml:space="preserve"> les études de partage et de compatibilité pour les liaisons entre satellites et d'autres services fonctionnant dans les mêmes bandes de fréquences ou dans des bandes de fréquences adjacentes, afin de définir les conditions techniques et les dispositions réglementaires applicables à l'exploitation entre satellites dans les bandes de fréquences 18,1-18,6 GHz, 18,8-20,2 GHz et 27,5</w:t>
            </w:r>
            <w:r w:rsidRPr="000D5771">
              <w:rPr>
                <w:sz w:val="20"/>
              </w:rPr>
              <w:noBreakHyphen/>
              <w:t>30 GHz conformément à la Résolution </w:t>
            </w:r>
            <w:r w:rsidRPr="000D5771">
              <w:rPr>
                <w:b/>
                <w:bCs/>
                <w:sz w:val="20"/>
              </w:rPr>
              <w:t>773 (CMR-19)</w:t>
            </w:r>
            <w:r w:rsidRPr="000D5771">
              <w:rPr>
                <w:sz w:val="20"/>
              </w:rPr>
              <w:t>.</w:t>
            </w:r>
          </w:p>
        </w:tc>
      </w:tr>
      <w:tr w:rsidR="00145930" w:rsidRPr="000D5771" w14:paraId="3EA7963A" w14:textId="77777777" w:rsidTr="004B4875">
        <w:trPr>
          <w:cantSplit/>
        </w:trPr>
        <w:tc>
          <w:tcPr>
            <w:tcW w:w="2972" w:type="dxa"/>
            <w:tcBorders>
              <w:top w:val="single" w:sz="4" w:space="0" w:color="auto"/>
            </w:tcBorders>
          </w:tcPr>
          <w:p w14:paraId="37A09B02"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1.18</w:t>
            </w:r>
          </w:p>
          <w:p w14:paraId="27677891" w14:textId="77777777" w:rsidR="00145930" w:rsidRPr="000D5771" w:rsidRDefault="00145930" w:rsidP="004B4875">
            <w:pPr>
              <w:pStyle w:val="TableText0"/>
              <w:spacing w:before="120"/>
              <w:rPr>
                <w:b/>
                <w:sz w:val="20"/>
                <w:szCs w:val="20"/>
                <w:lang w:val="fr-FR"/>
              </w:rPr>
            </w:pPr>
            <w:r w:rsidRPr="000D5771">
              <w:rPr>
                <w:bCs/>
                <w:iCs/>
                <w:sz w:val="20"/>
                <w:szCs w:val="20"/>
                <w:lang w:val="fr-FR"/>
              </w:rPr>
              <w:t>Envisager des études relatives aux besoins de spectre et aux nouvelles attributions éventuelles au service mobile par satellite pour le développement futur des systèmes mobiles à satellites à bande étroite, conformément à la Résolution </w:t>
            </w:r>
            <w:r w:rsidRPr="000D5771">
              <w:rPr>
                <w:b/>
                <w:iCs/>
                <w:sz w:val="20"/>
                <w:szCs w:val="20"/>
                <w:lang w:val="fr-FR"/>
              </w:rPr>
              <w:t>248 (CMR-19)</w:t>
            </w:r>
          </w:p>
        </w:tc>
        <w:tc>
          <w:tcPr>
            <w:tcW w:w="7174" w:type="dxa"/>
          </w:tcPr>
          <w:p w14:paraId="4789082D"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6F0B7458" w14:textId="77777777" w:rsidR="00145930" w:rsidRPr="000D5771" w:rsidRDefault="00145930" w:rsidP="004B4875">
            <w:pPr>
              <w:pStyle w:val="TableText0"/>
              <w:spacing w:before="120"/>
              <w:rPr>
                <w:sz w:val="20"/>
                <w:szCs w:val="20"/>
                <w:lang w:val="fr-FR"/>
              </w:rPr>
            </w:pPr>
            <w:bookmarkStart w:id="18" w:name="lt_pId420"/>
            <w:r w:rsidRPr="000D5771">
              <w:rPr>
                <w:rFonts w:eastAsia="Calibri"/>
                <w:b/>
                <w:sz w:val="20"/>
                <w:szCs w:val="20"/>
                <w:lang w:val="fr-FR"/>
              </w:rPr>
              <w:t>Appuyer la Méthode A</w:t>
            </w:r>
            <w:r w:rsidRPr="000D5771">
              <w:rPr>
                <w:rFonts w:eastAsia="Calibri"/>
                <w:bCs/>
                <w:sz w:val="20"/>
                <w:szCs w:val="20"/>
                <w:lang w:val="fr-FR"/>
              </w:rPr>
              <w:t xml:space="preserve">, </w:t>
            </w:r>
            <w:r w:rsidRPr="000D5771">
              <w:rPr>
                <w:sz w:val="20"/>
                <w:szCs w:val="20"/>
                <w:lang w:val="fr-FR"/>
              </w:rPr>
              <w:t xml:space="preserve">qui consiste à n'apporter aucune modification et à supprimer la Résolution </w:t>
            </w:r>
            <w:r w:rsidRPr="000D5771">
              <w:rPr>
                <w:b/>
                <w:sz w:val="20"/>
                <w:szCs w:val="20"/>
                <w:lang w:val="fr-FR"/>
              </w:rPr>
              <w:t>248 (CMR-19)</w:t>
            </w:r>
            <w:r w:rsidRPr="000D5771">
              <w:rPr>
                <w:bCs/>
                <w:sz w:val="20"/>
                <w:szCs w:val="20"/>
                <w:lang w:val="fr-FR"/>
              </w:rPr>
              <w:t>,</w:t>
            </w:r>
            <w:r w:rsidRPr="000D5771">
              <w:rPr>
                <w:sz w:val="20"/>
                <w:szCs w:val="20"/>
                <w:lang w:val="fr-FR"/>
              </w:rPr>
              <w:t xml:space="preserve"> compte tenu de l'absence d'accord au sein de l'UIT-R en ce qui concerne les caractéristiques techniques et les paramètres opérationnels pour mener les études de partage et de compatibilité nécessaires, afin d'assurer la protection des services primaires existants dans les bandes de fréquences à l'étude ou dans les bandes de fréquences adjacentes au titre de ce point de l'ordre du jour.</w:t>
            </w:r>
            <w:bookmarkEnd w:id="18"/>
          </w:p>
          <w:p w14:paraId="257B578B"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07DA47D7"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5C02BC80"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d'</w:t>
            </w:r>
            <w:r w:rsidRPr="000D5771">
              <w:rPr>
                <w:b/>
                <w:bCs/>
                <w:sz w:val="20"/>
              </w:rPr>
              <w:t xml:space="preserve">appuyer </w:t>
            </w:r>
            <w:r w:rsidRPr="000D5771">
              <w:rPr>
                <w:sz w:val="20"/>
              </w:rPr>
              <w:t>la proposition africaine commune relative à ce point de l'ordre du jour, comme indiqué ci-dessus;</w:t>
            </w:r>
          </w:p>
          <w:p w14:paraId="70065995"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bookmarkStart w:id="19" w:name="lt_pId424"/>
            <w:r w:rsidRPr="000D5771">
              <w:rPr>
                <w:sz w:val="20"/>
              </w:rPr>
              <w:t xml:space="preserve">de </w:t>
            </w:r>
            <w:r w:rsidRPr="000D5771">
              <w:rPr>
                <w:b/>
                <w:bCs/>
                <w:sz w:val="20"/>
              </w:rPr>
              <w:t>suivre de près</w:t>
            </w:r>
            <w:r w:rsidRPr="000D5771">
              <w:rPr>
                <w:sz w:val="20"/>
              </w:rPr>
              <w:t xml:space="preserve"> les discussions sur ce point de l'ordre du jour qui auront lieu à la CMR-23, pour faire en sorte qu'aucune mesure ne soit prise si elle n'est pas étayée par des résultats d'études</w:t>
            </w:r>
            <w:bookmarkEnd w:id="19"/>
            <w:r w:rsidRPr="000D5771">
              <w:rPr>
                <w:sz w:val="20"/>
              </w:rPr>
              <w:t>.</w:t>
            </w:r>
          </w:p>
        </w:tc>
      </w:tr>
      <w:tr w:rsidR="00145930" w:rsidRPr="000D5771" w14:paraId="166310DC" w14:textId="77777777" w:rsidTr="004B4875">
        <w:trPr>
          <w:cantSplit/>
        </w:trPr>
        <w:tc>
          <w:tcPr>
            <w:tcW w:w="2972" w:type="dxa"/>
            <w:tcBorders>
              <w:bottom w:val="single" w:sz="4" w:space="0" w:color="auto"/>
            </w:tcBorders>
          </w:tcPr>
          <w:p w14:paraId="3E3AF487"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1.19</w:t>
            </w:r>
          </w:p>
          <w:p w14:paraId="76C3C77D" w14:textId="77777777" w:rsidR="00145930" w:rsidRPr="000D5771" w:rsidRDefault="00145930" w:rsidP="004B4875">
            <w:pPr>
              <w:pStyle w:val="TableText0"/>
              <w:spacing w:before="120"/>
              <w:rPr>
                <w:b/>
                <w:sz w:val="20"/>
                <w:szCs w:val="20"/>
                <w:lang w:val="fr-FR"/>
              </w:rPr>
            </w:pPr>
            <w:r w:rsidRPr="000D5771">
              <w:rPr>
                <w:bCs/>
                <w:iCs/>
                <w:sz w:val="20"/>
                <w:szCs w:val="20"/>
                <w:lang w:val="fr-FR"/>
              </w:rPr>
              <w:t>Envisager une nouvelle attribution à titre primaire au service fixe par satellite dans le sens espace vers Terre dans la bande de fréquences 17,3</w:t>
            </w:r>
            <w:r w:rsidRPr="000D5771">
              <w:rPr>
                <w:bCs/>
                <w:iCs/>
                <w:sz w:val="20"/>
                <w:szCs w:val="20"/>
                <w:lang w:val="fr-FR"/>
              </w:rPr>
              <w:noBreakHyphen/>
              <w:t>17,7 GHz en Région 2, tout en assurant la protection des services primaires existants dans la bande de fréquences, conformément à la Résolution </w:t>
            </w:r>
            <w:r w:rsidRPr="000D5771">
              <w:rPr>
                <w:b/>
                <w:iCs/>
                <w:sz w:val="20"/>
                <w:szCs w:val="20"/>
                <w:lang w:val="fr-FR"/>
              </w:rPr>
              <w:t>174 (CMR-19)</w:t>
            </w:r>
          </w:p>
        </w:tc>
        <w:tc>
          <w:tcPr>
            <w:tcW w:w="7174" w:type="dxa"/>
          </w:tcPr>
          <w:p w14:paraId="4FC90E8E"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6F403912" w14:textId="77777777" w:rsidR="00145930" w:rsidRPr="000D5771" w:rsidRDefault="00145930" w:rsidP="004B4875">
            <w:pPr>
              <w:pStyle w:val="enumlev1"/>
              <w:keepLines/>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Appuyer la Méthode B, Variante 2</w:t>
            </w:r>
            <w:r w:rsidRPr="000D5771">
              <w:rPr>
                <w:sz w:val="20"/>
              </w:rPr>
              <w:t xml:space="preserve">, qui consiste à modifier les renvois de l'Article </w:t>
            </w:r>
            <w:r w:rsidRPr="000D5771">
              <w:rPr>
                <w:b/>
                <w:bCs/>
                <w:sz w:val="20"/>
              </w:rPr>
              <w:t>5</w:t>
            </w:r>
            <w:r w:rsidRPr="000D5771">
              <w:rPr>
                <w:sz w:val="20"/>
              </w:rPr>
              <w:t xml:space="preserve"> du Règlement des radiocommunications concernant l'attribution de la bande de fréquences 17,3-17,7 GHz en Région 2 au service fixe par satellite, dans le sens espace vers Terre, tout en soulignant que toute nouvelle attribution à titre primaire au SFS dans la bande de fréquences 17,3-17,7 GHz en Région 2 doit assurer la protection des services existants dans la bande de fréquences et les bandes adjacentes en Région 1 et ne pas imposer de contraintes inutiles au développement futur des services dans cette bande, afin de renforcer la protection de la station spatiale de réception de la liaison de connexion du SRS de l'Appendice </w:t>
            </w:r>
            <w:r w:rsidRPr="000D5771">
              <w:rPr>
                <w:b/>
                <w:bCs/>
                <w:sz w:val="20"/>
              </w:rPr>
              <w:t>30A</w:t>
            </w:r>
            <w:r w:rsidRPr="000D5771">
              <w:rPr>
                <w:sz w:val="20"/>
              </w:rPr>
              <w:t xml:space="preserve"> et les systèmes OSG du SFS.</w:t>
            </w:r>
          </w:p>
          <w:p w14:paraId="0DDA5F6D"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bookmarkStart w:id="20" w:name="lt_pId429"/>
            <w:r w:rsidRPr="000D5771">
              <w:rPr>
                <w:b/>
                <w:bCs/>
                <w:sz w:val="20"/>
              </w:rPr>
              <w:t>Convenir</w:t>
            </w:r>
            <w:r w:rsidRPr="000D5771">
              <w:rPr>
                <w:sz w:val="20"/>
              </w:rPr>
              <w:t xml:space="preserve"> que, par principe, toute nouvelle attribution primaire au SFS dans la bande de fréquences 17,3-17,7 GHz en Région 2 doit assurer la protection des services existants dans la bande de fréquences et les bandes adjacentes en Région 1 et ne pas imposer de contraintes inutiles au développement futur des services dans cette bande de fréquences.</w:t>
            </w:r>
            <w:bookmarkEnd w:id="20"/>
            <w:r w:rsidRPr="000D5771">
              <w:rPr>
                <w:sz w:val="20"/>
              </w:rPr>
              <w:t xml:space="preserve"> </w:t>
            </w:r>
            <w:bookmarkStart w:id="21" w:name="lt_pId430"/>
            <w:r w:rsidRPr="000D5771">
              <w:rPr>
                <w:sz w:val="20"/>
              </w:rPr>
              <w:t>En particulier, une nouvelle attribution en Région 2 dans la bande de fréquences 17,3</w:t>
            </w:r>
            <w:r w:rsidRPr="000D5771">
              <w:rPr>
                <w:sz w:val="20"/>
              </w:rPr>
              <w:noBreakHyphen/>
              <w:t xml:space="preserve">17,7 GHz, ne doit pas demander à être protégée vis-à-vis des stations terriennes de liaison de connexion du service de radiodiffusion par satellite exploitées au titre de l'Appendice </w:t>
            </w:r>
            <w:r w:rsidRPr="000D5771">
              <w:rPr>
                <w:b/>
                <w:bCs/>
                <w:sz w:val="20"/>
              </w:rPr>
              <w:t>30A</w:t>
            </w:r>
            <w:r w:rsidRPr="000D5771">
              <w:rPr>
                <w:sz w:val="20"/>
              </w:rPr>
              <w:t>, ni imposer de limitations ou de restrictions aux sites des stations terriennes de liaison de connexion du service de radiodiffusion par satellite en tout point de la zone de service de la liaison de connexion.</w:t>
            </w:r>
            <w:bookmarkEnd w:id="21"/>
          </w:p>
          <w:p w14:paraId="0D8BA40E" w14:textId="77777777" w:rsidR="00145930" w:rsidRPr="000D5771" w:rsidRDefault="00145930" w:rsidP="004B4875">
            <w:pPr>
              <w:pStyle w:val="TableText0"/>
              <w:spacing w:before="120"/>
              <w:rPr>
                <w:rStyle w:val="NoteChar"/>
                <w:i/>
                <w:iCs/>
                <w:sz w:val="20"/>
                <w:szCs w:val="20"/>
                <w:u w:val="single"/>
              </w:rPr>
            </w:pPr>
            <w:r w:rsidRPr="000D5771">
              <w:rPr>
                <w:rStyle w:val="NoteChar"/>
                <w:i/>
                <w:iCs/>
                <w:sz w:val="20"/>
                <w:szCs w:val="20"/>
                <w:u w:val="single"/>
              </w:rPr>
              <w:t>Partie 2: Marche à suivre</w:t>
            </w:r>
          </w:p>
          <w:p w14:paraId="41215D31"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r w:rsidRPr="000D5771">
              <w:rPr>
                <w:b/>
                <w:bCs/>
                <w:sz w:val="20"/>
                <w:szCs w:val="20"/>
                <w:lang w:val="fr-FR"/>
              </w:rPr>
              <w:t>:</w:t>
            </w:r>
          </w:p>
          <w:p w14:paraId="3800EBCE" w14:textId="77777777" w:rsidR="00145930" w:rsidRPr="000D5771" w:rsidRDefault="00145930" w:rsidP="004B4875">
            <w:pPr>
              <w:pStyle w:val="TableText0"/>
              <w:spacing w:before="120"/>
              <w:rPr>
                <w:sz w:val="20"/>
                <w:szCs w:val="20"/>
                <w:lang w:val="fr-FR"/>
              </w:rPr>
            </w:pPr>
            <w:r w:rsidRPr="000D5771">
              <w:rPr>
                <w:sz w:val="20"/>
                <w:szCs w:val="20"/>
                <w:lang w:val="fr-FR"/>
              </w:rPr>
              <w:t>d'</w:t>
            </w:r>
            <w:r w:rsidRPr="000D5771">
              <w:rPr>
                <w:b/>
                <w:bCs/>
                <w:sz w:val="20"/>
                <w:szCs w:val="20"/>
                <w:lang w:val="fr-FR"/>
              </w:rPr>
              <w:t>appuyer</w:t>
            </w:r>
            <w:r w:rsidRPr="000D5771">
              <w:rPr>
                <w:sz w:val="20"/>
                <w:szCs w:val="20"/>
                <w:lang w:val="fr-FR"/>
              </w:rPr>
              <w:t xml:space="preserve"> la proposition africaine commune relative à ce point de l'ordre du jour.</w:t>
            </w:r>
          </w:p>
        </w:tc>
      </w:tr>
      <w:tr w:rsidR="00145930" w:rsidRPr="000D5771" w14:paraId="79CA899C" w14:textId="77777777" w:rsidTr="004B4875">
        <w:trPr>
          <w:cantSplit/>
        </w:trPr>
        <w:tc>
          <w:tcPr>
            <w:tcW w:w="2972" w:type="dxa"/>
            <w:tcBorders>
              <w:top w:val="single" w:sz="4" w:space="0" w:color="auto"/>
              <w:bottom w:val="single" w:sz="4" w:space="0" w:color="auto"/>
            </w:tcBorders>
          </w:tcPr>
          <w:p w14:paraId="718A8549" w14:textId="77777777" w:rsidR="00145930" w:rsidRPr="000D5771" w:rsidRDefault="00145930" w:rsidP="004B4875">
            <w:pPr>
              <w:pStyle w:val="TableText0"/>
              <w:spacing w:before="120"/>
              <w:rPr>
                <w:b/>
                <w:sz w:val="20"/>
                <w:szCs w:val="20"/>
                <w:lang w:val="fr-FR"/>
              </w:rPr>
            </w:pPr>
            <w:r w:rsidRPr="000D5771">
              <w:rPr>
                <w:b/>
                <w:sz w:val="20"/>
                <w:szCs w:val="20"/>
                <w:lang w:val="fr-FR"/>
              </w:rPr>
              <w:t>7, Question A</w:t>
            </w:r>
          </w:p>
          <w:p w14:paraId="6A2838A7" w14:textId="77777777" w:rsidR="00145930" w:rsidRPr="000D5771" w:rsidRDefault="00145930" w:rsidP="004B4875">
            <w:pPr>
              <w:pStyle w:val="TableText0"/>
              <w:spacing w:before="120"/>
              <w:rPr>
                <w:b/>
                <w:sz w:val="20"/>
                <w:szCs w:val="20"/>
                <w:lang w:val="fr-FR"/>
              </w:rPr>
            </w:pPr>
            <w:r w:rsidRPr="000D5771">
              <w:rPr>
                <w:sz w:val="20"/>
                <w:szCs w:val="20"/>
                <w:lang w:val="fr-FR"/>
              </w:rPr>
              <w:t>Tolérances pour certaines caractéristiques orbitales des stations spatiales non OSG du SFS, du SRS ou du SMS</w:t>
            </w:r>
          </w:p>
        </w:tc>
        <w:tc>
          <w:tcPr>
            <w:tcW w:w="7174" w:type="dxa"/>
          </w:tcPr>
          <w:p w14:paraId="241257AE"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6EBA6F19" w14:textId="77777777" w:rsidR="00145930" w:rsidRPr="000D5771" w:rsidRDefault="00145930" w:rsidP="004B4875">
            <w:pPr>
              <w:pStyle w:val="TableText0"/>
              <w:spacing w:before="120"/>
              <w:rPr>
                <w:sz w:val="20"/>
                <w:szCs w:val="20"/>
                <w:lang w:val="fr-FR" w:eastAsia="zh-CN"/>
              </w:rPr>
            </w:pPr>
            <w:r w:rsidRPr="000D5771">
              <w:rPr>
                <w:b/>
                <w:bCs/>
                <w:sz w:val="20"/>
                <w:szCs w:val="20"/>
                <w:lang w:val="fr-FR" w:eastAsia="zh-CN"/>
              </w:rPr>
              <w:t>Appuyer la Méthode A2, Option A</w:t>
            </w:r>
            <w:r w:rsidRPr="000D5771">
              <w:rPr>
                <w:sz w:val="20"/>
                <w:szCs w:val="20"/>
                <w:lang w:val="fr-FR" w:eastAsia="zh-CN"/>
              </w:rPr>
              <w:t xml:space="preserve">, dans laquelle il est proposé d'appliquer des tolérances, y compris des variations temporaires, pour les satellites </w:t>
            </w:r>
            <w:r w:rsidRPr="000D5771">
              <w:rPr>
                <w:sz w:val="20"/>
                <w:szCs w:val="20"/>
                <w:lang w:val="fr-FR"/>
              </w:rPr>
              <w:t xml:space="preserve">de tous les systèmes non OSG du SFS, du SRS ou du SMS (avec une excentricité &lt; 0,5/à déterminer ou plus) ou aux systèmes non OSG du SFS, du SRS ou du SMS assujettis à la Résolution </w:t>
            </w:r>
            <w:r w:rsidRPr="000D5771">
              <w:rPr>
                <w:b/>
                <w:bCs/>
                <w:sz w:val="20"/>
                <w:szCs w:val="20"/>
                <w:lang w:val="fr-FR"/>
              </w:rPr>
              <w:t>35 (CMR-19)</w:t>
            </w:r>
            <w:r w:rsidRPr="000D5771">
              <w:rPr>
                <w:sz w:val="20"/>
                <w:szCs w:val="20"/>
                <w:lang w:val="fr-FR"/>
              </w:rPr>
              <w:t xml:space="preserve"> (avec une excentricité &lt; 0,5/à déterminer ou plus)</w:t>
            </w:r>
            <w:r w:rsidRPr="000D5771">
              <w:rPr>
                <w:sz w:val="20"/>
                <w:szCs w:val="20"/>
                <w:lang w:val="fr-FR" w:eastAsia="zh-CN"/>
              </w:rPr>
              <w:t>.</w:t>
            </w:r>
          </w:p>
          <w:p w14:paraId="0144F777" w14:textId="77777777" w:rsidR="00145930" w:rsidRPr="000D5771" w:rsidRDefault="00145930" w:rsidP="004B4875">
            <w:pPr>
              <w:pStyle w:val="TableText0"/>
              <w:spacing w:before="120"/>
              <w:rPr>
                <w:i/>
                <w:iCs/>
                <w:sz w:val="20"/>
                <w:szCs w:val="20"/>
                <w:u w:val="single"/>
                <w:lang w:val="fr-FR" w:eastAsia="zh-CN"/>
              </w:rPr>
            </w:pPr>
            <w:r w:rsidRPr="000D5771">
              <w:rPr>
                <w:i/>
                <w:iCs/>
                <w:sz w:val="20"/>
                <w:szCs w:val="20"/>
                <w:u w:val="single"/>
                <w:lang w:val="fr-FR" w:eastAsia="zh-CN"/>
              </w:rPr>
              <w:t>Partie 2:</w:t>
            </w:r>
            <w:r w:rsidRPr="000D5771">
              <w:rPr>
                <w:rStyle w:val="NoteChar"/>
                <w:i/>
                <w:iCs/>
                <w:sz w:val="20"/>
                <w:szCs w:val="20"/>
                <w:u w:val="single"/>
              </w:rPr>
              <w:t xml:space="preserve"> Marche à suivre</w:t>
            </w:r>
          </w:p>
          <w:p w14:paraId="4DD63A90"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r w:rsidRPr="000D5771">
              <w:rPr>
                <w:b/>
                <w:bCs/>
                <w:sz w:val="20"/>
                <w:szCs w:val="20"/>
                <w:lang w:val="fr-FR"/>
              </w:rPr>
              <w:t>:</w:t>
            </w:r>
          </w:p>
          <w:p w14:paraId="2E919835"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d'</w:t>
            </w:r>
            <w:r w:rsidRPr="000D5771">
              <w:rPr>
                <w:b/>
                <w:bCs/>
                <w:sz w:val="20"/>
              </w:rPr>
              <w:t>appuyer</w:t>
            </w:r>
            <w:r w:rsidRPr="000D5771">
              <w:rPr>
                <w:sz w:val="20"/>
              </w:rPr>
              <w:t xml:space="preserve"> la proposition africaine commune</w:t>
            </w:r>
            <w:r w:rsidRPr="000D5771">
              <w:rPr>
                <w:b/>
                <w:bCs/>
                <w:sz w:val="20"/>
              </w:rPr>
              <w:t xml:space="preserve"> </w:t>
            </w:r>
            <w:r w:rsidRPr="000D5771">
              <w:rPr>
                <w:sz w:val="20"/>
              </w:rPr>
              <w:t>relative à cette Question;</w:t>
            </w:r>
          </w:p>
          <w:p w14:paraId="2288EBCB" w14:textId="77777777" w:rsidR="00145930" w:rsidRPr="000D5771" w:rsidRDefault="00145930" w:rsidP="00363DBC">
            <w:pPr>
              <w:pStyle w:val="enumlev1"/>
              <w:keepLines/>
              <w:tabs>
                <w:tab w:val="clear" w:pos="1134"/>
                <w:tab w:val="left" w:pos="461"/>
              </w:tabs>
              <w:spacing w:before="40" w:after="40"/>
              <w:ind w:left="461" w:hanging="461"/>
              <w:rPr>
                <w:i/>
                <w:iCs/>
                <w:sz w:val="20"/>
                <w:u w:val="single"/>
              </w:rPr>
            </w:pPr>
            <w:r w:rsidRPr="000D5771">
              <w:rPr>
                <w:sz w:val="20"/>
              </w:rPr>
              <w:t>2</w:t>
            </w:r>
            <w:r w:rsidRPr="000D5771">
              <w:rPr>
                <w:sz w:val="20"/>
              </w:rPr>
              <w:tab/>
              <w:t xml:space="preserve">de </w:t>
            </w:r>
            <w:r w:rsidRPr="000D5771">
              <w:rPr>
                <w:b/>
                <w:bCs/>
                <w:sz w:val="20"/>
              </w:rPr>
              <w:t>poursuivre</w:t>
            </w:r>
            <w:r w:rsidRPr="000D5771">
              <w:rPr>
                <w:sz w:val="20"/>
              </w:rPr>
              <w:t xml:space="preserve"> les discussions en vue de définir les tolérances acceptables à appliquer aux systèmes non OSG.</w:t>
            </w:r>
          </w:p>
        </w:tc>
      </w:tr>
      <w:tr w:rsidR="00145930" w:rsidRPr="000D5771" w14:paraId="17072FDB" w14:textId="77777777" w:rsidTr="004B4875">
        <w:trPr>
          <w:cantSplit/>
        </w:trPr>
        <w:tc>
          <w:tcPr>
            <w:tcW w:w="2972" w:type="dxa"/>
            <w:tcBorders>
              <w:top w:val="single" w:sz="4" w:space="0" w:color="auto"/>
            </w:tcBorders>
          </w:tcPr>
          <w:p w14:paraId="6A0E0EB8" w14:textId="77777777" w:rsidR="00145930" w:rsidRPr="000D5771" w:rsidRDefault="00145930" w:rsidP="004B4875">
            <w:pPr>
              <w:pStyle w:val="TableText0"/>
              <w:spacing w:before="120"/>
              <w:rPr>
                <w:b/>
                <w:sz w:val="20"/>
                <w:szCs w:val="20"/>
                <w:lang w:val="fr-FR"/>
              </w:rPr>
            </w:pPr>
            <w:r w:rsidRPr="000D5771">
              <w:rPr>
                <w:b/>
                <w:sz w:val="20"/>
                <w:szCs w:val="20"/>
                <w:lang w:val="fr-FR"/>
              </w:rPr>
              <w:t>7, Question B</w:t>
            </w:r>
          </w:p>
          <w:p w14:paraId="38579C29" w14:textId="77777777" w:rsidR="00145930" w:rsidRPr="000D5771" w:rsidRDefault="00145930" w:rsidP="004B4875">
            <w:pPr>
              <w:pStyle w:val="TableText0"/>
              <w:spacing w:before="120"/>
              <w:rPr>
                <w:bCs/>
                <w:sz w:val="20"/>
                <w:szCs w:val="20"/>
                <w:lang w:val="fr-FR"/>
              </w:rPr>
            </w:pPr>
            <w:r w:rsidRPr="000D5771">
              <w:rPr>
                <w:bCs/>
                <w:sz w:val="20"/>
                <w:szCs w:val="20"/>
                <w:lang w:val="fr-FR"/>
              </w:rPr>
              <w:t>Procédure à suivre après les étapes pour la mise en service des systèmes non OSG</w:t>
            </w:r>
          </w:p>
        </w:tc>
        <w:tc>
          <w:tcPr>
            <w:tcW w:w="7174" w:type="dxa"/>
          </w:tcPr>
          <w:p w14:paraId="140E9947"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0F1AFE1B" w14:textId="77777777" w:rsidR="00145930" w:rsidRPr="000D5771" w:rsidRDefault="00145930" w:rsidP="004B4875">
            <w:pPr>
              <w:pStyle w:val="TableText0"/>
              <w:spacing w:before="120"/>
              <w:rPr>
                <w:sz w:val="20"/>
                <w:szCs w:val="20"/>
                <w:lang w:val="fr-FR"/>
              </w:rPr>
            </w:pPr>
            <w:r w:rsidRPr="000D5771">
              <w:rPr>
                <w:b/>
                <w:bCs/>
                <w:sz w:val="20"/>
                <w:szCs w:val="20"/>
                <w:lang w:val="fr-FR"/>
              </w:rPr>
              <w:t>Examiner</w:t>
            </w:r>
            <w:r w:rsidRPr="000D5771">
              <w:rPr>
                <w:sz w:val="20"/>
                <w:szCs w:val="20"/>
                <w:lang w:val="fr-FR"/>
              </w:rPr>
              <w:t xml:space="preserve"> </w:t>
            </w:r>
            <w:r w:rsidRPr="000D5771">
              <w:rPr>
                <w:b/>
                <w:bCs/>
                <w:sz w:val="20"/>
                <w:szCs w:val="20"/>
                <w:lang w:val="fr-FR"/>
              </w:rPr>
              <w:t>les deux méthodes</w:t>
            </w:r>
            <w:r w:rsidRPr="000D5771">
              <w:rPr>
                <w:sz w:val="20"/>
                <w:szCs w:val="20"/>
                <w:lang w:val="fr-FR"/>
              </w:rPr>
              <w:t xml:space="preserve"> proposées par les groupes sous-régionaux, à savoir les Méthodes B1 et B2, dans le but d'élaborer une proposition africaine commune.</w:t>
            </w:r>
          </w:p>
          <w:p w14:paraId="199305F6"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w:t>
            </w:r>
            <w:r w:rsidRPr="000D5771">
              <w:rPr>
                <w:rStyle w:val="NoteChar"/>
                <w:i/>
                <w:iCs/>
                <w:sz w:val="20"/>
                <w:szCs w:val="20"/>
                <w:u w:val="single"/>
              </w:rPr>
              <w:t xml:space="preserve"> Marche à suivre</w:t>
            </w:r>
          </w:p>
          <w:p w14:paraId="38587207"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 Secrétariat de l'UAT</w:t>
            </w:r>
            <w:r w:rsidRPr="000D5771">
              <w:rPr>
                <w:b/>
                <w:bCs/>
                <w:sz w:val="20"/>
                <w:szCs w:val="20"/>
                <w:lang w:val="fr-FR"/>
              </w:rPr>
              <w:t>:</w:t>
            </w:r>
          </w:p>
          <w:p w14:paraId="341B5135" w14:textId="77777777" w:rsidR="00145930" w:rsidRPr="000D5771" w:rsidRDefault="00145930" w:rsidP="004B4875">
            <w:pPr>
              <w:pStyle w:val="TableText0"/>
              <w:spacing w:before="120"/>
              <w:rPr>
                <w:sz w:val="20"/>
                <w:szCs w:val="20"/>
                <w:lang w:val="fr-FR"/>
              </w:rPr>
            </w:pPr>
            <w:r w:rsidRPr="000D5771">
              <w:rPr>
                <w:sz w:val="20"/>
                <w:szCs w:val="20"/>
                <w:lang w:val="fr-FR"/>
              </w:rPr>
              <w:t>d'</w:t>
            </w:r>
            <w:r w:rsidRPr="000D5771">
              <w:rPr>
                <w:b/>
                <w:bCs/>
                <w:sz w:val="20"/>
                <w:szCs w:val="20"/>
                <w:lang w:val="fr-FR"/>
              </w:rPr>
              <w:t xml:space="preserve">organiser </w:t>
            </w:r>
            <w:r w:rsidRPr="000D5771">
              <w:rPr>
                <w:sz w:val="20"/>
                <w:szCs w:val="20"/>
                <w:lang w:val="fr-FR"/>
              </w:rPr>
              <w:t>des réunions sur cette question en vue d'élaborer une proposition africaine commune.</w:t>
            </w:r>
          </w:p>
        </w:tc>
      </w:tr>
      <w:tr w:rsidR="00145930" w:rsidRPr="000D5771" w14:paraId="71568DC1" w14:textId="77777777" w:rsidTr="004B4875">
        <w:trPr>
          <w:cantSplit/>
        </w:trPr>
        <w:tc>
          <w:tcPr>
            <w:tcW w:w="2972" w:type="dxa"/>
            <w:tcBorders>
              <w:bottom w:val="single" w:sz="4" w:space="0" w:color="auto"/>
            </w:tcBorders>
          </w:tcPr>
          <w:p w14:paraId="09C3909F"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7, Question C</w:t>
            </w:r>
          </w:p>
          <w:p w14:paraId="2E8FCFBF" w14:textId="77777777" w:rsidR="00145930" w:rsidRPr="000D5771" w:rsidRDefault="00145930" w:rsidP="004B4875">
            <w:pPr>
              <w:pStyle w:val="TableText0"/>
              <w:spacing w:before="120"/>
              <w:rPr>
                <w:b/>
                <w:sz w:val="20"/>
                <w:szCs w:val="20"/>
                <w:lang w:val="fr-FR"/>
              </w:rPr>
            </w:pPr>
            <w:r w:rsidRPr="000D5771">
              <w:rPr>
                <w:rFonts w:eastAsia="MS Mincho"/>
                <w:sz w:val="20"/>
                <w:szCs w:val="20"/>
                <w:lang w:val="fr-FR"/>
              </w:rPr>
              <w:t>Protection des réseaux à satellite géostationnaire du SMS fonctionnant dans les bandes des 7/8 GHz et des 20/30 GHz contre les rayonnements des systèmes à satellites non géostationnaires fonctionnant dans les mêmes bandes de fréquences et dans les mêmes sens de transmission</w:t>
            </w:r>
          </w:p>
        </w:tc>
        <w:tc>
          <w:tcPr>
            <w:tcW w:w="7174" w:type="dxa"/>
          </w:tcPr>
          <w:p w14:paraId="5E219DC3"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4AAE37B4" w14:textId="77777777" w:rsidR="00145930" w:rsidRPr="000D5771" w:rsidRDefault="00145930" w:rsidP="004B4875">
            <w:pPr>
              <w:pStyle w:val="TableText0"/>
              <w:spacing w:before="120"/>
              <w:rPr>
                <w:rFonts w:eastAsia="Calibri"/>
                <w:lang w:val="fr-FR"/>
              </w:rPr>
            </w:pPr>
            <w:bookmarkStart w:id="22" w:name="lt_pId452"/>
            <w:r w:rsidRPr="000D5771">
              <w:rPr>
                <w:rFonts w:eastAsia="Calibri"/>
                <w:b/>
                <w:lang w:val="fr-FR"/>
              </w:rPr>
              <w:t>Appuyer la Méthode C3</w:t>
            </w:r>
            <w:r w:rsidRPr="000D5771">
              <w:rPr>
                <w:rFonts w:eastAsia="Calibri"/>
                <w:lang w:val="fr-FR"/>
              </w:rPr>
              <w:t xml:space="preserve">, selon laquelle </w:t>
            </w:r>
            <w:r w:rsidRPr="000D5771">
              <w:rPr>
                <w:sz w:val="20"/>
                <w:szCs w:val="20"/>
                <w:lang w:val="fr-FR"/>
              </w:rPr>
              <w:t xml:space="preserve">il est proposé d'élargir l'application du concept du numéro </w:t>
            </w:r>
            <w:r w:rsidRPr="000D5771">
              <w:rPr>
                <w:b/>
                <w:bCs/>
                <w:sz w:val="20"/>
                <w:szCs w:val="20"/>
                <w:lang w:val="fr-FR"/>
              </w:rPr>
              <w:t>22.2</w:t>
            </w:r>
            <w:r w:rsidRPr="000D5771">
              <w:rPr>
                <w:sz w:val="20"/>
                <w:szCs w:val="20"/>
                <w:lang w:val="fr-FR"/>
              </w:rPr>
              <w:t xml:space="preserve"> du RR aux systèmes OSG du SMS vis-à-vis des systèmes non OSG respectivement dans les bandes de fréquences ci-dessus, visées dans les dispositions pertinentes de l'Article </w:t>
            </w:r>
            <w:r w:rsidRPr="000D5771">
              <w:rPr>
                <w:b/>
                <w:bCs/>
                <w:sz w:val="20"/>
                <w:szCs w:val="20"/>
                <w:lang w:val="fr-FR"/>
              </w:rPr>
              <w:t>5</w:t>
            </w:r>
            <w:r w:rsidRPr="000D5771">
              <w:rPr>
                <w:sz w:val="20"/>
                <w:szCs w:val="20"/>
                <w:lang w:val="fr-FR"/>
              </w:rPr>
              <w:t xml:space="preserve"> du RR.</w:t>
            </w:r>
          </w:p>
          <w:bookmarkEnd w:id="22"/>
          <w:p w14:paraId="189BC385"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w:t>
            </w:r>
            <w:r w:rsidRPr="000D5771">
              <w:rPr>
                <w:rStyle w:val="NoteChar"/>
                <w:i/>
                <w:iCs/>
                <w:sz w:val="20"/>
                <w:szCs w:val="20"/>
                <w:u w:val="single"/>
              </w:rPr>
              <w:t xml:space="preserve"> Marche à suivre</w:t>
            </w:r>
          </w:p>
          <w:p w14:paraId="2AA8719A"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p>
          <w:p w14:paraId="1B1AE1D6" w14:textId="77777777" w:rsidR="00145930" w:rsidRPr="000D5771" w:rsidRDefault="00145930" w:rsidP="004B4875">
            <w:pPr>
              <w:pStyle w:val="TableText0"/>
              <w:spacing w:before="120"/>
              <w:rPr>
                <w:sz w:val="20"/>
                <w:szCs w:val="20"/>
                <w:lang w:val="fr-FR"/>
              </w:rPr>
            </w:pPr>
            <w:r w:rsidRPr="000D5771">
              <w:rPr>
                <w:sz w:val="20"/>
                <w:szCs w:val="20"/>
                <w:lang w:val="fr-FR"/>
              </w:rPr>
              <w:t>d'</w:t>
            </w:r>
            <w:r w:rsidRPr="000D5771">
              <w:rPr>
                <w:b/>
                <w:bCs/>
                <w:sz w:val="20"/>
                <w:szCs w:val="20"/>
                <w:lang w:val="fr-FR"/>
              </w:rPr>
              <w:t xml:space="preserve">appuyer </w:t>
            </w:r>
            <w:r w:rsidRPr="000D5771">
              <w:rPr>
                <w:sz w:val="20"/>
                <w:szCs w:val="20"/>
                <w:lang w:val="fr-FR"/>
              </w:rPr>
              <w:t>la proposition africaine commune relative à cette Question.</w:t>
            </w:r>
          </w:p>
        </w:tc>
      </w:tr>
      <w:tr w:rsidR="00145930" w:rsidRPr="000D5771" w14:paraId="045679CD" w14:textId="77777777" w:rsidTr="004B4875">
        <w:trPr>
          <w:cantSplit/>
        </w:trPr>
        <w:tc>
          <w:tcPr>
            <w:tcW w:w="2972" w:type="dxa"/>
            <w:tcBorders>
              <w:top w:val="single" w:sz="4" w:space="0" w:color="auto"/>
              <w:bottom w:val="single" w:sz="4" w:space="0" w:color="auto"/>
            </w:tcBorders>
          </w:tcPr>
          <w:p w14:paraId="20891C1A" w14:textId="77777777" w:rsidR="00145930" w:rsidRPr="000D5771" w:rsidRDefault="00145930" w:rsidP="004B4875">
            <w:pPr>
              <w:pStyle w:val="TableText0"/>
              <w:spacing w:before="120"/>
              <w:rPr>
                <w:b/>
                <w:sz w:val="20"/>
                <w:szCs w:val="20"/>
                <w:lang w:val="fr-FR"/>
              </w:rPr>
            </w:pPr>
            <w:r w:rsidRPr="000D5771">
              <w:rPr>
                <w:b/>
                <w:sz w:val="20"/>
                <w:szCs w:val="20"/>
                <w:lang w:val="fr-FR"/>
              </w:rPr>
              <w:t>7, Question D</w:t>
            </w:r>
          </w:p>
          <w:p w14:paraId="4707D601" w14:textId="77777777" w:rsidR="00145930" w:rsidRPr="000D5771" w:rsidRDefault="00145930" w:rsidP="004B4875">
            <w:pPr>
              <w:pStyle w:val="TableText0"/>
              <w:spacing w:before="120"/>
              <w:rPr>
                <w:b/>
                <w:sz w:val="20"/>
                <w:szCs w:val="20"/>
                <w:lang w:val="fr-FR"/>
              </w:rPr>
            </w:pPr>
            <w:r w:rsidRPr="000D5771">
              <w:rPr>
                <w:sz w:val="20"/>
                <w:szCs w:val="20"/>
                <w:lang w:val="fr-FR"/>
              </w:rPr>
              <w:t xml:space="preserve">Modifications apportées à l'Appendice </w:t>
            </w:r>
            <w:r w:rsidRPr="000D5771">
              <w:rPr>
                <w:b/>
                <w:bCs/>
                <w:sz w:val="20"/>
                <w:szCs w:val="20"/>
                <w:lang w:val="fr-FR"/>
              </w:rPr>
              <w:t>1</w:t>
            </w:r>
            <w:r w:rsidRPr="000D5771">
              <w:rPr>
                <w:sz w:val="20"/>
                <w:szCs w:val="20"/>
                <w:lang w:val="fr-FR"/>
              </w:rPr>
              <w:t xml:space="preserve"> de l'Annexe </w:t>
            </w:r>
            <w:r w:rsidRPr="000D5771">
              <w:rPr>
                <w:b/>
                <w:bCs/>
                <w:sz w:val="20"/>
                <w:szCs w:val="20"/>
                <w:lang w:val="fr-FR"/>
              </w:rPr>
              <w:t>4</w:t>
            </w:r>
            <w:r w:rsidRPr="000D5771">
              <w:rPr>
                <w:sz w:val="20"/>
                <w:szCs w:val="20"/>
                <w:lang w:val="fr-FR"/>
              </w:rPr>
              <w:t xml:space="preserve"> de l'Appendice </w:t>
            </w:r>
            <w:r w:rsidRPr="000D5771">
              <w:rPr>
                <w:b/>
                <w:bCs/>
                <w:sz w:val="20"/>
                <w:szCs w:val="20"/>
                <w:lang w:val="fr-FR"/>
              </w:rPr>
              <w:t>30B</w:t>
            </w:r>
            <w:r w:rsidRPr="000D5771">
              <w:rPr>
                <w:sz w:val="20"/>
                <w:szCs w:val="20"/>
                <w:lang w:val="fr-FR"/>
              </w:rPr>
              <w:t xml:space="preserve"> du RR</w:t>
            </w:r>
          </w:p>
        </w:tc>
        <w:tc>
          <w:tcPr>
            <w:tcW w:w="7174" w:type="dxa"/>
          </w:tcPr>
          <w:p w14:paraId="12A9C5EC"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161AB53F" w14:textId="77777777" w:rsidR="00145930" w:rsidRPr="000D5771" w:rsidRDefault="00145930" w:rsidP="004B4875">
            <w:pPr>
              <w:pStyle w:val="enumlev1"/>
              <w:keepLines/>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Question D1:</w:t>
            </w:r>
          </w:p>
          <w:p w14:paraId="19A7E271"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ab/>
            </w:r>
            <w:r w:rsidRPr="000D5771">
              <w:rPr>
                <w:b/>
                <w:bCs/>
                <w:sz w:val="20"/>
              </w:rPr>
              <w:t>Appuyer</w:t>
            </w:r>
            <w:r w:rsidRPr="000D5771">
              <w:rPr>
                <w:sz w:val="20"/>
              </w:rPr>
              <w:t xml:space="preserve"> la seule méthode recensée au titre de cette Question.</w:t>
            </w:r>
          </w:p>
          <w:p w14:paraId="58A6D780"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Question D2:</w:t>
            </w:r>
          </w:p>
          <w:p w14:paraId="13A62A29"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ab/>
            </w:r>
            <w:r w:rsidRPr="000D5771">
              <w:rPr>
                <w:b/>
                <w:bCs/>
                <w:sz w:val="20"/>
              </w:rPr>
              <w:t>Appuyer</w:t>
            </w:r>
            <w:r w:rsidRPr="000D5771">
              <w:rPr>
                <w:sz w:val="20"/>
              </w:rPr>
              <w:t xml:space="preserve"> la modification de l'Appendice </w:t>
            </w:r>
            <w:r w:rsidRPr="000D5771">
              <w:rPr>
                <w:b/>
                <w:bCs/>
                <w:sz w:val="20"/>
              </w:rPr>
              <w:t>4</w:t>
            </w:r>
            <w:r w:rsidRPr="000D5771">
              <w:rPr>
                <w:sz w:val="20"/>
              </w:rPr>
              <w:t xml:space="preserve"> du RR pour faciliter la mise en œuvre des versions révisées approuvées de la Recommandation UIT-R S.1503-3, y compris les nouveaux éléments de données et les éléments de données modifiés.</w:t>
            </w:r>
          </w:p>
          <w:p w14:paraId="68AC2682"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r>
            <w:r w:rsidRPr="000D5771">
              <w:rPr>
                <w:b/>
                <w:bCs/>
                <w:sz w:val="20"/>
              </w:rPr>
              <w:t>Question D3:</w:t>
            </w:r>
          </w:p>
          <w:p w14:paraId="2F4E2B3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ab/>
            </w:r>
            <w:r w:rsidRPr="000D5771">
              <w:rPr>
                <w:b/>
                <w:bCs/>
                <w:sz w:val="20"/>
              </w:rPr>
              <w:t>Appuyer</w:t>
            </w:r>
            <w:r w:rsidRPr="000D5771">
              <w:rPr>
                <w:sz w:val="20"/>
              </w:rPr>
              <w:t xml:space="preserve"> l'envoi par le BR d'un rappel à l'administration notificatrice concernant la confirmation de la date de mise en service/remise en service au titre des numéros </w:t>
            </w:r>
            <w:r w:rsidRPr="000D5771">
              <w:rPr>
                <w:b/>
                <w:bCs/>
                <w:sz w:val="20"/>
              </w:rPr>
              <w:t>11.44B</w:t>
            </w:r>
            <w:r w:rsidRPr="000D5771">
              <w:rPr>
                <w:sz w:val="20"/>
              </w:rPr>
              <w:t xml:space="preserve">, </w:t>
            </w:r>
            <w:r w:rsidRPr="000D5771">
              <w:rPr>
                <w:b/>
                <w:bCs/>
                <w:sz w:val="20"/>
              </w:rPr>
              <w:t>11.44C</w:t>
            </w:r>
            <w:r w:rsidRPr="000D5771">
              <w:rPr>
                <w:sz w:val="20"/>
              </w:rPr>
              <w:t xml:space="preserve">, </w:t>
            </w:r>
            <w:r w:rsidRPr="000D5771">
              <w:rPr>
                <w:b/>
                <w:bCs/>
                <w:sz w:val="20"/>
              </w:rPr>
              <w:t>11.44D</w:t>
            </w:r>
            <w:r w:rsidRPr="000D5771">
              <w:rPr>
                <w:sz w:val="20"/>
              </w:rPr>
              <w:t xml:space="preserve">, et </w:t>
            </w:r>
            <w:r w:rsidRPr="000D5771">
              <w:rPr>
                <w:b/>
                <w:bCs/>
                <w:sz w:val="20"/>
              </w:rPr>
              <w:t>11.44E</w:t>
            </w:r>
            <w:r w:rsidRPr="000D5771">
              <w:rPr>
                <w:sz w:val="20"/>
              </w:rPr>
              <w:t>, selon le cas.</w:t>
            </w:r>
          </w:p>
          <w:p w14:paraId="64DD66C0"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w:t>
            </w:r>
            <w:r w:rsidRPr="000D5771">
              <w:rPr>
                <w:rStyle w:val="NoteChar"/>
                <w:i/>
                <w:iCs/>
                <w:sz w:val="20"/>
                <w:szCs w:val="20"/>
                <w:u w:val="single"/>
              </w:rPr>
              <w:t xml:space="preserve"> Marche à suivre</w:t>
            </w:r>
          </w:p>
          <w:p w14:paraId="1CBBB84E"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r w:rsidRPr="000D5771">
              <w:rPr>
                <w:b/>
                <w:bCs/>
                <w:sz w:val="20"/>
                <w:szCs w:val="20"/>
                <w:lang w:val="fr-FR"/>
              </w:rPr>
              <w:t>:</w:t>
            </w:r>
          </w:p>
          <w:p w14:paraId="689A5908" w14:textId="77777777" w:rsidR="00145930" w:rsidRPr="000D5771" w:rsidRDefault="00145930" w:rsidP="004B4875">
            <w:pPr>
              <w:pStyle w:val="TableText0"/>
              <w:rPr>
                <w:i/>
                <w:iCs/>
                <w:sz w:val="20"/>
                <w:szCs w:val="20"/>
                <w:u w:val="single"/>
                <w:lang w:val="fr-FR"/>
              </w:rPr>
            </w:pPr>
            <w:r w:rsidRPr="000D5771">
              <w:rPr>
                <w:sz w:val="20"/>
                <w:szCs w:val="20"/>
                <w:lang w:val="fr-FR"/>
              </w:rPr>
              <w:t>d'</w:t>
            </w:r>
            <w:r w:rsidRPr="000D5771">
              <w:rPr>
                <w:b/>
                <w:bCs/>
                <w:sz w:val="20"/>
                <w:szCs w:val="20"/>
                <w:lang w:val="fr-FR"/>
              </w:rPr>
              <w:t>appuyer</w:t>
            </w:r>
            <w:r w:rsidRPr="000D5771">
              <w:rPr>
                <w:sz w:val="20"/>
                <w:szCs w:val="20"/>
                <w:lang w:val="fr-FR"/>
              </w:rPr>
              <w:t xml:space="preserve"> la proposition africaine commune relative à cette Question.</w:t>
            </w:r>
          </w:p>
        </w:tc>
      </w:tr>
      <w:tr w:rsidR="00145930" w:rsidRPr="000D5771" w14:paraId="5F137E9D" w14:textId="77777777" w:rsidTr="004B4875">
        <w:trPr>
          <w:cantSplit/>
        </w:trPr>
        <w:tc>
          <w:tcPr>
            <w:tcW w:w="2972" w:type="dxa"/>
            <w:tcBorders>
              <w:top w:val="single" w:sz="4" w:space="0" w:color="auto"/>
            </w:tcBorders>
          </w:tcPr>
          <w:p w14:paraId="048B648D" w14:textId="77777777" w:rsidR="00145930" w:rsidRPr="000D5771" w:rsidRDefault="00145930" w:rsidP="004B4875">
            <w:pPr>
              <w:pStyle w:val="TableText0"/>
              <w:spacing w:before="120"/>
              <w:rPr>
                <w:b/>
                <w:sz w:val="20"/>
                <w:szCs w:val="20"/>
                <w:lang w:val="fr-FR"/>
              </w:rPr>
            </w:pPr>
            <w:r w:rsidRPr="000D5771">
              <w:rPr>
                <w:b/>
                <w:sz w:val="20"/>
                <w:szCs w:val="20"/>
                <w:lang w:val="fr-FR"/>
              </w:rPr>
              <w:t>7, Question E</w:t>
            </w:r>
          </w:p>
          <w:p w14:paraId="729D15BD" w14:textId="77777777" w:rsidR="00145930" w:rsidRPr="000D5771" w:rsidRDefault="00145930" w:rsidP="004B4875">
            <w:pPr>
              <w:pStyle w:val="TableText0"/>
              <w:spacing w:before="120"/>
              <w:rPr>
                <w:bCs/>
                <w:sz w:val="20"/>
                <w:szCs w:val="20"/>
                <w:lang w:val="fr-FR"/>
              </w:rPr>
            </w:pPr>
            <w:r w:rsidRPr="000D5771">
              <w:rPr>
                <w:bCs/>
                <w:sz w:val="20"/>
                <w:szCs w:val="20"/>
                <w:lang w:val="fr-FR"/>
              </w:rPr>
              <w:t xml:space="preserve">Amélioration des procédures de l'Appendice </w:t>
            </w:r>
            <w:r w:rsidRPr="000D5771">
              <w:rPr>
                <w:b/>
                <w:sz w:val="20"/>
                <w:szCs w:val="20"/>
                <w:lang w:val="fr-FR"/>
              </w:rPr>
              <w:t>30B</w:t>
            </w:r>
            <w:r w:rsidRPr="000D5771">
              <w:rPr>
                <w:bCs/>
                <w:sz w:val="20"/>
                <w:szCs w:val="20"/>
                <w:lang w:val="fr-FR"/>
              </w:rPr>
              <w:t xml:space="preserve"> du RR pour les nouveaux États Membres de l'UIT</w:t>
            </w:r>
          </w:p>
        </w:tc>
        <w:tc>
          <w:tcPr>
            <w:tcW w:w="7174" w:type="dxa"/>
          </w:tcPr>
          <w:p w14:paraId="0F57ED6C"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3B3C0228"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r>
            <w:r w:rsidRPr="000D5771">
              <w:rPr>
                <w:b/>
                <w:bCs/>
                <w:sz w:val="20"/>
              </w:rPr>
              <w:t>Appuyer</w:t>
            </w:r>
            <w:r w:rsidRPr="000D5771">
              <w:rPr>
                <w:sz w:val="20"/>
              </w:rPr>
              <w:t xml:space="preserve"> la proposition du Soudan du Sud visant à demander que les nouveaux États Membres de l'UIT se voient accorder les mêmes droits que les autres États Membres dans l'Appendice </w:t>
            </w:r>
            <w:r w:rsidRPr="000D5771">
              <w:rPr>
                <w:b/>
                <w:bCs/>
                <w:sz w:val="20"/>
              </w:rPr>
              <w:t>30B</w:t>
            </w:r>
            <w:r w:rsidRPr="000D5771">
              <w:rPr>
                <w:sz w:val="20"/>
              </w:rPr>
              <w:t xml:space="preserve">, conformément aux principes énoncés dans l'article 44 de la Constitution, dans la Résolution </w:t>
            </w:r>
            <w:r w:rsidRPr="000D5771">
              <w:rPr>
                <w:b/>
                <w:bCs/>
                <w:sz w:val="20"/>
              </w:rPr>
              <w:t xml:space="preserve">2 (Rév.CMR-03) </w:t>
            </w:r>
            <w:r w:rsidRPr="000D5771">
              <w:rPr>
                <w:sz w:val="20"/>
              </w:rPr>
              <w:t xml:space="preserve">et dans l'Article </w:t>
            </w:r>
            <w:r w:rsidRPr="000D5771">
              <w:rPr>
                <w:b/>
                <w:bCs/>
                <w:sz w:val="20"/>
              </w:rPr>
              <w:t>1</w:t>
            </w:r>
            <w:r w:rsidRPr="000D5771">
              <w:rPr>
                <w:sz w:val="20"/>
              </w:rPr>
              <w:t xml:space="preserve"> de l'Appendice </w:t>
            </w:r>
            <w:r w:rsidRPr="000D5771">
              <w:rPr>
                <w:b/>
                <w:bCs/>
                <w:sz w:val="20"/>
              </w:rPr>
              <w:t>30B</w:t>
            </w:r>
            <w:r w:rsidRPr="000D5771">
              <w:rPr>
                <w:sz w:val="20"/>
              </w:rPr>
              <w:t>.</w:t>
            </w:r>
          </w:p>
          <w:p w14:paraId="082B7BA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Appuyer</w:t>
            </w:r>
            <w:r w:rsidRPr="000D5771">
              <w:rPr>
                <w:sz w:val="20"/>
              </w:rPr>
              <w:t xml:space="preserve"> les efforts visant à éviter toute dégradation future des niveaux cumulatifs du rapport </w:t>
            </w:r>
            <w:r w:rsidRPr="000D5771">
              <w:rPr>
                <w:i/>
                <w:iCs/>
                <w:sz w:val="20"/>
              </w:rPr>
              <w:t>C</w:t>
            </w:r>
            <w:r w:rsidRPr="000D5771">
              <w:rPr>
                <w:sz w:val="20"/>
              </w:rPr>
              <w:t>/</w:t>
            </w:r>
            <w:r w:rsidRPr="000D5771">
              <w:rPr>
                <w:i/>
                <w:iCs/>
                <w:sz w:val="20"/>
              </w:rPr>
              <w:t>I</w:t>
            </w:r>
            <w:r w:rsidRPr="000D5771">
              <w:rPr>
                <w:sz w:val="20"/>
              </w:rPr>
              <w:t xml:space="preserve"> résultant des soumissions au titre de la Partie A reçues avant la soumission au Bureau de l'allotissement national demandé pour les réseaux à satellite de ces 7 administrations.</w:t>
            </w:r>
          </w:p>
          <w:p w14:paraId="07341F60"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r>
            <w:r w:rsidRPr="000D5771">
              <w:rPr>
                <w:b/>
                <w:bCs/>
                <w:sz w:val="20"/>
              </w:rPr>
              <w:t>Appuyer la Méthode E2</w:t>
            </w:r>
            <w:r w:rsidRPr="000D5771">
              <w:rPr>
                <w:sz w:val="20"/>
              </w:rPr>
              <w:t xml:space="preserve"> pour faciliter la coordination et la protection du nouvel allotissement pour les nouveaux États Membres de l'UIT.</w:t>
            </w:r>
          </w:p>
          <w:p w14:paraId="75A44797"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w:t>
            </w:r>
            <w:r w:rsidRPr="000D5771">
              <w:rPr>
                <w:rStyle w:val="NoteChar"/>
                <w:i/>
                <w:iCs/>
                <w:sz w:val="20"/>
                <w:szCs w:val="20"/>
                <w:u w:val="single"/>
              </w:rPr>
              <w:t xml:space="preserve"> Marche à suivre</w:t>
            </w:r>
          </w:p>
          <w:p w14:paraId="3A5B6205"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r w:rsidRPr="000D5771">
              <w:rPr>
                <w:b/>
                <w:bCs/>
                <w:sz w:val="20"/>
                <w:szCs w:val="20"/>
                <w:lang w:val="fr-FR"/>
              </w:rPr>
              <w:t>:</w:t>
            </w:r>
          </w:p>
          <w:p w14:paraId="5ECC1E86"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d'</w:t>
            </w:r>
            <w:r w:rsidRPr="000D5771">
              <w:rPr>
                <w:b/>
                <w:bCs/>
                <w:sz w:val="20"/>
              </w:rPr>
              <w:t>appuyer</w:t>
            </w:r>
            <w:r w:rsidRPr="000D5771">
              <w:rPr>
                <w:sz w:val="20"/>
              </w:rPr>
              <w:t xml:space="preserve"> la proposition africaine commune relative à cette question;</w:t>
            </w:r>
          </w:p>
          <w:p w14:paraId="57BBEA2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t>d'</w:t>
            </w:r>
            <w:r w:rsidRPr="000D5771">
              <w:rPr>
                <w:b/>
                <w:bCs/>
                <w:sz w:val="20"/>
              </w:rPr>
              <w:t>examiner</w:t>
            </w:r>
            <w:r w:rsidRPr="000D5771">
              <w:rPr>
                <w:sz w:val="20"/>
              </w:rPr>
              <w:t xml:space="preserve"> la méthode proposée lors de l'élaboration de la contribution commune à la CMR-23.</w:t>
            </w:r>
          </w:p>
        </w:tc>
      </w:tr>
      <w:tr w:rsidR="00145930" w:rsidRPr="000D5771" w14:paraId="53DE45EC" w14:textId="77777777" w:rsidTr="004B4875">
        <w:trPr>
          <w:cantSplit/>
        </w:trPr>
        <w:tc>
          <w:tcPr>
            <w:tcW w:w="2972" w:type="dxa"/>
            <w:tcBorders>
              <w:top w:val="single" w:sz="4" w:space="0" w:color="auto"/>
            </w:tcBorders>
          </w:tcPr>
          <w:p w14:paraId="09ED24B4"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7, Question F</w:t>
            </w:r>
          </w:p>
          <w:p w14:paraId="69A5D4CC" w14:textId="77777777" w:rsidR="00145930" w:rsidRPr="000D5771" w:rsidRDefault="00145930" w:rsidP="004B4875">
            <w:pPr>
              <w:pStyle w:val="TableText0"/>
              <w:spacing w:before="120"/>
              <w:rPr>
                <w:bCs/>
                <w:sz w:val="20"/>
                <w:szCs w:val="20"/>
                <w:lang w:val="fr-FR"/>
              </w:rPr>
            </w:pPr>
            <w:r w:rsidRPr="000D5771">
              <w:rPr>
                <w:bCs/>
                <w:sz w:val="20"/>
                <w:szCs w:val="20"/>
                <w:lang w:val="fr-FR"/>
              </w:rPr>
              <w:t>Incidences de l'exclusion de la zone de service et de la zone de couverture en liaison de connexion/liaison montante dans les bandes de fréquences soumises aux dispositions des Appendices 30A et 30B du RR</w:t>
            </w:r>
          </w:p>
        </w:tc>
        <w:tc>
          <w:tcPr>
            <w:tcW w:w="7174" w:type="dxa"/>
            <w:tcBorders>
              <w:top w:val="single" w:sz="4" w:space="0" w:color="auto"/>
            </w:tcBorders>
          </w:tcPr>
          <w:p w14:paraId="19E173EC"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7928E817" w14:textId="77777777" w:rsidR="00145930" w:rsidRPr="000D5771" w:rsidRDefault="00145930" w:rsidP="004B4875">
            <w:pPr>
              <w:pStyle w:val="TableText0"/>
              <w:spacing w:before="120"/>
              <w:rPr>
                <w:sz w:val="20"/>
                <w:lang w:val="fr-FR"/>
              </w:rPr>
            </w:pPr>
            <w:r w:rsidRPr="000D5771">
              <w:rPr>
                <w:sz w:val="20"/>
                <w:lang w:val="fr-FR"/>
              </w:rPr>
              <w:t>Comme indiqué dans le résumé analytique du Rapport de la RPC à la CMR</w:t>
            </w:r>
            <w:r w:rsidRPr="000D5771">
              <w:rPr>
                <w:sz w:val="20"/>
                <w:lang w:val="fr-FR"/>
              </w:rPr>
              <w:noBreakHyphen/>
              <w:t xml:space="preserve">23, à l'exception de la Méthode F1, dans laquelle il est proposé qu'aucune modification ne soit apportée au Règlement des radiocommunications, toutes les autres Méthodes (F2, F3 et F4) consistent à ajouter une nouvelle disposition dans l'Article </w:t>
            </w:r>
            <w:r w:rsidRPr="000D5771">
              <w:rPr>
                <w:b/>
                <w:bCs/>
                <w:sz w:val="20"/>
                <w:lang w:val="fr-FR"/>
              </w:rPr>
              <w:t xml:space="preserve">4 </w:t>
            </w:r>
            <w:r w:rsidRPr="000D5771">
              <w:rPr>
                <w:sz w:val="20"/>
                <w:lang w:val="fr-FR"/>
              </w:rPr>
              <w:t>de l'Appendice </w:t>
            </w:r>
            <w:r w:rsidRPr="000D5771">
              <w:rPr>
                <w:b/>
                <w:sz w:val="20"/>
                <w:lang w:val="fr-FR"/>
              </w:rPr>
              <w:t>30A</w:t>
            </w:r>
            <w:r w:rsidRPr="000D5771">
              <w:rPr>
                <w:sz w:val="20"/>
                <w:lang w:val="fr-FR"/>
              </w:rPr>
              <w:t xml:space="preserve"> du RR, pour permettre à une administration de demander à tout moment que son territoire soit exclu de la zone de service en liaison de connexion d'un réseau à satellite d'autres administrations. Par conséquent, il est entendu que cette nouvelle disposition fait l'objet d'un consensus.</w:t>
            </w:r>
          </w:p>
          <w:p w14:paraId="315CC5E0" w14:textId="77777777" w:rsidR="00145930" w:rsidRPr="000D5771" w:rsidRDefault="00145930" w:rsidP="004B4875">
            <w:pPr>
              <w:pStyle w:val="TableText0"/>
              <w:rPr>
                <w:sz w:val="20"/>
                <w:lang w:val="fr-FR"/>
              </w:rPr>
            </w:pPr>
            <w:r w:rsidRPr="000D5771">
              <w:rPr>
                <w:sz w:val="20"/>
                <w:lang w:val="fr-FR"/>
              </w:rPr>
              <w:t>En outre, lors des discussions qui ont eu lieu au sein du Groupe de travail 4A de l'UIT</w:t>
            </w:r>
            <w:r w:rsidRPr="000D5771">
              <w:rPr>
                <w:sz w:val="20"/>
                <w:lang w:val="fr-FR"/>
              </w:rPr>
              <w:noBreakHyphen/>
              <w:t xml:space="preserve">R, il a été généralement accepté d'insérer une définition de la zone de couverture en liaison de connexion/liaison montante dans les Appendices </w:t>
            </w:r>
            <w:r w:rsidRPr="000D5771">
              <w:rPr>
                <w:b/>
                <w:sz w:val="20"/>
                <w:lang w:val="fr-FR"/>
              </w:rPr>
              <w:t>30A</w:t>
            </w:r>
            <w:r w:rsidRPr="000D5771">
              <w:rPr>
                <w:sz w:val="20"/>
                <w:lang w:val="fr-FR"/>
              </w:rPr>
              <w:t xml:space="preserve"> et </w:t>
            </w:r>
            <w:r w:rsidRPr="000D5771">
              <w:rPr>
                <w:b/>
                <w:sz w:val="20"/>
                <w:lang w:val="fr-FR"/>
              </w:rPr>
              <w:t>30B</w:t>
            </w:r>
            <w:r w:rsidRPr="000D5771">
              <w:rPr>
                <w:sz w:val="20"/>
                <w:lang w:val="fr-FR"/>
              </w:rPr>
              <w:t xml:space="preserve"> du RR</w:t>
            </w:r>
          </w:p>
          <w:p w14:paraId="4F1FDE3E" w14:textId="77777777" w:rsidR="00145930" w:rsidRPr="000D5771" w:rsidRDefault="00145930" w:rsidP="004B4875">
            <w:pPr>
              <w:pStyle w:val="TableText0"/>
              <w:rPr>
                <w:sz w:val="20"/>
                <w:lang w:val="fr-FR"/>
              </w:rPr>
            </w:pPr>
            <w:r w:rsidRPr="000D5771">
              <w:rPr>
                <w:sz w:val="20"/>
                <w:lang w:val="fr-FR"/>
              </w:rPr>
              <w:t xml:space="preserve">Dans la Méthode F3, il est proposé d'autoriser les administrations à déplacer les points de mesure en liaison de connexion/liaison montante, à condition que ce déplacement ne cause pas plus de brouillages. Cette proposition est considérée comme raisonnable, étant donné que les Appendices </w:t>
            </w:r>
            <w:r w:rsidRPr="000D5771">
              <w:rPr>
                <w:b/>
                <w:sz w:val="20"/>
                <w:lang w:val="fr-FR"/>
              </w:rPr>
              <w:t>30</w:t>
            </w:r>
            <w:r w:rsidRPr="000D5771">
              <w:rPr>
                <w:sz w:val="20"/>
                <w:lang w:val="fr-FR"/>
              </w:rPr>
              <w:t xml:space="preserve"> et </w:t>
            </w:r>
            <w:r w:rsidRPr="000D5771">
              <w:rPr>
                <w:b/>
                <w:sz w:val="20"/>
                <w:lang w:val="fr-FR"/>
              </w:rPr>
              <w:t>30B</w:t>
            </w:r>
            <w:r w:rsidRPr="000D5771">
              <w:rPr>
                <w:sz w:val="20"/>
                <w:lang w:val="fr-FR"/>
              </w:rPr>
              <w:t xml:space="preserve"> du RR offrent la même possibilité pour la liaison descendante.</w:t>
            </w:r>
          </w:p>
          <w:p w14:paraId="149DCF63" w14:textId="77777777" w:rsidR="00145930" w:rsidRPr="000D5771" w:rsidRDefault="00145930" w:rsidP="004B4875">
            <w:pPr>
              <w:pStyle w:val="TableText0"/>
              <w:rPr>
                <w:sz w:val="20"/>
                <w:lang w:val="fr-FR"/>
              </w:rPr>
            </w:pPr>
            <w:r w:rsidRPr="000D5771">
              <w:rPr>
                <w:sz w:val="20"/>
                <w:lang w:val="fr-FR"/>
              </w:rPr>
              <w:t xml:space="preserve">Compte tenu de ce qui précède et afin de remédier à la divergence qui subsiste entre les Méthodes F2 et F3 en ce qui concerne l'acceptation des brouillages, il est proposé d'envisager l'adoption de la Méthode F4, et plus particulièrement de la proposition consistant à modifier la Section 4 de l'Annexe 1 de l'Appendice </w:t>
            </w:r>
            <w:r w:rsidRPr="000D5771">
              <w:rPr>
                <w:b/>
                <w:sz w:val="20"/>
                <w:lang w:val="fr-FR"/>
              </w:rPr>
              <w:t>30A</w:t>
            </w:r>
            <w:r w:rsidRPr="000D5771">
              <w:rPr>
                <w:sz w:val="20"/>
                <w:lang w:val="fr-FR"/>
              </w:rPr>
              <w:t xml:space="preserve"> du RR dans le cadre de ladite Méthode moyennant les modifications ci-après, qui s'appliqueront aux Appendices </w:t>
            </w:r>
            <w:r w:rsidRPr="000D5771">
              <w:rPr>
                <w:b/>
                <w:sz w:val="20"/>
                <w:lang w:val="fr-FR"/>
              </w:rPr>
              <w:t>30A</w:t>
            </w:r>
            <w:r w:rsidRPr="000D5771">
              <w:rPr>
                <w:sz w:val="20"/>
                <w:lang w:val="fr-FR"/>
              </w:rPr>
              <w:t xml:space="preserve"> et </w:t>
            </w:r>
            <w:r w:rsidRPr="000D5771">
              <w:rPr>
                <w:b/>
                <w:sz w:val="20"/>
                <w:lang w:val="fr-FR"/>
              </w:rPr>
              <w:t>30B</w:t>
            </w:r>
            <w:r w:rsidRPr="000D5771">
              <w:rPr>
                <w:sz w:val="20"/>
                <w:lang w:val="fr-FR"/>
              </w:rPr>
              <w:t xml:space="preserve"> du RR.</w:t>
            </w:r>
          </w:p>
          <w:p w14:paraId="0529BAC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a)</w:t>
            </w:r>
            <w:r w:rsidRPr="000D5771">
              <w:rPr>
                <w:sz w:val="20"/>
              </w:rPr>
              <w:tab/>
            </w:r>
            <w:bookmarkStart w:id="23" w:name="lt_pId489"/>
            <w:r w:rsidRPr="000D5771">
              <w:rPr>
                <w:sz w:val="20"/>
              </w:rPr>
              <w:t>Un réseau relevant de la Question F est identifié comme suit:</w:t>
            </w:r>
            <w:bookmarkEnd w:id="23"/>
          </w:p>
          <w:p w14:paraId="2CEFCF92"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1)</w:t>
            </w:r>
            <w:r w:rsidRPr="000D5771">
              <w:rPr>
                <w:sz w:val="20"/>
              </w:rPr>
              <w:tab/>
              <w:t>sa zone de service doit être limitée au territoire national si l'administration notificatrice agit en son nom propre, ou aux territoires nationaux des administrations participant à ce réseau;</w:t>
            </w:r>
          </w:p>
          <w:p w14:paraId="06FAD501"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2)</w:t>
            </w:r>
            <w:r w:rsidRPr="000D5771">
              <w:rPr>
                <w:sz w:val="20"/>
              </w:rPr>
              <w:tab/>
              <w:t>la zone de couverture doit être la plus petite possible, tout en englobant la zone de service;</w:t>
            </w:r>
          </w:p>
          <w:p w14:paraId="5FCA4D58"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3)</w:t>
            </w:r>
            <w:r w:rsidRPr="000D5771">
              <w:rPr>
                <w:sz w:val="20"/>
              </w:rPr>
              <w:tab/>
              <w:t>l'administration notificatrice doit demander expressément au Bureau de traiter la soumission comme relevant de la Question F du point 7 de l'ordre du jour de la CMR-23.</w:t>
            </w:r>
          </w:p>
          <w:p w14:paraId="6F061BD5"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b)</w:t>
            </w:r>
            <w:r w:rsidRPr="000D5771">
              <w:rPr>
                <w:sz w:val="20"/>
              </w:rPr>
              <w:tab/>
              <w:t>En lieu et place de la zone de couverture en liaison montante soumise, le Bureau doit utiliser la zone de couverture en liaison montante de remplacement d'un réseau existant pour examiner un réseau relevant de la Question F. Cette zone de couverture en liaison montante de remplacement doit être calculée sur la base des points de mesure en liaison montante associés à la zone de service en liaison montante du réseau existant considéré. En particulier, pour chaque zone de service en liaison montante de ce réseau existant, une zone de couverture en liaison montante correspondante sera créée sur la base des points de mesure associés à cette zone de service en liaison montante. Une ellipse minimale sera créée pour chaque point de mesure en liaison montante et la combinaison de toutes ces ellipses minimales convertie en un faisceau modelé représente la zone de couverture en liaison montante correspondante que le Bureau doit utiliser pour procéder à l'examen technique de la liaison montante.</w:t>
            </w:r>
          </w:p>
          <w:p w14:paraId="5866A5AD"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c)</w:t>
            </w:r>
            <w:r w:rsidRPr="000D5771">
              <w:rPr>
                <w:sz w:val="20"/>
              </w:rPr>
              <w:tab/>
              <w:t xml:space="preserve">Concernant l'Appendice </w:t>
            </w:r>
            <w:r w:rsidRPr="000D5771">
              <w:rPr>
                <w:b/>
                <w:bCs/>
                <w:sz w:val="20"/>
              </w:rPr>
              <w:t>30A</w:t>
            </w:r>
            <w:r w:rsidRPr="000D5771">
              <w:rPr>
                <w:sz w:val="20"/>
              </w:rPr>
              <w:t xml:space="preserve"> du RR, le réseau existant visé au point b) ci-dessus est un réseau additionnel soumis conformément à l'Article </w:t>
            </w:r>
            <w:r w:rsidRPr="000D5771">
              <w:rPr>
                <w:b/>
                <w:bCs/>
                <w:sz w:val="20"/>
              </w:rPr>
              <w:t>4</w:t>
            </w:r>
            <w:r w:rsidRPr="000D5771">
              <w:rPr>
                <w:sz w:val="20"/>
              </w:rPr>
              <w:t xml:space="preserve"> dans les Régions 1 et 3.</w:t>
            </w:r>
          </w:p>
          <w:p w14:paraId="74EEBBE1"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d)</w:t>
            </w:r>
            <w:r w:rsidRPr="000D5771">
              <w:rPr>
                <w:sz w:val="20"/>
              </w:rPr>
              <w:tab/>
              <w:t xml:space="preserve">Concernant l'Appendice </w:t>
            </w:r>
            <w:r w:rsidRPr="000D5771">
              <w:rPr>
                <w:b/>
                <w:bCs/>
                <w:sz w:val="20"/>
              </w:rPr>
              <w:t>30B</w:t>
            </w:r>
            <w:r w:rsidRPr="000D5771">
              <w:rPr>
                <w:sz w:val="20"/>
              </w:rPr>
              <w:t xml:space="preserve"> du RR, le réseau existant visé au point b) ci-dessus est un système additionnel soumis conformément au § 6.1 (Article </w:t>
            </w:r>
            <w:r w:rsidRPr="000D5771">
              <w:rPr>
                <w:b/>
                <w:bCs/>
                <w:sz w:val="20"/>
              </w:rPr>
              <w:t>6</w:t>
            </w:r>
            <w:r w:rsidRPr="000D5771">
              <w:rPr>
                <w:sz w:val="20"/>
              </w:rPr>
              <w:t xml:space="preserve">) de l'Appendice </w:t>
            </w:r>
            <w:r w:rsidRPr="000D5771">
              <w:rPr>
                <w:b/>
                <w:bCs/>
                <w:sz w:val="20"/>
              </w:rPr>
              <w:t>30B</w:t>
            </w:r>
            <w:r w:rsidRPr="000D5771">
              <w:rPr>
                <w:sz w:val="20"/>
              </w:rPr>
              <w:t xml:space="preserve"> du RR et non assujetti à la Résolution </w:t>
            </w:r>
            <w:r w:rsidRPr="000D5771">
              <w:rPr>
                <w:b/>
                <w:bCs/>
                <w:sz w:val="20"/>
              </w:rPr>
              <w:t>170 (CMR-19)</w:t>
            </w:r>
            <w:r w:rsidRPr="000D5771">
              <w:rPr>
                <w:sz w:val="20"/>
              </w:rPr>
              <w:t xml:space="preserve"> ou correspond à la conversion d'un allotissement en une assignation avec modification en dehors des limites de l'enveloppe de l'allotissement et non assujettie à la Résolution </w:t>
            </w:r>
            <w:r w:rsidRPr="000D5771">
              <w:rPr>
                <w:b/>
                <w:bCs/>
                <w:sz w:val="20"/>
              </w:rPr>
              <w:t>170 (CMR-19)</w:t>
            </w:r>
            <w:r w:rsidRPr="000D5771">
              <w:rPr>
                <w:sz w:val="20"/>
              </w:rPr>
              <w:t>.</w:t>
            </w:r>
          </w:p>
          <w:p w14:paraId="05AAA55F"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e)</w:t>
            </w:r>
            <w:r w:rsidRPr="000D5771">
              <w:rPr>
                <w:sz w:val="20"/>
              </w:rPr>
              <w:tab/>
              <w:t xml:space="preserve">Une fois qu'un réseau relevant de la Question F est inscrit dans la Liste, la situation de référence d'un réseau existant visé au point c) ci-dessus pour l'Appendice </w:t>
            </w:r>
            <w:r w:rsidRPr="000D5771">
              <w:rPr>
                <w:b/>
                <w:bCs/>
                <w:sz w:val="20"/>
              </w:rPr>
              <w:t>30A</w:t>
            </w:r>
            <w:r w:rsidRPr="000D5771">
              <w:rPr>
                <w:sz w:val="20"/>
              </w:rPr>
              <w:t xml:space="preserve"> du RR et au point d) ci-dessus pour l'Appendice </w:t>
            </w:r>
            <w:r w:rsidRPr="000D5771">
              <w:rPr>
                <w:b/>
                <w:bCs/>
                <w:sz w:val="20"/>
              </w:rPr>
              <w:t>30B</w:t>
            </w:r>
            <w:r w:rsidRPr="000D5771">
              <w:rPr>
                <w:sz w:val="20"/>
              </w:rPr>
              <w:t xml:space="preserve"> du RR et </w:t>
            </w:r>
            <w:r w:rsidRPr="000D5771">
              <w:rPr>
                <w:sz w:val="20"/>
              </w:rPr>
              <w:lastRenderedPageBreak/>
              <w:t>avec lequel la coordination a été menée à bien ou n'est pas nécessaire, compte tenu de la zone de couverture en liaison montante de remplacement, ne sera pas mise à jour.</w:t>
            </w:r>
          </w:p>
          <w:p w14:paraId="7E96E016"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f)</w:t>
            </w:r>
            <w:r w:rsidRPr="000D5771">
              <w:rPr>
                <w:sz w:val="20"/>
              </w:rPr>
              <w:tab/>
              <w:t xml:space="preserve">Pour l'examen par le Bureau du réseau relevant de la Question F par rapport à un réseau existant visé au point d) ci-dessus pour l'Appendice </w:t>
            </w:r>
            <w:r w:rsidRPr="000D5771">
              <w:rPr>
                <w:b/>
                <w:bCs/>
                <w:sz w:val="20"/>
              </w:rPr>
              <w:t>30B</w:t>
            </w:r>
            <w:r w:rsidRPr="000D5771">
              <w:rPr>
                <w:sz w:val="20"/>
              </w:rPr>
              <w:t xml:space="preserve"> du RR, la liaison descendante et la liaison montante seront examinées séparément. La valeur du rapport </w:t>
            </w:r>
            <w:r w:rsidRPr="000D5771">
              <w:rPr>
                <w:i/>
                <w:iCs/>
                <w:sz w:val="20"/>
              </w:rPr>
              <w:t>C</w:t>
            </w:r>
            <w:r w:rsidRPr="000D5771">
              <w:rPr>
                <w:sz w:val="20"/>
              </w:rPr>
              <w:t>/</w:t>
            </w:r>
            <w:r w:rsidRPr="000D5771">
              <w:rPr>
                <w:i/>
                <w:iCs/>
                <w:sz w:val="20"/>
              </w:rPr>
              <w:t>I</w:t>
            </w:r>
            <w:r w:rsidRPr="000D5771">
              <w:rPr>
                <w:sz w:val="20"/>
              </w:rPr>
              <w:t xml:space="preserve"> pour un brouillage dû à une source unique et les critères de puissance surfacique définis dans l'Appendice 1de la Pièce jointe 1 à la Résolution </w:t>
            </w:r>
            <w:r w:rsidRPr="000D5771">
              <w:rPr>
                <w:b/>
                <w:bCs/>
                <w:sz w:val="20"/>
              </w:rPr>
              <w:t>170 (CMR-19)</w:t>
            </w:r>
            <w:r w:rsidRPr="000D5771">
              <w:rPr>
                <w:sz w:val="20"/>
              </w:rPr>
              <w:t xml:space="preserve"> ou dans toute future version actualisée de cette Résolution doivent être utilisés par le Bureau en lieu et place des valeurs définies dans l'Annexe 4 de l'Appendice </w:t>
            </w:r>
            <w:r w:rsidRPr="000D5771">
              <w:rPr>
                <w:b/>
                <w:bCs/>
                <w:sz w:val="20"/>
              </w:rPr>
              <w:t>30B</w:t>
            </w:r>
            <w:r w:rsidRPr="000D5771">
              <w:rPr>
                <w:sz w:val="20"/>
              </w:rPr>
              <w:t xml:space="preserve"> du RR;</w:t>
            </w:r>
          </w:p>
          <w:p w14:paraId="7D1F9D21"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g)</w:t>
            </w:r>
            <w:r w:rsidRPr="000D5771">
              <w:rPr>
                <w:sz w:val="20"/>
              </w:rPr>
              <w:tab/>
              <w:t>Si un réseau affecté visé au point c) ou d) ci-dessus est inscrit dans la Liste, le Bureau doit examiner le statut du réseau relevant de la Question F dans la Liste en conséquence, en appliquant les principes énoncés au point b) ci-dessus et dans la note de bas de page 9</w:t>
            </w:r>
            <w:r w:rsidRPr="000D5771">
              <w:rPr>
                <w:i/>
                <w:iCs/>
                <w:sz w:val="20"/>
              </w:rPr>
              <w:t>bis</w:t>
            </w:r>
            <w:r w:rsidRPr="000D5771">
              <w:rPr>
                <w:sz w:val="20"/>
              </w:rPr>
              <w:t xml:space="preserve"> de l'Article </w:t>
            </w:r>
            <w:r w:rsidRPr="000D5771">
              <w:rPr>
                <w:b/>
                <w:bCs/>
                <w:sz w:val="20"/>
              </w:rPr>
              <w:t>4</w:t>
            </w:r>
            <w:r w:rsidRPr="000D5771">
              <w:rPr>
                <w:sz w:val="20"/>
              </w:rPr>
              <w:t xml:space="preserve"> de l'Appendice </w:t>
            </w:r>
            <w:r w:rsidRPr="000D5771">
              <w:rPr>
                <w:b/>
                <w:bCs/>
                <w:sz w:val="20"/>
              </w:rPr>
              <w:t>30A</w:t>
            </w:r>
            <w:r w:rsidRPr="000D5771">
              <w:rPr>
                <w:sz w:val="20"/>
              </w:rPr>
              <w:t xml:space="preserve"> du RR ou dans la note de bas de page 7</w:t>
            </w:r>
            <w:r w:rsidRPr="000D5771">
              <w:rPr>
                <w:i/>
                <w:iCs/>
                <w:sz w:val="20"/>
              </w:rPr>
              <w:t>bis</w:t>
            </w:r>
            <w:r w:rsidRPr="000D5771">
              <w:rPr>
                <w:sz w:val="20"/>
              </w:rPr>
              <w:t xml:space="preserve"> de l'Appendice </w:t>
            </w:r>
            <w:r w:rsidRPr="000D5771">
              <w:rPr>
                <w:b/>
                <w:bCs/>
                <w:sz w:val="20"/>
              </w:rPr>
              <w:t>30B</w:t>
            </w:r>
            <w:r w:rsidRPr="000D5771">
              <w:rPr>
                <w:sz w:val="20"/>
              </w:rPr>
              <w:t xml:space="preserve"> du RR, selon le cas.</w:t>
            </w:r>
          </w:p>
          <w:p w14:paraId="40DC05FB" w14:textId="77777777" w:rsidR="00145930" w:rsidRPr="000D5771" w:rsidRDefault="00145930" w:rsidP="004B4875">
            <w:pPr>
              <w:pStyle w:val="TableText0"/>
              <w:rPr>
                <w:sz w:val="20"/>
                <w:szCs w:val="20"/>
                <w:lang w:val="fr-FR"/>
              </w:rPr>
            </w:pPr>
            <w:bookmarkStart w:id="24" w:name="lt_pId511"/>
            <w:r w:rsidRPr="000D5771">
              <w:rPr>
                <w:sz w:val="20"/>
                <w:szCs w:val="20"/>
                <w:lang w:val="fr-FR"/>
              </w:rPr>
              <w:t xml:space="preserve">Compte tenu de ce qui précède, il est proposé d'apporter les modifications/adjonctions pertinentes aux Appendices </w:t>
            </w:r>
            <w:r w:rsidRPr="000D5771">
              <w:rPr>
                <w:b/>
                <w:sz w:val="20"/>
                <w:szCs w:val="20"/>
                <w:lang w:val="fr-FR"/>
              </w:rPr>
              <w:t>30A</w:t>
            </w:r>
            <w:r w:rsidRPr="000D5771">
              <w:rPr>
                <w:sz w:val="20"/>
                <w:szCs w:val="20"/>
                <w:lang w:val="fr-FR"/>
              </w:rPr>
              <w:t xml:space="preserve"> et </w:t>
            </w:r>
            <w:r w:rsidRPr="000D5771">
              <w:rPr>
                <w:b/>
                <w:sz w:val="20"/>
                <w:szCs w:val="20"/>
                <w:lang w:val="fr-FR"/>
              </w:rPr>
              <w:t>30B</w:t>
            </w:r>
            <w:r w:rsidRPr="000D5771">
              <w:rPr>
                <w:sz w:val="20"/>
                <w:szCs w:val="20"/>
                <w:lang w:val="fr-FR"/>
              </w:rPr>
              <w:t xml:space="preserve"> du RR (voir les Addenda concernés au présent document de référence, indiqués dans l'Annexe 2).</w:t>
            </w:r>
            <w:bookmarkEnd w:id="24"/>
          </w:p>
        </w:tc>
      </w:tr>
      <w:tr w:rsidR="00145930" w:rsidRPr="000D5771" w14:paraId="5387FDDC" w14:textId="77777777" w:rsidTr="004B4875">
        <w:trPr>
          <w:cantSplit/>
        </w:trPr>
        <w:tc>
          <w:tcPr>
            <w:tcW w:w="2972" w:type="dxa"/>
            <w:tcBorders>
              <w:top w:val="single" w:sz="4" w:space="0" w:color="auto"/>
              <w:bottom w:val="single" w:sz="4" w:space="0" w:color="auto"/>
            </w:tcBorders>
          </w:tcPr>
          <w:p w14:paraId="112D637A"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7, Question G</w:t>
            </w:r>
          </w:p>
          <w:p w14:paraId="154DF2A6" w14:textId="77777777" w:rsidR="00145930" w:rsidRPr="000D5771" w:rsidRDefault="00145930" w:rsidP="004B4875">
            <w:pPr>
              <w:pStyle w:val="TableText0"/>
              <w:spacing w:before="120"/>
              <w:rPr>
                <w:bCs/>
                <w:sz w:val="20"/>
                <w:szCs w:val="20"/>
                <w:lang w:val="fr-FR"/>
              </w:rPr>
            </w:pPr>
            <w:r w:rsidRPr="000D5771">
              <w:rPr>
                <w:bCs/>
                <w:sz w:val="20"/>
                <w:szCs w:val="20"/>
                <w:lang w:val="fr-FR"/>
              </w:rPr>
              <w:t xml:space="preserve">Révisions à apporter à la Résolution </w:t>
            </w:r>
            <w:r w:rsidRPr="000D5771">
              <w:rPr>
                <w:b/>
                <w:sz w:val="20"/>
                <w:szCs w:val="20"/>
                <w:lang w:val="fr-FR"/>
              </w:rPr>
              <w:t>770 (CMR-19)</w:t>
            </w:r>
            <w:r w:rsidRPr="000D5771">
              <w:rPr>
                <w:bCs/>
                <w:sz w:val="20"/>
                <w:szCs w:val="20"/>
                <w:lang w:val="fr-FR"/>
              </w:rPr>
              <w:t xml:space="preserve"> (protection des réseaux OSG vis</w:t>
            </w:r>
            <w:r w:rsidRPr="000D5771">
              <w:rPr>
                <w:bCs/>
                <w:sz w:val="20"/>
                <w:szCs w:val="20"/>
                <w:lang w:val="fr-FR"/>
              </w:rPr>
              <w:noBreakHyphen/>
              <w:t>à-vis des systèmes non OSG pour une seule source de brouillage dans les bandes Q/V) pour permettre sa mise en œuvre</w:t>
            </w:r>
          </w:p>
        </w:tc>
        <w:tc>
          <w:tcPr>
            <w:tcW w:w="7174" w:type="dxa"/>
          </w:tcPr>
          <w:p w14:paraId="6A628E0A"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61EFF743" w14:textId="77777777" w:rsidR="00145930" w:rsidRPr="000D5771" w:rsidRDefault="00145930" w:rsidP="004B4875">
            <w:pPr>
              <w:pStyle w:val="TableText0"/>
              <w:spacing w:before="120"/>
              <w:rPr>
                <w:sz w:val="20"/>
                <w:lang w:val="fr-FR"/>
              </w:rPr>
            </w:pPr>
            <w:bookmarkStart w:id="25" w:name="lt_pId515"/>
            <w:r w:rsidRPr="000D5771">
              <w:rPr>
                <w:b/>
                <w:bCs/>
                <w:sz w:val="20"/>
                <w:lang w:val="fr-FR"/>
              </w:rPr>
              <w:t>Appuyer la Méthode G3</w:t>
            </w:r>
            <w:r w:rsidRPr="000D5771">
              <w:rPr>
                <w:sz w:val="20"/>
                <w:lang w:val="fr-FR"/>
              </w:rPr>
              <w:t xml:space="preserve"> selon laquelle il est proposé de supprimer l'Annexe 2 de la Résolution </w:t>
            </w:r>
            <w:r w:rsidRPr="000D5771">
              <w:rPr>
                <w:b/>
                <w:bCs/>
                <w:sz w:val="20"/>
                <w:lang w:val="fr-FR"/>
              </w:rPr>
              <w:t>770 (CMR-19)</w:t>
            </w:r>
            <w:r w:rsidRPr="000D5771">
              <w:rPr>
                <w:sz w:val="20"/>
                <w:lang w:val="fr-FR"/>
              </w:rPr>
              <w:t xml:space="preserve"> et de faire figurer cette Annexe dans une nouvelle recommandation de l'UIT-R.</w:t>
            </w:r>
            <w:bookmarkEnd w:id="25"/>
          </w:p>
          <w:p w14:paraId="4DEDB92E"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w:t>
            </w:r>
            <w:r w:rsidRPr="000D5771">
              <w:rPr>
                <w:rStyle w:val="NoteChar"/>
                <w:i/>
                <w:iCs/>
                <w:sz w:val="20"/>
                <w:szCs w:val="20"/>
                <w:u w:val="single"/>
              </w:rPr>
              <w:t xml:space="preserve"> Marche à suivre</w:t>
            </w:r>
          </w:p>
          <w:p w14:paraId="33E5EC82"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r w:rsidRPr="000D5771">
              <w:rPr>
                <w:b/>
                <w:bCs/>
                <w:sz w:val="20"/>
                <w:szCs w:val="20"/>
                <w:lang w:val="fr-FR"/>
              </w:rPr>
              <w:t>:</w:t>
            </w:r>
          </w:p>
          <w:p w14:paraId="16AF060E" w14:textId="77777777" w:rsidR="00145930" w:rsidRPr="000D5771" w:rsidRDefault="00145930" w:rsidP="004B4875">
            <w:pPr>
              <w:pStyle w:val="TableText0"/>
              <w:rPr>
                <w:sz w:val="20"/>
                <w:szCs w:val="20"/>
                <w:lang w:val="fr-FR"/>
              </w:rPr>
            </w:pPr>
            <w:r w:rsidRPr="000D5771">
              <w:rPr>
                <w:sz w:val="20"/>
                <w:szCs w:val="20"/>
                <w:lang w:val="fr-FR"/>
              </w:rPr>
              <w:t>d'</w:t>
            </w:r>
            <w:r w:rsidRPr="000D5771">
              <w:rPr>
                <w:b/>
                <w:bCs/>
                <w:sz w:val="20"/>
                <w:szCs w:val="20"/>
                <w:lang w:val="fr-FR"/>
              </w:rPr>
              <w:t xml:space="preserve">appuyer </w:t>
            </w:r>
            <w:r w:rsidRPr="000D5771">
              <w:rPr>
                <w:sz w:val="20"/>
                <w:szCs w:val="20"/>
                <w:lang w:val="fr-FR"/>
              </w:rPr>
              <w:t>la proposition africaine commune relative à cette Question.</w:t>
            </w:r>
          </w:p>
        </w:tc>
      </w:tr>
      <w:tr w:rsidR="00145930" w:rsidRPr="000D5771" w14:paraId="384C73DD" w14:textId="77777777" w:rsidTr="004B4875">
        <w:trPr>
          <w:cantSplit/>
        </w:trPr>
        <w:tc>
          <w:tcPr>
            <w:tcW w:w="2972" w:type="dxa"/>
            <w:tcBorders>
              <w:top w:val="single" w:sz="4" w:space="0" w:color="auto"/>
              <w:bottom w:val="single" w:sz="4" w:space="0" w:color="auto"/>
            </w:tcBorders>
          </w:tcPr>
          <w:p w14:paraId="2322B24C" w14:textId="77777777" w:rsidR="00145930" w:rsidRPr="000D5771" w:rsidRDefault="00145930" w:rsidP="004B4875">
            <w:pPr>
              <w:pStyle w:val="TableText0"/>
              <w:spacing w:before="120"/>
              <w:rPr>
                <w:b/>
                <w:sz w:val="20"/>
                <w:szCs w:val="20"/>
                <w:lang w:val="fr-FR"/>
              </w:rPr>
            </w:pPr>
            <w:r w:rsidRPr="000D5771">
              <w:rPr>
                <w:b/>
                <w:sz w:val="20"/>
                <w:szCs w:val="20"/>
                <w:lang w:val="fr-FR"/>
              </w:rPr>
              <w:t>7, Question H</w:t>
            </w:r>
          </w:p>
          <w:p w14:paraId="051ECB21" w14:textId="77777777" w:rsidR="00145930" w:rsidRPr="000D5771" w:rsidRDefault="00145930" w:rsidP="004B4875">
            <w:pPr>
              <w:pStyle w:val="TableText0"/>
              <w:spacing w:before="120"/>
              <w:rPr>
                <w:b/>
                <w:sz w:val="20"/>
                <w:szCs w:val="20"/>
                <w:lang w:val="fr-FR"/>
              </w:rPr>
            </w:pPr>
            <w:r w:rsidRPr="000D5771">
              <w:rPr>
                <w:sz w:val="20"/>
                <w:szCs w:val="20"/>
                <w:lang w:val="fr-FR"/>
              </w:rPr>
              <w:t xml:space="preserve">Amélioration de la protection des Appendices </w:t>
            </w:r>
            <w:r w:rsidRPr="000D5771">
              <w:rPr>
                <w:b/>
                <w:bCs/>
                <w:sz w:val="20"/>
                <w:szCs w:val="20"/>
                <w:lang w:val="fr-FR"/>
              </w:rPr>
              <w:t>30</w:t>
            </w:r>
            <w:r w:rsidRPr="000D5771">
              <w:rPr>
                <w:sz w:val="20"/>
                <w:szCs w:val="20"/>
                <w:lang w:val="fr-FR"/>
              </w:rPr>
              <w:t>/</w:t>
            </w:r>
            <w:r w:rsidRPr="000D5771">
              <w:rPr>
                <w:b/>
                <w:bCs/>
                <w:sz w:val="20"/>
                <w:szCs w:val="20"/>
                <w:lang w:val="fr-FR"/>
              </w:rPr>
              <w:t>30A</w:t>
            </w:r>
            <w:r w:rsidRPr="000D5771">
              <w:rPr>
                <w:sz w:val="20"/>
                <w:szCs w:val="20"/>
                <w:lang w:val="fr-FR"/>
              </w:rPr>
              <w:t xml:space="preserve"> du RR dans les Régions 1 et 3 et de l'Appendice </w:t>
            </w:r>
            <w:r w:rsidRPr="000D5771">
              <w:rPr>
                <w:b/>
                <w:bCs/>
                <w:sz w:val="20"/>
                <w:szCs w:val="20"/>
                <w:lang w:val="fr-FR"/>
              </w:rPr>
              <w:t>30B</w:t>
            </w:r>
            <w:r w:rsidRPr="000D5771">
              <w:rPr>
                <w:sz w:val="20"/>
                <w:szCs w:val="20"/>
                <w:lang w:val="fr-FR"/>
              </w:rPr>
              <w:t xml:space="preserve"> du RR</w:t>
            </w:r>
          </w:p>
        </w:tc>
        <w:tc>
          <w:tcPr>
            <w:tcW w:w="7174" w:type="dxa"/>
          </w:tcPr>
          <w:p w14:paraId="09636957"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45CCD27F"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r>
            <w:r w:rsidRPr="000D5771">
              <w:rPr>
                <w:b/>
                <w:bCs/>
                <w:sz w:val="20"/>
              </w:rPr>
              <w:t>Appuyer la Méthode H1B, Option 1</w:t>
            </w:r>
            <w:r w:rsidRPr="000D5771">
              <w:rPr>
                <w:sz w:val="20"/>
              </w:rPr>
              <w:t>, en ce qui concerne le concept d'accord implicite.</w:t>
            </w:r>
          </w:p>
          <w:p w14:paraId="5DB42C33"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Appuyer la Méthode H2B</w:t>
            </w:r>
            <w:r w:rsidRPr="000D5771">
              <w:rPr>
                <w:sz w:val="20"/>
              </w:rPr>
              <w:t xml:space="preserve"> en ce qui concerne la tolérance à la dégradation de la marge de protection équivalente.</w:t>
            </w:r>
          </w:p>
          <w:p w14:paraId="6410871A"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r>
            <w:r w:rsidRPr="000D5771">
              <w:rPr>
                <w:b/>
                <w:bCs/>
                <w:sz w:val="20"/>
              </w:rPr>
              <w:t>Note</w:t>
            </w:r>
            <w:r w:rsidRPr="000D5771">
              <w:rPr>
                <w:sz w:val="20"/>
              </w:rPr>
              <w:t>: certaines administrations sont d'avis que les méthodes proposées pourraient nuire aux systèmes déjà en service dans d'autres administrations de pays africains. En outre, certaines des modifications proposées pourraient entraîner une augmentation des besoins de coordination.</w:t>
            </w:r>
          </w:p>
          <w:p w14:paraId="691BE3D5"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w:t>
            </w:r>
            <w:r w:rsidRPr="000D5771">
              <w:rPr>
                <w:rStyle w:val="NoteChar"/>
                <w:i/>
                <w:iCs/>
                <w:sz w:val="20"/>
                <w:szCs w:val="20"/>
                <w:u w:val="single"/>
              </w:rPr>
              <w:t xml:space="preserve"> Marche à suivre</w:t>
            </w:r>
          </w:p>
          <w:p w14:paraId="6E005817"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r w:rsidRPr="000D5771">
              <w:rPr>
                <w:b/>
                <w:bCs/>
                <w:sz w:val="20"/>
                <w:szCs w:val="20"/>
                <w:lang w:val="fr-FR"/>
              </w:rPr>
              <w:t>:</w:t>
            </w:r>
          </w:p>
          <w:p w14:paraId="1E4051E9"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d'</w:t>
            </w:r>
            <w:r w:rsidRPr="000D5771">
              <w:rPr>
                <w:b/>
                <w:bCs/>
                <w:sz w:val="20"/>
              </w:rPr>
              <w:t>appuyer</w:t>
            </w:r>
            <w:r w:rsidRPr="000D5771">
              <w:rPr>
                <w:sz w:val="20"/>
              </w:rPr>
              <w:t xml:space="preserve"> la proposition africaine commune relative à cette Question;</w:t>
            </w:r>
          </w:p>
          <w:p w14:paraId="24930C52" w14:textId="77777777" w:rsidR="00145930" w:rsidRPr="000D5771" w:rsidRDefault="00145930" w:rsidP="00363DBC">
            <w:pPr>
              <w:pStyle w:val="enumlev1"/>
              <w:keepLines/>
              <w:tabs>
                <w:tab w:val="clear" w:pos="1134"/>
                <w:tab w:val="left" w:pos="461"/>
              </w:tabs>
              <w:spacing w:before="40" w:after="40"/>
              <w:ind w:left="461" w:hanging="461"/>
              <w:rPr>
                <w:i/>
                <w:iCs/>
                <w:sz w:val="20"/>
                <w:u w:val="single"/>
              </w:rPr>
            </w:pPr>
            <w:r w:rsidRPr="000D5771">
              <w:rPr>
                <w:sz w:val="20"/>
              </w:rPr>
              <w:t>2</w:t>
            </w:r>
            <w:r w:rsidRPr="000D5771">
              <w:rPr>
                <w:sz w:val="20"/>
              </w:rPr>
              <w:tab/>
            </w:r>
            <w:r w:rsidRPr="000D5771">
              <w:rPr>
                <w:b/>
                <w:bCs/>
                <w:sz w:val="20"/>
              </w:rPr>
              <w:t>de tenir compte</w:t>
            </w:r>
            <w:r w:rsidRPr="000D5771">
              <w:rPr>
                <w:sz w:val="20"/>
              </w:rPr>
              <w:t xml:space="preserve"> des vues exprimées ci-dessus par certaines administrations.</w:t>
            </w:r>
          </w:p>
        </w:tc>
      </w:tr>
      <w:tr w:rsidR="00145930" w:rsidRPr="000D5771" w14:paraId="300D7AD5" w14:textId="77777777" w:rsidTr="004B4875">
        <w:tc>
          <w:tcPr>
            <w:tcW w:w="2972" w:type="dxa"/>
            <w:tcBorders>
              <w:top w:val="single" w:sz="4" w:space="0" w:color="auto"/>
            </w:tcBorders>
          </w:tcPr>
          <w:p w14:paraId="6805C976" w14:textId="77777777" w:rsidR="00145930" w:rsidRPr="000D5771" w:rsidRDefault="00145930" w:rsidP="004B4875">
            <w:pPr>
              <w:pStyle w:val="TableText0"/>
              <w:spacing w:before="120"/>
              <w:rPr>
                <w:b/>
                <w:sz w:val="20"/>
                <w:szCs w:val="20"/>
                <w:lang w:val="fr-FR"/>
              </w:rPr>
            </w:pPr>
            <w:r w:rsidRPr="000D5771">
              <w:rPr>
                <w:b/>
                <w:sz w:val="20"/>
                <w:szCs w:val="20"/>
                <w:lang w:val="fr-FR"/>
              </w:rPr>
              <w:t>7, Question I</w:t>
            </w:r>
          </w:p>
          <w:p w14:paraId="410EAE73" w14:textId="77777777" w:rsidR="00145930" w:rsidRPr="000D5771" w:rsidRDefault="00145930" w:rsidP="004B4875">
            <w:pPr>
              <w:pStyle w:val="TableText0"/>
              <w:spacing w:before="120"/>
              <w:rPr>
                <w:b/>
                <w:sz w:val="20"/>
                <w:szCs w:val="20"/>
                <w:lang w:val="fr-FR"/>
              </w:rPr>
            </w:pPr>
            <w:r w:rsidRPr="000D5771">
              <w:rPr>
                <w:sz w:val="20"/>
                <w:szCs w:val="20"/>
                <w:lang w:val="fr-FR"/>
              </w:rPr>
              <w:t xml:space="preserve">Accords spéciaux en vertu de l'Appendice </w:t>
            </w:r>
            <w:r w:rsidRPr="000D5771">
              <w:rPr>
                <w:b/>
                <w:bCs/>
                <w:sz w:val="20"/>
                <w:szCs w:val="20"/>
                <w:lang w:val="fr-FR"/>
              </w:rPr>
              <w:t>30B</w:t>
            </w:r>
            <w:r w:rsidRPr="000D5771">
              <w:rPr>
                <w:sz w:val="20"/>
                <w:szCs w:val="20"/>
                <w:lang w:val="fr-FR"/>
              </w:rPr>
              <w:t xml:space="preserve"> du RR</w:t>
            </w:r>
          </w:p>
        </w:tc>
        <w:tc>
          <w:tcPr>
            <w:tcW w:w="7174" w:type="dxa"/>
          </w:tcPr>
          <w:p w14:paraId="6B4751E8"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2A1E3335" w14:textId="77777777" w:rsidR="00145930" w:rsidRPr="000D5771" w:rsidRDefault="00145930" w:rsidP="004B4875">
            <w:pPr>
              <w:pStyle w:val="TableText0"/>
              <w:spacing w:before="120"/>
              <w:rPr>
                <w:sz w:val="20"/>
                <w:lang w:val="fr-FR"/>
              </w:rPr>
            </w:pPr>
            <w:r w:rsidRPr="000D5771">
              <w:rPr>
                <w:b/>
                <w:bCs/>
                <w:sz w:val="20"/>
                <w:lang w:val="fr-FR"/>
              </w:rPr>
              <w:t>Appuyer</w:t>
            </w:r>
            <w:r w:rsidRPr="000D5771">
              <w:rPr>
                <w:sz w:val="20"/>
                <w:lang w:val="fr-FR"/>
              </w:rPr>
              <w:t xml:space="preserve"> </w:t>
            </w:r>
            <w:r w:rsidRPr="000D5771">
              <w:rPr>
                <w:b/>
                <w:bCs/>
                <w:sz w:val="20"/>
                <w:lang w:val="fr-FR"/>
              </w:rPr>
              <w:t>la</w:t>
            </w:r>
            <w:r w:rsidRPr="000D5771">
              <w:rPr>
                <w:sz w:val="20"/>
                <w:lang w:val="fr-FR"/>
              </w:rPr>
              <w:t xml:space="preserve"> </w:t>
            </w:r>
            <w:r w:rsidRPr="000D5771">
              <w:rPr>
                <w:b/>
                <w:bCs/>
                <w:sz w:val="20"/>
                <w:lang w:val="fr-FR"/>
              </w:rPr>
              <w:t>Méthode I2</w:t>
            </w:r>
            <w:r w:rsidRPr="000D5771">
              <w:rPr>
                <w:sz w:val="20"/>
                <w:lang w:val="fr-FR"/>
              </w:rPr>
              <w:t>, selon laquelle il est proposé:</w:t>
            </w:r>
          </w:p>
          <w:p w14:paraId="639F50E4"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de définir un nouveau type d'accord entre un allotissement national et une assignation. Aux termes de cet accord, l'administration responsable de l'allotissement national autorise l'exploitation de l'assignation jusqu'à la mise en service de son allotissement national. Parallèlement, l'administration responsable de l'assignation s'engage à respecter les niveaux de puissance surfacique indiqués au § 2.2 de l'Annexe 4 sur le territoire de l'allotissement national. Étant donné que l'allotissement national et l'assignation ne fonctionneront pas simultanément sur la même fréquence dans la même zone, les brouillages mutuels ne sont pas pris en considération;</w:t>
            </w:r>
          </w:p>
          <w:p w14:paraId="71EF3675"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t xml:space="preserve">d'élaborer une nouvelle Résolution autorisant un allotissement national, sous réserve des accords obtenus au titre du § 6.15 de l'Appendice </w:t>
            </w:r>
            <w:r w:rsidRPr="000D5771">
              <w:rPr>
                <w:b/>
                <w:bCs/>
                <w:sz w:val="20"/>
              </w:rPr>
              <w:t>30B</w:t>
            </w:r>
            <w:r w:rsidRPr="000D5771">
              <w:rPr>
                <w:sz w:val="20"/>
              </w:rPr>
              <w:t xml:space="preserve"> du RR:</w:t>
            </w:r>
          </w:p>
          <w:p w14:paraId="01091B79"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1)</w:t>
            </w:r>
            <w:r w:rsidRPr="000D5771">
              <w:rPr>
                <w:sz w:val="20"/>
              </w:rPr>
              <w:tab/>
              <w:t>à conclure ce nouveau type d'accord pour les assignations concernées;</w:t>
            </w:r>
          </w:p>
          <w:p w14:paraId="556F92E6"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lastRenderedPageBreak/>
              <w:t>2)</w:t>
            </w:r>
            <w:r w:rsidRPr="000D5771">
              <w:rPr>
                <w:sz w:val="20"/>
              </w:rPr>
              <w:tab/>
              <w:t>à demander au Bureau de mettre à jour la situation de référence sans revoir les examens précédents;</w:t>
            </w:r>
          </w:p>
          <w:p w14:paraId="34636643"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3)</w:t>
            </w:r>
            <w:r w:rsidRPr="000D5771">
              <w:rPr>
                <w:sz w:val="20"/>
              </w:rPr>
              <w:tab/>
              <w:t xml:space="preserve">à demander aux administrations ayant notifié des assignations pour lesquelles les procédures de l'Article </w:t>
            </w:r>
            <w:r w:rsidRPr="000D5771">
              <w:rPr>
                <w:b/>
                <w:bCs/>
                <w:sz w:val="20"/>
              </w:rPr>
              <w:t>6</w:t>
            </w:r>
            <w:r w:rsidRPr="000D5771">
              <w:rPr>
                <w:sz w:val="20"/>
              </w:rPr>
              <w:t xml:space="preserve"> de l'Appendice </w:t>
            </w:r>
            <w:r w:rsidRPr="000D5771">
              <w:rPr>
                <w:b/>
                <w:bCs/>
                <w:sz w:val="20"/>
              </w:rPr>
              <w:t>30B</w:t>
            </w:r>
            <w:r w:rsidRPr="000D5771">
              <w:rPr>
                <w:sz w:val="20"/>
              </w:rPr>
              <w:t xml:space="preserve"> du RR n'ont pas encore été menées à bien et qui ont été examinées par le Bureau avant la conclusion de cet accord, de faire tout ce qui est en leur pouvoir pour tenir compte de la nouvelle situation de référence de cet allotissement national.</w:t>
            </w:r>
          </w:p>
          <w:p w14:paraId="6456DC13" w14:textId="77777777" w:rsidR="00145930" w:rsidRPr="000D5771" w:rsidRDefault="00145930" w:rsidP="004B4875">
            <w:pPr>
              <w:pStyle w:val="TableText0"/>
              <w:spacing w:before="120"/>
              <w:rPr>
                <w:i/>
                <w:iCs/>
                <w:u w:val="single"/>
                <w:lang w:val="fr-FR"/>
              </w:rPr>
            </w:pPr>
            <w:r w:rsidRPr="000D5771">
              <w:rPr>
                <w:i/>
                <w:iCs/>
                <w:sz w:val="20"/>
                <w:u w:val="single"/>
                <w:lang w:val="fr-FR"/>
              </w:rPr>
              <w:t>Partie 2: Marche à suivre</w:t>
            </w:r>
          </w:p>
          <w:p w14:paraId="7345A688"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r w:rsidRPr="000D5771">
              <w:rPr>
                <w:b/>
                <w:bCs/>
                <w:sz w:val="20"/>
                <w:szCs w:val="20"/>
                <w:lang w:val="fr-FR"/>
              </w:rPr>
              <w:t>:</w:t>
            </w:r>
          </w:p>
          <w:p w14:paraId="5212A33F" w14:textId="77777777" w:rsidR="00145930" w:rsidRPr="000D5771" w:rsidRDefault="00145930" w:rsidP="004B4875">
            <w:pPr>
              <w:pStyle w:val="TableText0"/>
              <w:rPr>
                <w:sz w:val="20"/>
                <w:szCs w:val="20"/>
                <w:lang w:val="fr-FR"/>
              </w:rPr>
            </w:pPr>
            <w:r w:rsidRPr="000D5771">
              <w:rPr>
                <w:sz w:val="20"/>
                <w:szCs w:val="20"/>
                <w:lang w:val="fr-FR"/>
              </w:rPr>
              <w:t>d'</w:t>
            </w:r>
            <w:r w:rsidRPr="000D5771">
              <w:rPr>
                <w:b/>
                <w:bCs/>
                <w:sz w:val="20"/>
                <w:szCs w:val="20"/>
                <w:lang w:val="fr-FR"/>
              </w:rPr>
              <w:t xml:space="preserve">appuyer </w:t>
            </w:r>
            <w:r w:rsidRPr="000D5771">
              <w:rPr>
                <w:sz w:val="20"/>
                <w:szCs w:val="20"/>
                <w:lang w:val="fr-FR"/>
              </w:rPr>
              <w:t>la proposition africaine commune relative à cette Question.</w:t>
            </w:r>
          </w:p>
        </w:tc>
      </w:tr>
      <w:tr w:rsidR="00145930" w:rsidRPr="000D5771" w14:paraId="578EC04C" w14:textId="77777777" w:rsidTr="004B4875">
        <w:trPr>
          <w:cantSplit/>
        </w:trPr>
        <w:tc>
          <w:tcPr>
            <w:tcW w:w="2972" w:type="dxa"/>
            <w:tcBorders>
              <w:top w:val="single" w:sz="4" w:space="0" w:color="auto"/>
              <w:bottom w:val="single" w:sz="4" w:space="0" w:color="auto"/>
            </w:tcBorders>
          </w:tcPr>
          <w:p w14:paraId="102E1A25"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7, Question J</w:t>
            </w:r>
          </w:p>
          <w:p w14:paraId="53ADABF9" w14:textId="77777777" w:rsidR="00145930" w:rsidRPr="000D5771" w:rsidRDefault="00145930" w:rsidP="004B4875">
            <w:pPr>
              <w:pStyle w:val="TableText0"/>
              <w:rPr>
                <w:b/>
                <w:sz w:val="20"/>
                <w:szCs w:val="20"/>
                <w:lang w:val="fr-FR"/>
              </w:rPr>
            </w:pPr>
            <w:r w:rsidRPr="000D5771">
              <w:rPr>
                <w:rFonts w:eastAsia="Calibri"/>
                <w:sz w:val="20"/>
                <w:szCs w:val="20"/>
                <w:lang w:val="fr-FR"/>
              </w:rPr>
              <w:t xml:space="preserve">Modifications apportées à la Résolution </w:t>
            </w:r>
            <w:r w:rsidRPr="000D5771">
              <w:rPr>
                <w:rFonts w:eastAsia="Calibri"/>
                <w:b/>
                <w:bCs/>
                <w:sz w:val="20"/>
                <w:szCs w:val="20"/>
                <w:lang w:val="fr-FR"/>
              </w:rPr>
              <w:t>76 (Rév.CMR-15)</w:t>
            </w:r>
          </w:p>
        </w:tc>
        <w:tc>
          <w:tcPr>
            <w:tcW w:w="7174" w:type="dxa"/>
          </w:tcPr>
          <w:p w14:paraId="48AB4194"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6CFFA799"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r>
            <w:r w:rsidRPr="000D5771">
              <w:rPr>
                <w:b/>
                <w:bCs/>
                <w:sz w:val="20"/>
              </w:rPr>
              <w:t>Appuyer la Méthode J3</w:t>
            </w:r>
            <w:r w:rsidRPr="000D5771">
              <w:rPr>
                <w:sz w:val="20"/>
              </w:rPr>
              <w:t>, selon laquelle il est proposé de modifier la Résolution </w:t>
            </w:r>
            <w:r w:rsidRPr="000D5771">
              <w:rPr>
                <w:b/>
                <w:bCs/>
                <w:sz w:val="20"/>
              </w:rPr>
              <w:t>76 (Rév.CMR-15)</w:t>
            </w:r>
            <w:r w:rsidRPr="000D5771">
              <w:rPr>
                <w:sz w:val="20"/>
              </w:rPr>
              <w:t xml:space="preserve"> pour respecter les niveaux d'epfd cumulative indiqués dans cette Résolution, dans le cadre d'une procédure/de réunions de consultation.</w:t>
            </w:r>
          </w:p>
          <w:p w14:paraId="26CD9ACF"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Noter</w:t>
            </w:r>
            <w:r w:rsidRPr="000D5771">
              <w:rPr>
                <w:sz w:val="20"/>
              </w:rPr>
              <w:t xml:space="preserve"> que certaines administrations ont fait état de la nécessité d'examiner plus avant la question de la prise en considération des systèmes non OSG opérationnels et des systèmes non OSG en projet dans le calcul de la limite d'epfd cumulative.</w:t>
            </w:r>
          </w:p>
          <w:p w14:paraId="38B8C55A"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w:t>
            </w:r>
            <w:r w:rsidRPr="000D5771">
              <w:rPr>
                <w:i/>
                <w:iCs/>
                <w:sz w:val="20"/>
                <w:u w:val="single"/>
                <w:lang w:val="fr-FR"/>
              </w:rPr>
              <w:t xml:space="preserve"> Marche à suivre</w:t>
            </w:r>
          </w:p>
          <w:p w14:paraId="2377D27B"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r w:rsidRPr="000D5771">
              <w:rPr>
                <w:b/>
                <w:bCs/>
                <w:sz w:val="20"/>
                <w:szCs w:val="20"/>
                <w:lang w:val="fr-FR"/>
              </w:rPr>
              <w:t>:</w:t>
            </w:r>
          </w:p>
          <w:p w14:paraId="46D288C8"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d'</w:t>
            </w:r>
            <w:r w:rsidRPr="000D5771">
              <w:rPr>
                <w:b/>
                <w:bCs/>
                <w:sz w:val="20"/>
              </w:rPr>
              <w:t>appuyer</w:t>
            </w:r>
            <w:r w:rsidRPr="000D5771">
              <w:rPr>
                <w:sz w:val="20"/>
              </w:rPr>
              <w:t xml:space="preserve"> la proposition africaine commune relative à cette Question;</w:t>
            </w:r>
          </w:p>
          <w:p w14:paraId="15D6412B" w14:textId="77777777" w:rsidR="00145930" w:rsidRPr="000D5771" w:rsidRDefault="00145930" w:rsidP="00363DBC">
            <w:pPr>
              <w:pStyle w:val="enumlev1"/>
              <w:keepLines/>
              <w:tabs>
                <w:tab w:val="clear" w:pos="1134"/>
                <w:tab w:val="left" w:pos="461"/>
              </w:tabs>
              <w:spacing w:before="40" w:after="40"/>
              <w:ind w:left="461" w:hanging="461"/>
              <w:rPr>
                <w:sz w:val="20"/>
              </w:rPr>
            </w:pPr>
            <w:r w:rsidRPr="000D5771">
              <w:rPr>
                <w:sz w:val="20"/>
              </w:rPr>
              <w:t>2</w:t>
            </w:r>
            <w:r w:rsidRPr="000D5771">
              <w:rPr>
                <w:sz w:val="20"/>
              </w:rPr>
              <w:tab/>
              <w:t xml:space="preserve">de </w:t>
            </w:r>
            <w:r w:rsidRPr="000D5771">
              <w:rPr>
                <w:b/>
                <w:bCs/>
                <w:sz w:val="20"/>
              </w:rPr>
              <w:t>tenir compte</w:t>
            </w:r>
            <w:r w:rsidRPr="000D5771">
              <w:rPr>
                <w:sz w:val="20"/>
              </w:rPr>
              <w:t xml:space="preserve"> des vues exprimées par certaines administrations dans le cadre de la contribution soumise à la CMR-23.</w:t>
            </w:r>
          </w:p>
        </w:tc>
      </w:tr>
      <w:tr w:rsidR="00145930" w:rsidRPr="000D5771" w14:paraId="2EDFB347" w14:textId="77777777" w:rsidTr="004B4875">
        <w:trPr>
          <w:cantSplit/>
        </w:trPr>
        <w:tc>
          <w:tcPr>
            <w:tcW w:w="2972" w:type="dxa"/>
            <w:tcBorders>
              <w:top w:val="single" w:sz="4" w:space="0" w:color="auto"/>
              <w:bottom w:val="single" w:sz="4" w:space="0" w:color="auto"/>
            </w:tcBorders>
          </w:tcPr>
          <w:p w14:paraId="1A740DDC" w14:textId="77777777" w:rsidR="00145930" w:rsidRPr="000D5771" w:rsidRDefault="00145930" w:rsidP="004B4875">
            <w:pPr>
              <w:pStyle w:val="TableText0"/>
              <w:spacing w:before="120"/>
              <w:rPr>
                <w:b/>
                <w:sz w:val="20"/>
                <w:szCs w:val="20"/>
                <w:lang w:val="fr-FR"/>
              </w:rPr>
            </w:pPr>
            <w:r w:rsidRPr="000D5771">
              <w:rPr>
                <w:b/>
                <w:sz w:val="20"/>
                <w:szCs w:val="20"/>
                <w:lang w:val="fr-FR"/>
              </w:rPr>
              <w:t>7, Question K</w:t>
            </w:r>
          </w:p>
          <w:p w14:paraId="71447A20" w14:textId="77777777" w:rsidR="00145930" w:rsidRPr="000D5771" w:rsidRDefault="00145930" w:rsidP="004B4875">
            <w:pPr>
              <w:pStyle w:val="TableText0"/>
              <w:spacing w:before="120"/>
              <w:rPr>
                <w:bCs/>
                <w:sz w:val="20"/>
                <w:szCs w:val="20"/>
                <w:lang w:val="fr-FR"/>
              </w:rPr>
            </w:pPr>
            <w:r w:rsidRPr="000D5771">
              <w:rPr>
                <w:bCs/>
                <w:sz w:val="20"/>
                <w:szCs w:val="20"/>
                <w:lang w:val="fr-FR"/>
              </w:rPr>
              <w:t xml:space="preserve">Modification de la Résolution </w:t>
            </w:r>
            <w:r w:rsidRPr="000D5771">
              <w:rPr>
                <w:b/>
                <w:sz w:val="20"/>
                <w:szCs w:val="20"/>
                <w:lang w:val="fr-FR"/>
              </w:rPr>
              <w:t>553 (Rév.CMR-15)</w:t>
            </w:r>
            <w:r w:rsidRPr="000D5771">
              <w:rPr>
                <w:bCs/>
                <w:sz w:val="20"/>
                <w:szCs w:val="20"/>
                <w:lang w:val="fr-FR"/>
              </w:rPr>
              <w:t xml:space="preserve"> visant à garantir un accès équitable à la bande de fréquences 21,4-22 GHz</w:t>
            </w:r>
          </w:p>
        </w:tc>
        <w:tc>
          <w:tcPr>
            <w:tcW w:w="7174" w:type="dxa"/>
            <w:tcBorders>
              <w:bottom w:val="single" w:sz="4" w:space="0" w:color="auto"/>
            </w:tcBorders>
          </w:tcPr>
          <w:p w14:paraId="6B0E0938"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1484A341" w14:textId="77777777" w:rsidR="00145930" w:rsidRPr="000D5771" w:rsidRDefault="00145930" w:rsidP="004B4875">
            <w:pPr>
              <w:pStyle w:val="TableText0"/>
              <w:pBdr>
                <w:top w:val="nil"/>
                <w:left w:val="nil"/>
                <w:bottom w:val="nil"/>
                <w:right w:val="nil"/>
                <w:between w:val="nil"/>
              </w:pBdr>
              <w:spacing w:before="120"/>
              <w:rPr>
                <w:rFonts w:eastAsia="Calibri"/>
                <w:color w:val="000000"/>
                <w:lang w:val="fr-FR"/>
              </w:rPr>
            </w:pPr>
            <w:bookmarkStart w:id="26" w:name="lt_pId558"/>
            <w:r w:rsidRPr="000D5771">
              <w:rPr>
                <w:b/>
                <w:bCs/>
                <w:sz w:val="20"/>
                <w:lang w:val="fr-FR"/>
              </w:rPr>
              <w:t>Appuyer la Méthode K2</w:t>
            </w:r>
            <w:r w:rsidRPr="000D5771">
              <w:rPr>
                <w:sz w:val="20"/>
                <w:lang w:val="fr-FR"/>
              </w:rPr>
              <w:t xml:space="preserve">, qui vise à augmenter la probabilité que les administrations appliquent efficacement la Résolution </w:t>
            </w:r>
            <w:r w:rsidRPr="000D5771">
              <w:rPr>
                <w:b/>
                <w:bCs/>
                <w:sz w:val="20"/>
                <w:lang w:val="fr-FR"/>
              </w:rPr>
              <w:t>553 (Rév.CMR-15).</w:t>
            </w:r>
            <w:bookmarkEnd w:id="26"/>
            <w:r w:rsidRPr="000D5771">
              <w:rPr>
                <w:rFonts w:eastAsia="Calibri"/>
                <w:color w:val="000000"/>
                <w:lang w:val="fr-FR"/>
              </w:rPr>
              <w:t xml:space="preserve"> </w:t>
            </w:r>
          </w:p>
          <w:p w14:paraId="3F77BC78"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w:t>
            </w:r>
            <w:r w:rsidRPr="000D5771">
              <w:rPr>
                <w:i/>
                <w:iCs/>
                <w:sz w:val="20"/>
                <w:u w:val="single"/>
                <w:lang w:val="fr-FR"/>
              </w:rPr>
              <w:t xml:space="preserve"> Marche à suivre</w:t>
            </w:r>
          </w:p>
          <w:p w14:paraId="6F8628D9" w14:textId="77777777" w:rsidR="00145930" w:rsidRPr="000D5771" w:rsidRDefault="00145930" w:rsidP="004B4875">
            <w:pPr>
              <w:pStyle w:val="TableText0"/>
              <w:spacing w:before="120"/>
              <w:rPr>
                <w:rStyle w:val="NoteChar"/>
                <w:i/>
                <w:iCs/>
                <w:sz w:val="20"/>
                <w:szCs w:val="20"/>
                <w:u w:val="single"/>
              </w:rPr>
            </w:pPr>
            <w:r w:rsidRPr="000D5771">
              <w:rPr>
                <w:b/>
                <w:bCs/>
                <w:i/>
                <w:iCs/>
                <w:sz w:val="20"/>
                <w:szCs w:val="20"/>
                <w:lang w:val="fr-FR"/>
              </w:rPr>
              <w:t>Demander aux administrations des pays membres de l'UAT:</w:t>
            </w:r>
          </w:p>
          <w:p w14:paraId="08DA0432" w14:textId="77777777" w:rsidR="00145930" w:rsidRPr="000D5771" w:rsidRDefault="00145930" w:rsidP="004B4875">
            <w:pPr>
              <w:pStyle w:val="TableText0"/>
              <w:rPr>
                <w:sz w:val="20"/>
                <w:szCs w:val="20"/>
                <w:lang w:val="fr-FR"/>
              </w:rPr>
            </w:pPr>
            <w:r w:rsidRPr="000D5771">
              <w:rPr>
                <w:sz w:val="20"/>
                <w:szCs w:val="20"/>
                <w:lang w:val="fr-FR"/>
              </w:rPr>
              <w:t>d'</w:t>
            </w:r>
            <w:r w:rsidRPr="000D5771">
              <w:rPr>
                <w:b/>
                <w:bCs/>
                <w:sz w:val="20"/>
                <w:szCs w:val="20"/>
                <w:lang w:val="fr-FR"/>
              </w:rPr>
              <w:t>appuyer</w:t>
            </w:r>
            <w:r w:rsidRPr="000D5771">
              <w:rPr>
                <w:sz w:val="20"/>
                <w:szCs w:val="20"/>
                <w:lang w:val="fr-FR"/>
              </w:rPr>
              <w:t xml:space="preserve"> la proposition africaine commune relative à cette Question.</w:t>
            </w:r>
          </w:p>
        </w:tc>
      </w:tr>
    </w:tbl>
    <w:p w14:paraId="56ED7EB6" w14:textId="77777777" w:rsidR="00145930" w:rsidRPr="000D5771" w:rsidRDefault="00145930" w:rsidP="00145930">
      <w:r w:rsidRPr="000D5771">
        <w:br w:type="page"/>
      </w:r>
    </w:p>
    <w:p w14:paraId="7022F6BD" w14:textId="77777777" w:rsidR="00145930" w:rsidRPr="000D5771" w:rsidRDefault="00145930" w:rsidP="00145930">
      <w:pPr>
        <w:pStyle w:val="Tabletitle"/>
      </w:pPr>
      <w:r w:rsidRPr="000D5771">
        <w:rPr>
          <w:rFonts w:eastAsia="Calibri"/>
        </w:rPr>
        <w:lastRenderedPageBreak/>
        <w:t>Points de l'ordre du jour traités dans le Chapitre 5: Questions générales</w:t>
      </w:r>
      <w:r w:rsidRPr="000D5771">
        <w:rPr>
          <w:rFonts w:eastAsia="Calibri"/>
        </w:rPr>
        <w:br/>
      </w:r>
      <w:r w:rsidRPr="000D5771">
        <w:t>(Points 2, 4, 8, 9.2, 9.3 and 10 de l'ordre du jour)</w:t>
      </w:r>
    </w:p>
    <w:tbl>
      <w:tblPr>
        <w:tblW w:w="101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2"/>
        <w:gridCol w:w="7174"/>
      </w:tblGrid>
      <w:tr w:rsidR="00145930" w:rsidRPr="000D5771" w14:paraId="323E0E8C" w14:textId="77777777" w:rsidTr="00363DBC">
        <w:tc>
          <w:tcPr>
            <w:tcW w:w="2972" w:type="dxa"/>
            <w:tcBorders>
              <w:top w:val="single" w:sz="6" w:space="0" w:color="auto"/>
              <w:left w:val="single" w:sz="4" w:space="0" w:color="auto"/>
              <w:bottom w:val="single" w:sz="6" w:space="0" w:color="auto"/>
            </w:tcBorders>
          </w:tcPr>
          <w:p w14:paraId="08609CB6" w14:textId="77777777" w:rsidR="00145930" w:rsidRPr="000D5771" w:rsidRDefault="00145930" w:rsidP="004B4875">
            <w:pPr>
              <w:pStyle w:val="TableHead0"/>
              <w:rPr>
                <w:sz w:val="20"/>
                <w:lang w:val="fr-FR"/>
              </w:rPr>
            </w:pPr>
            <w:r w:rsidRPr="000D5771">
              <w:rPr>
                <w:sz w:val="20"/>
                <w:lang w:val="fr-FR"/>
              </w:rPr>
              <w:t>Ordre du jour</w:t>
            </w:r>
          </w:p>
        </w:tc>
        <w:tc>
          <w:tcPr>
            <w:tcW w:w="7174" w:type="dxa"/>
            <w:tcBorders>
              <w:top w:val="single" w:sz="4" w:space="0" w:color="auto"/>
              <w:bottom w:val="single" w:sz="4" w:space="0" w:color="auto"/>
              <w:right w:val="single" w:sz="4" w:space="0" w:color="auto"/>
            </w:tcBorders>
          </w:tcPr>
          <w:p w14:paraId="7D68A2E4" w14:textId="77777777" w:rsidR="00145930" w:rsidRPr="000D5771" w:rsidRDefault="00145930" w:rsidP="004B4875">
            <w:pPr>
              <w:pStyle w:val="TableHead0"/>
              <w:rPr>
                <w:sz w:val="20"/>
                <w:lang w:val="fr-FR"/>
              </w:rPr>
            </w:pPr>
            <w:r w:rsidRPr="000D5771">
              <w:rPr>
                <w:sz w:val="20"/>
                <w:lang w:val="fr-FR"/>
              </w:rPr>
              <w:t>Positions/propositions africaines communes (AfCP)</w:t>
            </w:r>
          </w:p>
        </w:tc>
      </w:tr>
      <w:tr w:rsidR="00145930" w:rsidRPr="000D5771" w14:paraId="45CAB3D9" w14:textId="77777777" w:rsidTr="00363DBC">
        <w:tc>
          <w:tcPr>
            <w:tcW w:w="2972" w:type="dxa"/>
            <w:tcBorders>
              <w:top w:val="single" w:sz="6" w:space="0" w:color="auto"/>
              <w:left w:val="single" w:sz="4" w:space="0" w:color="auto"/>
              <w:bottom w:val="single" w:sz="4" w:space="0" w:color="auto"/>
            </w:tcBorders>
          </w:tcPr>
          <w:p w14:paraId="11C0E54F" w14:textId="77777777" w:rsidR="00145930" w:rsidRPr="000D5771" w:rsidRDefault="00145930" w:rsidP="004B4875">
            <w:pPr>
              <w:pStyle w:val="TableText0"/>
              <w:spacing w:before="120"/>
              <w:rPr>
                <w:b/>
                <w:sz w:val="20"/>
                <w:szCs w:val="20"/>
                <w:lang w:val="fr-FR"/>
              </w:rPr>
            </w:pPr>
            <w:r w:rsidRPr="000D5771">
              <w:rPr>
                <w:b/>
                <w:sz w:val="20"/>
                <w:szCs w:val="20"/>
                <w:lang w:val="fr-FR"/>
              </w:rPr>
              <w:t>2</w:t>
            </w:r>
          </w:p>
          <w:p w14:paraId="3029B003" w14:textId="77777777" w:rsidR="00145930" w:rsidRPr="000D5771" w:rsidRDefault="00145930" w:rsidP="004B4875">
            <w:pPr>
              <w:pStyle w:val="TableText0"/>
              <w:spacing w:before="120"/>
              <w:rPr>
                <w:b/>
                <w:sz w:val="20"/>
                <w:szCs w:val="20"/>
                <w:lang w:val="fr-FR"/>
              </w:rPr>
            </w:pPr>
            <w:r w:rsidRPr="000D5771">
              <w:rPr>
                <w:sz w:val="20"/>
                <w:szCs w:val="20"/>
                <w:lang w:val="fr-FR"/>
              </w:rPr>
              <w:t xml:space="preserve">Examiner les Recommandations UIT-R révisées et incorporées par référence dans le Règlement des radiocommunications, communiquées par l'Assemblée des radiocommunications conformément au </w:t>
            </w:r>
            <w:r w:rsidRPr="000D5771">
              <w:rPr>
                <w:i/>
                <w:sz w:val="20"/>
                <w:szCs w:val="20"/>
                <w:lang w:val="fr-FR"/>
              </w:rPr>
              <w:t>décide en outre</w:t>
            </w:r>
            <w:r w:rsidRPr="000D5771">
              <w:rPr>
                <w:sz w:val="20"/>
                <w:szCs w:val="20"/>
                <w:lang w:val="fr-FR"/>
              </w:rPr>
              <w:t xml:space="preserve"> de la Résolution </w:t>
            </w:r>
            <w:r w:rsidRPr="000D5771">
              <w:rPr>
                <w:b/>
                <w:bCs/>
                <w:sz w:val="20"/>
                <w:szCs w:val="20"/>
                <w:lang w:val="fr-FR"/>
              </w:rPr>
              <w:t>27</w:t>
            </w:r>
            <w:r w:rsidRPr="000D5771">
              <w:rPr>
                <w:sz w:val="20"/>
                <w:szCs w:val="20"/>
                <w:lang w:val="fr-FR"/>
              </w:rPr>
              <w:t xml:space="preserve"> </w:t>
            </w:r>
            <w:r w:rsidRPr="000D5771">
              <w:rPr>
                <w:b/>
                <w:bCs/>
                <w:sz w:val="20"/>
                <w:szCs w:val="20"/>
                <w:lang w:val="fr-FR"/>
              </w:rPr>
              <w:t>(Rév.CMR</w:t>
            </w:r>
            <w:r w:rsidRPr="000D5771">
              <w:rPr>
                <w:b/>
                <w:bCs/>
                <w:sz w:val="20"/>
                <w:szCs w:val="20"/>
                <w:lang w:val="fr-FR"/>
              </w:rPr>
              <w:noBreakHyphen/>
              <w:t>19)</w:t>
            </w:r>
            <w:r w:rsidRPr="000D5771">
              <w:rPr>
                <w:sz w:val="20"/>
                <w:szCs w:val="20"/>
                <w:lang w:val="fr-FR"/>
              </w:rPr>
              <w:t>,</w:t>
            </w:r>
            <w:r w:rsidRPr="000D5771">
              <w:rPr>
                <w:b/>
                <w:bCs/>
                <w:sz w:val="20"/>
                <w:szCs w:val="20"/>
                <w:lang w:val="fr-FR"/>
              </w:rPr>
              <w:t xml:space="preserve"> </w:t>
            </w:r>
            <w:r w:rsidRPr="000D5771">
              <w:rPr>
                <w:sz w:val="20"/>
                <w:szCs w:val="20"/>
                <w:lang w:val="fr-FR"/>
              </w:rPr>
              <w:t xml:space="preserve">et décider s'il convient ou non de mettre à jour les références correspondantes dans le Règlement des radiocommunications, conformément aux principes énoncés dans le </w:t>
            </w:r>
            <w:r w:rsidRPr="000D5771">
              <w:rPr>
                <w:i/>
                <w:sz w:val="20"/>
                <w:szCs w:val="20"/>
                <w:lang w:val="fr-FR"/>
              </w:rPr>
              <w:t>décide</w:t>
            </w:r>
            <w:r w:rsidRPr="000D5771">
              <w:rPr>
                <w:sz w:val="20"/>
                <w:szCs w:val="20"/>
                <w:lang w:val="fr-FR"/>
              </w:rPr>
              <w:t xml:space="preserve"> de cette Résolution</w:t>
            </w:r>
          </w:p>
        </w:tc>
        <w:tc>
          <w:tcPr>
            <w:tcW w:w="7174" w:type="dxa"/>
            <w:tcBorders>
              <w:top w:val="single" w:sz="4" w:space="0" w:color="auto"/>
              <w:bottom w:val="single" w:sz="6" w:space="0" w:color="auto"/>
              <w:right w:val="single" w:sz="4" w:space="0" w:color="auto"/>
            </w:tcBorders>
          </w:tcPr>
          <w:p w14:paraId="4A52324A"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4E601A7F" w14:textId="77777777" w:rsidR="00145930" w:rsidRPr="000D5771" w:rsidRDefault="00145930" w:rsidP="004B4875">
            <w:pPr>
              <w:pStyle w:val="TableText0"/>
              <w:spacing w:before="120"/>
              <w:rPr>
                <w:sz w:val="20"/>
                <w:szCs w:val="20"/>
                <w:lang w:val="fr-FR"/>
              </w:rPr>
            </w:pPr>
            <w:r w:rsidRPr="000D5771">
              <w:rPr>
                <w:b/>
                <w:bCs/>
                <w:sz w:val="20"/>
                <w:szCs w:val="20"/>
                <w:lang w:val="fr-FR"/>
              </w:rPr>
              <w:t>Appuyer</w:t>
            </w:r>
            <w:r w:rsidRPr="000D5771">
              <w:rPr>
                <w:sz w:val="20"/>
                <w:szCs w:val="20"/>
                <w:lang w:val="fr-FR"/>
              </w:rPr>
              <w:t xml:space="preserve"> la révision des Recommandations UIT-R incorporées par référence dans le Règlement des radiocommunications, communiquées par l'Assemblée des radiocommunications, conformément à la Résolution </w:t>
            </w:r>
            <w:r w:rsidRPr="000D5771">
              <w:rPr>
                <w:b/>
                <w:bCs/>
                <w:sz w:val="20"/>
                <w:szCs w:val="20"/>
                <w:lang w:val="fr-FR"/>
              </w:rPr>
              <w:t>27 (Rév.CMR-19)</w:t>
            </w:r>
            <w:r w:rsidRPr="000D5771">
              <w:rPr>
                <w:sz w:val="20"/>
                <w:szCs w:val="20"/>
                <w:lang w:val="fr-FR"/>
              </w:rPr>
              <w:t>, en vue de mettre à jour les références correspondantes dans le Règlement des radiocommunications.</w:t>
            </w:r>
          </w:p>
          <w:p w14:paraId="57E55D44"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1537DF75" w14:textId="77777777" w:rsidR="00145930" w:rsidRPr="000D5771" w:rsidRDefault="00145930" w:rsidP="004B4875">
            <w:pPr>
              <w:pStyle w:val="TableText0"/>
              <w:spacing w:before="120"/>
              <w:rPr>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1B84589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 xml:space="preserve">de </w:t>
            </w:r>
            <w:r w:rsidRPr="000D5771">
              <w:rPr>
                <w:b/>
                <w:bCs/>
                <w:sz w:val="20"/>
              </w:rPr>
              <w:t>suivre</w:t>
            </w:r>
            <w:r w:rsidRPr="000D5771">
              <w:rPr>
                <w:sz w:val="20"/>
              </w:rPr>
              <w:t xml:space="preserve"> l'état d'avancement des révisions proposées des recommandations UIT</w:t>
            </w:r>
            <w:r w:rsidRPr="000D5771">
              <w:rPr>
                <w:sz w:val="20"/>
              </w:rPr>
              <w:noBreakHyphen/>
              <w:t>R;</w:t>
            </w:r>
          </w:p>
          <w:p w14:paraId="3F4808A0"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t xml:space="preserve">de </w:t>
            </w:r>
            <w:r w:rsidRPr="000D5771">
              <w:rPr>
                <w:b/>
                <w:bCs/>
                <w:sz w:val="20"/>
              </w:rPr>
              <w:t>prendre note</w:t>
            </w:r>
            <w:r w:rsidRPr="000D5771">
              <w:rPr>
                <w:sz w:val="20"/>
              </w:rPr>
              <w:t xml:space="preserve"> du rapport du Directeur du Bureau des radiocommunications à la seconde session de la RPC et de l'examiner;</w:t>
            </w:r>
          </w:p>
          <w:p w14:paraId="497FC58E" w14:textId="77777777" w:rsidR="00145930" w:rsidRPr="000D5771" w:rsidRDefault="00145930" w:rsidP="00363DBC">
            <w:pPr>
              <w:pStyle w:val="enumlev1"/>
              <w:keepLines/>
              <w:tabs>
                <w:tab w:val="clear" w:pos="1134"/>
                <w:tab w:val="left" w:pos="461"/>
              </w:tabs>
              <w:spacing w:before="40" w:after="40"/>
              <w:ind w:left="461" w:hanging="461"/>
              <w:rPr>
                <w:sz w:val="20"/>
              </w:rPr>
            </w:pPr>
            <w:r w:rsidRPr="000D5771">
              <w:rPr>
                <w:sz w:val="20"/>
              </w:rPr>
              <w:t>3</w:t>
            </w:r>
            <w:r w:rsidRPr="000D5771">
              <w:rPr>
                <w:sz w:val="20"/>
              </w:rPr>
              <w:tab/>
              <w:t>d'</w:t>
            </w:r>
            <w:r w:rsidRPr="000D5771">
              <w:rPr>
                <w:b/>
                <w:bCs/>
                <w:sz w:val="20"/>
              </w:rPr>
              <w:t>appuyer</w:t>
            </w:r>
            <w:r w:rsidRPr="000D5771">
              <w:rPr>
                <w:sz w:val="20"/>
              </w:rPr>
              <w:t xml:space="preserve"> les travaux des commissions d'études des radiocommunications et de l'Assemblée des radiocommunications concernant la révision des Recommandations qui font l'objet de références à caractère obligatoire dans le Règlement des radiocommunications.</w:t>
            </w:r>
          </w:p>
        </w:tc>
      </w:tr>
      <w:tr w:rsidR="00145930" w:rsidRPr="000D5771" w14:paraId="39781179" w14:textId="77777777" w:rsidTr="004B4875">
        <w:tc>
          <w:tcPr>
            <w:tcW w:w="2972" w:type="dxa"/>
            <w:tcBorders>
              <w:top w:val="single" w:sz="4" w:space="0" w:color="auto"/>
              <w:left w:val="single" w:sz="4" w:space="0" w:color="auto"/>
              <w:bottom w:val="single" w:sz="4" w:space="0" w:color="auto"/>
            </w:tcBorders>
          </w:tcPr>
          <w:p w14:paraId="0C626ED1" w14:textId="77777777" w:rsidR="00145930" w:rsidRPr="000D5771" w:rsidRDefault="00145930" w:rsidP="004B4875">
            <w:pPr>
              <w:pStyle w:val="TableText0"/>
              <w:spacing w:before="120"/>
              <w:rPr>
                <w:b/>
                <w:sz w:val="20"/>
                <w:szCs w:val="20"/>
                <w:lang w:val="fr-FR"/>
              </w:rPr>
            </w:pPr>
            <w:r w:rsidRPr="000D5771">
              <w:rPr>
                <w:b/>
                <w:sz w:val="20"/>
                <w:szCs w:val="20"/>
                <w:lang w:val="fr-FR"/>
              </w:rPr>
              <w:t>4</w:t>
            </w:r>
          </w:p>
          <w:p w14:paraId="3741F961" w14:textId="77777777" w:rsidR="00145930" w:rsidRPr="000D5771" w:rsidRDefault="00145930" w:rsidP="004B4875">
            <w:pPr>
              <w:pStyle w:val="TableText0"/>
              <w:spacing w:before="120"/>
              <w:rPr>
                <w:b/>
                <w:sz w:val="20"/>
                <w:szCs w:val="20"/>
                <w:lang w:val="fr-FR"/>
              </w:rPr>
            </w:pPr>
            <w:r w:rsidRPr="000D5771">
              <w:rPr>
                <w:sz w:val="20"/>
                <w:szCs w:val="20"/>
                <w:lang w:val="fr-FR"/>
              </w:rPr>
              <w:t>Conformément à la Résolution </w:t>
            </w:r>
            <w:r w:rsidRPr="000D5771">
              <w:rPr>
                <w:b/>
                <w:bCs/>
                <w:sz w:val="20"/>
                <w:szCs w:val="20"/>
                <w:lang w:val="fr-FR"/>
              </w:rPr>
              <w:t>95 (Rév.CMR-19)</w:t>
            </w:r>
            <w:r w:rsidRPr="000D5771">
              <w:rPr>
                <w:sz w:val="20"/>
                <w:szCs w:val="20"/>
                <w:lang w:val="fr-FR"/>
              </w:rPr>
              <w:t>, examiner les résolutions et recommandations des conférences précédentes en vue, le cas échéant, de les réviser, de les remplacer ou de les supprimer</w:t>
            </w:r>
          </w:p>
        </w:tc>
        <w:tc>
          <w:tcPr>
            <w:tcW w:w="7174" w:type="dxa"/>
            <w:tcBorders>
              <w:top w:val="single" w:sz="6" w:space="0" w:color="auto"/>
              <w:bottom w:val="single" w:sz="6" w:space="0" w:color="auto"/>
              <w:right w:val="single" w:sz="4" w:space="0" w:color="auto"/>
            </w:tcBorders>
          </w:tcPr>
          <w:p w14:paraId="7908D394"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Position commune</w:t>
            </w:r>
          </w:p>
          <w:p w14:paraId="62A9D0B2" w14:textId="77777777" w:rsidR="00145930" w:rsidRPr="000D5771" w:rsidRDefault="00145930" w:rsidP="004B4875">
            <w:pPr>
              <w:pStyle w:val="TableText0"/>
              <w:spacing w:before="120"/>
              <w:rPr>
                <w:sz w:val="20"/>
                <w:szCs w:val="20"/>
                <w:lang w:val="fr-FR"/>
              </w:rPr>
            </w:pPr>
            <w:r w:rsidRPr="000D5771">
              <w:rPr>
                <w:b/>
                <w:bCs/>
                <w:sz w:val="20"/>
                <w:szCs w:val="20"/>
                <w:lang w:val="fr-FR"/>
              </w:rPr>
              <w:t>Appuyer</w:t>
            </w:r>
            <w:r w:rsidRPr="000D5771">
              <w:rPr>
                <w:sz w:val="20"/>
                <w:szCs w:val="20"/>
                <w:lang w:val="fr-FR"/>
              </w:rPr>
              <w:t xml:space="preserve"> l'examen périodique des résolutions et recommandations des conférences précédentes et suivre les activités, en particulier celles de l'UIT, associées à cet effort.</w:t>
            </w:r>
          </w:p>
          <w:p w14:paraId="27B8274A"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5EC80791" w14:textId="77777777" w:rsidR="00145930" w:rsidRPr="000D5771" w:rsidRDefault="00145930" w:rsidP="004B4875">
            <w:pPr>
              <w:pStyle w:val="TableText0"/>
              <w:spacing w:before="120"/>
              <w:rPr>
                <w:sz w:val="20"/>
                <w:szCs w:val="20"/>
                <w:lang w:val="fr-FR"/>
              </w:rPr>
            </w:pPr>
            <w:r w:rsidRPr="000D5771">
              <w:rPr>
                <w:b/>
                <w:bCs/>
                <w:i/>
                <w:iCs/>
                <w:sz w:val="20"/>
                <w:szCs w:val="20"/>
                <w:lang w:val="fr-FR"/>
              </w:rPr>
              <w:t>Demander aux administrations des pays membres de l'UAT:</w:t>
            </w:r>
          </w:p>
          <w:p w14:paraId="3AD71CAB"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d'</w:t>
            </w:r>
            <w:r w:rsidRPr="000D5771">
              <w:rPr>
                <w:b/>
                <w:bCs/>
                <w:sz w:val="20"/>
              </w:rPr>
              <w:t>examiner</w:t>
            </w:r>
            <w:r w:rsidRPr="000D5771">
              <w:rPr>
                <w:sz w:val="20"/>
              </w:rPr>
              <w:t xml:space="preserve"> les recommandations et résolutions des conférences précédentes, afin de recenser celles qui ont atteint le but visé et doivent être abrogées, ou celles qui doivent être révisées ou remplacées;</w:t>
            </w:r>
          </w:p>
          <w:p w14:paraId="6973A18A"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t>d'</w:t>
            </w:r>
            <w:r w:rsidRPr="000D5771">
              <w:rPr>
                <w:b/>
                <w:bCs/>
                <w:sz w:val="20"/>
              </w:rPr>
              <w:t>examiner</w:t>
            </w:r>
            <w:r w:rsidRPr="000D5771">
              <w:rPr>
                <w:sz w:val="20"/>
              </w:rPr>
              <w:t xml:space="preserve"> le rapport du Directeur du BR, pour s'assurer que les propositions visant à abroger, à réviser ou à remplacer certaines résolutions ou recommandations vont dans le sens de nos intérêts;</w:t>
            </w:r>
          </w:p>
          <w:p w14:paraId="140907AC" w14:textId="77777777" w:rsidR="00145930" w:rsidRPr="000D5771" w:rsidRDefault="00145930" w:rsidP="00363DBC">
            <w:pPr>
              <w:pStyle w:val="enumlev1"/>
              <w:keepLines/>
              <w:tabs>
                <w:tab w:val="clear" w:pos="1134"/>
                <w:tab w:val="left" w:pos="461"/>
              </w:tabs>
              <w:spacing w:before="40" w:after="40"/>
              <w:ind w:left="461" w:hanging="461"/>
              <w:rPr>
                <w:sz w:val="20"/>
              </w:rPr>
            </w:pPr>
            <w:r w:rsidRPr="000D5771">
              <w:rPr>
                <w:sz w:val="20"/>
              </w:rPr>
              <w:t>3</w:t>
            </w:r>
            <w:r w:rsidRPr="000D5771">
              <w:rPr>
                <w:sz w:val="20"/>
              </w:rPr>
              <w:tab/>
              <w:t>d'</w:t>
            </w:r>
            <w:r w:rsidRPr="000D5771">
              <w:rPr>
                <w:b/>
                <w:bCs/>
                <w:sz w:val="20"/>
              </w:rPr>
              <w:t>examiner</w:t>
            </w:r>
            <w:r w:rsidRPr="000D5771">
              <w:rPr>
                <w:sz w:val="20"/>
              </w:rPr>
              <w:t xml:space="preserve"> les recommandations et résolutions ci-dessous qui pourraient avoir atteint le but visé et éventuellement être supprimées du Règlement des radiocommunications.</w:t>
            </w:r>
          </w:p>
        </w:tc>
      </w:tr>
      <w:tr w:rsidR="00145930" w:rsidRPr="000D5771" w14:paraId="566F6876" w14:textId="77777777" w:rsidTr="004B4875">
        <w:tc>
          <w:tcPr>
            <w:tcW w:w="2972" w:type="dxa"/>
            <w:tcBorders>
              <w:top w:val="single" w:sz="4" w:space="0" w:color="auto"/>
              <w:left w:val="single" w:sz="4" w:space="0" w:color="auto"/>
              <w:bottom w:val="single" w:sz="6" w:space="0" w:color="auto"/>
            </w:tcBorders>
          </w:tcPr>
          <w:p w14:paraId="4E432D71" w14:textId="77777777" w:rsidR="00145930" w:rsidRPr="000D5771" w:rsidRDefault="00145930" w:rsidP="004B4875">
            <w:pPr>
              <w:pStyle w:val="TableText0"/>
              <w:spacing w:before="120"/>
              <w:rPr>
                <w:b/>
                <w:sz w:val="20"/>
                <w:szCs w:val="20"/>
                <w:lang w:val="fr-FR"/>
              </w:rPr>
            </w:pPr>
            <w:r w:rsidRPr="000D5771">
              <w:rPr>
                <w:b/>
                <w:sz w:val="20"/>
                <w:szCs w:val="20"/>
                <w:lang w:val="fr-FR"/>
              </w:rPr>
              <w:t>8</w:t>
            </w:r>
          </w:p>
          <w:p w14:paraId="023323C4" w14:textId="77777777" w:rsidR="00145930" w:rsidRPr="000D5771" w:rsidRDefault="00145930" w:rsidP="004B4875">
            <w:pPr>
              <w:pStyle w:val="TableText0"/>
              <w:spacing w:before="120"/>
              <w:rPr>
                <w:b/>
                <w:sz w:val="20"/>
                <w:szCs w:val="20"/>
                <w:lang w:val="fr-FR"/>
              </w:rPr>
            </w:pPr>
            <w:r w:rsidRPr="000D5771">
              <w:rPr>
                <w:sz w:val="20"/>
                <w:szCs w:val="20"/>
                <w:lang w:val="fr-FR"/>
              </w:rPr>
              <w:t xml:space="preserve">Examiner les demandes des administrations qui souhaitent supprimer des renvois relatifs à leur pays ou le nom de leur pays de certains renvois, s'ils ne sont plus nécessaires, compte tenu de la Résolution </w:t>
            </w:r>
            <w:r w:rsidRPr="000D5771">
              <w:rPr>
                <w:b/>
                <w:bCs/>
                <w:sz w:val="20"/>
                <w:szCs w:val="20"/>
                <w:lang w:val="fr-FR"/>
              </w:rPr>
              <w:t>26 (Rév.CMR-19)</w:t>
            </w:r>
            <w:r w:rsidRPr="000D5771">
              <w:rPr>
                <w:sz w:val="20"/>
                <w:szCs w:val="20"/>
                <w:lang w:val="fr-FR"/>
              </w:rPr>
              <w:t>, et prendre les mesures voulues à ce sujet</w:t>
            </w:r>
          </w:p>
        </w:tc>
        <w:tc>
          <w:tcPr>
            <w:tcW w:w="7174" w:type="dxa"/>
            <w:tcBorders>
              <w:top w:val="single" w:sz="6" w:space="0" w:color="auto"/>
              <w:bottom w:val="single" w:sz="6" w:space="0" w:color="auto"/>
              <w:right w:val="single" w:sz="4" w:space="0" w:color="auto"/>
            </w:tcBorders>
          </w:tcPr>
          <w:p w14:paraId="7EEFD643"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1:Position commune</w:t>
            </w:r>
          </w:p>
          <w:p w14:paraId="51FBD428" w14:textId="77777777" w:rsidR="00145930" w:rsidRPr="000D5771" w:rsidRDefault="00145930" w:rsidP="004B4875">
            <w:pPr>
              <w:pStyle w:val="enumlev1"/>
              <w:keepLines/>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Encourager</w:t>
            </w:r>
            <w:r w:rsidRPr="000D5771">
              <w:rPr>
                <w:sz w:val="20"/>
              </w:rPr>
              <w:t xml:space="preserve"> les administrations à examiner les renvois et à proposer la suppression du nom de leur pays de certains renvois ou de renvois relatifs à leur pays, s'ils ne sont plus nécessaires, ou l'adjonction de leur pays dans des renvois, à des fins d'harmonisation, conformément au point 1 du décide en outre et à l'Annexe 1 de la Résolution </w:t>
            </w:r>
            <w:r w:rsidRPr="000D5771">
              <w:rPr>
                <w:b/>
                <w:bCs/>
                <w:sz w:val="20"/>
              </w:rPr>
              <w:t>26 (Rév.CMR-19)</w:t>
            </w:r>
            <w:r w:rsidRPr="000D5771">
              <w:rPr>
                <w:sz w:val="20"/>
              </w:rPr>
              <w:t>.</w:t>
            </w:r>
          </w:p>
          <w:p w14:paraId="4506F133"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Inviter</w:t>
            </w:r>
            <w:r w:rsidRPr="000D5771">
              <w:rPr>
                <w:sz w:val="20"/>
              </w:rPr>
              <w:t xml:space="preserve"> les administrations des pays membres de l'UAT à examiner l'</w:t>
            </w:r>
            <w:r w:rsidRPr="000D5771">
              <w:rPr>
                <w:b/>
                <w:bCs/>
                <w:sz w:val="20"/>
              </w:rPr>
              <w:t xml:space="preserve">Annexe B </w:t>
            </w:r>
            <w:r w:rsidRPr="000D5771">
              <w:rPr>
                <w:sz w:val="20"/>
              </w:rPr>
              <w:t>du Plan africain d'attribution des fréquences (</w:t>
            </w:r>
            <w:r w:rsidRPr="000D5771">
              <w:rPr>
                <w:b/>
                <w:bCs/>
                <w:sz w:val="20"/>
              </w:rPr>
              <w:t>AfriSAP</w:t>
            </w:r>
            <w:r w:rsidRPr="000D5771">
              <w:rPr>
                <w:sz w:val="20"/>
              </w:rPr>
              <w:t>), dans lequel figurent les renvois du RR faisant expressément mention des noms de pays africains, afin de déterminer si le nom de ces pays demeure nécessaire dans lesdits renvois.</w:t>
            </w:r>
          </w:p>
          <w:p w14:paraId="3660163B" w14:textId="77777777" w:rsidR="00145930" w:rsidRPr="000D5771" w:rsidRDefault="00145930" w:rsidP="000D5771">
            <w:pPr>
              <w:pStyle w:val="enumlev1"/>
              <w:keepLines/>
              <w:tabs>
                <w:tab w:val="clear" w:pos="1134"/>
                <w:tab w:val="left" w:pos="461"/>
              </w:tabs>
              <w:spacing w:before="40" w:after="120"/>
              <w:ind w:left="461" w:hanging="461"/>
              <w:rPr>
                <w:sz w:val="20"/>
              </w:rPr>
            </w:pPr>
            <w:r w:rsidRPr="000D5771">
              <w:rPr>
                <w:sz w:val="20"/>
              </w:rPr>
              <w:t>3</w:t>
            </w:r>
            <w:r w:rsidRPr="000D5771">
              <w:rPr>
                <w:sz w:val="20"/>
              </w:rPr>
              <w:tab/>
            </w:r>
            <w:r w:rsidRPr="000D5771">
              <w:rPr>
                <w:b/>
                <w:bCs/>
                <w:sz w:val="20"/>
              </w:rPr>
              <w:t>Examiner</w:t>
            </w:r>
            <w:r w:rsidRPr="000D5771">
              <w:rPr>
                <w:sz w:val="20"/>
              </w:rPr>
              <w:t xml:space="preserve"> les propositions/positions préliminaires d'autres administrations ou groupes régionaux, et prendre les mesures voulues.</w:t>
            </w:r>
          </w:p>
          <w:p w14:paraId="1F41B412" w14:textId="77777777" w:rsidR="00145930" w:rsidRPr="000D5771" w:rsidRDefault="00145930" w:rsidP="004B4875">
            <w:pPr>
              <w:pStyle w:val="TableText0"/>
              <w:keepNext/>
              <w:spacing w:before="120"/>
              <w:rPr>
                <w:i/>
                <w:iCs/>
                <w:sz w:val="20"/>
                <w:szCs w:val="20"/>
                <w:u w:val="single"/>
                <w:lang w:val="fr-FR"/>
              </w:rPr>
            </w:pPr>
            <w:r w:rsidRPr="000D5771">
              <w:rPr>
                <w:i/>
                <w:iCs/>
                <w:sz w:val="20"/>
                <w:szCs w:val="20"/>
                <w:u w:val="single"/>
                <w:lang w:val="fr-FR"/>
              </w:rPr>
              <w:lastRenderedPageBreak/>
              <w:t>Partie 2:Marche à suivre</w:t>
            </w:r>
          </w:p>
          <w:p w14:paraId="36A5D9D3" w14:textId="77777777" w:rsidR="00145930" w:rsidRPr="000D5771" w:rsidRDefault="00145930" w:rsidP="004B4875">
            <w:pPr>
              <w:pStyle w:val="TableText0"/>
              <w:keepNext/>
              <w:spacing w:before="120"/>
              <w:rPr>
                <w:b/>
                <w:bCs/>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13A251D7"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4</w:t>
            </w:r>
            <w:r w:rsidRPr="000D5771">
              <w:rPr>
                <w:sz w:val="20"/>
              </w:rPr>
              <w:tab/>
              <w:t>d'</w:t>
            </w:r>
            <w:r w:rsidRPr="000D5771">
              <w:rPr>
                <w:b/>
                <w:bCs/>
                <w:sz w:val="20"/>
              </w:rPr>
              <w:t>examiner</w:t>
            </w:r>
            <w:r w:rsidRPr="000D5771">
              <w:rPr>
                <w:sz w:val="20"/>
              </w:rPr>
              <w:t xml:space="preserve"> suffisamment à l'avance les renvois pertinents du RR et de recenser ceux qui pourraient appeler des mesures de la part des États Membres concernés, au titre de ce point de l'ordre du jour. Ces mesures pourraient consister à supprimer ou à ajouter des renvois concernant des noms de pays, conformément au point 1 du décide en outre et à l'Annexe 1 de la Résolution </w:t>
            </w:r>
            <w:r w:rsidRPr="000D5771">
              <w:rPr>
                <w:b/>
                <w:bCs/>
                <w:sz w:val="20"/>
              </w:rPr>
              <w:t>26 (Rév.CMR</w:t>
            </w:r>
            <w:r w:rsidRPr="000D5771">
              <w:rPr>
                <w:b/>
                <w:bCs/>
                <w:sz w:val="20"/>
              </w:rPr>
              <w:noBreakHyphen/>
              <w:t>19)</w:t>
            </w:r>
            <w:r w:rsidRPr="000D5771">
              <w:rPr>
                <w:sz w:val="20"/>
              </w:rPr>
              <w:t>;</w:t>
            </w:r>
          </w:p>
          <w:p w14:paraId="552A64F2" w14:textId="77777777" w:rsidR="00145930" w:rsidRPr="000D5771" w:rsidRDefault="00145930" w:rsidP="000D5771">
            <w:pPr>
              <w:pStyle w:val="enumlev1"/>
              <w:keepLines/>
              <w:tabs>
                <w:tab w:val="clear" w:pos="1134"/>
                <w:tab w:val="left" w:pos="461"/>
              </w:tabs>
              <w:spacing w:before="40" w:after="120"/>
              <w:ind w:left="461" w:hanging="461"/>
              <w:rPr>
                <w:sz w:val="20"/>
              </w:rPr>
            </w:pPr>
            <w:r w:rsidRPr="000D5771">
              <w:rPr>
                <w:sz w:val="20"/>
              </w:rPr>
              <w:t>5</w:t>
            </w:r>
            <w:r w:rsidRPr="000D5771">
              <w:rPr>
                <w:sz w:val="20"/>
              </w:rPr>
              <w:tab/>
              <w:t xml:space="preserve">de </w:t>
            </w:r>
            <w:r w:rsidRPr="000D5771">
              <w:rPr>
                <w:b/>
                <w:bCs/>
                <w:sz w:val="20"/>
              </w:rPr>
              <w:t>faire connaître</w:t>
            </w:r>
            <w:r w:rsidRPr="000D5771">
              <w:rPr>
                <w:sz w:val="20"/>
              </w:rPr>
              <w:t>, dès que possible, leurs propositions formulées au titre du point 8 de l'ordre du jour aux autres administrations susceptibles d'être affectées, en vue de résoudre les difficultés qui pourraient découler de la recherche d'un accord avec d'autres administrations à la CMR-23.</w:t>
            </w:r>
          </w:p>
        </w:tc>
      </w:tr>
      <w:tr w:rsidR="00145930" w:rsidRPr="000D5771" w14:paraId="01F4448C" w14:textId="77777777" w:rsidTr="004B4875">
        <w:tc>
          <w:tcPr>
            <w:tcW w:w="2972" w:type="dxa"/>
            <w:tcBorders>
              <w:top w:val="single" w:sz="4" w:space="0" w:color="auto"/>
              <w:left w:val="single" w:sz="4" w:space="0" w:color="auto"/>
              <w:bottom w:val="single" w:sz="6" w:space="0" w:color="auto"/>
            </w:tcBorders>
          </w:tcPr>
          <w:p w14:paraId="0B075AD3"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9.2</w:t>
            </w:r>
          </w:p>
          <w:p w14:paraId="34340FF8" w14:textId="77777777" w:rsidR="00145930" w:rsidRPr="000D5771" w:rsidRDefault="00145930" w:rsidP="004B4875">
            <w:pPr>
              <w:pStyle w:val="TableText0"/>
              <w:spacing w:before="120"/>
              <w:rPr>
                <w:b/>
                <w:sz w:val="20"/>
                <w:szCs w:val="20"/>
                <w:lang w:val="fr-FR"/>
              </w:rPr>
            </w:pPr>
            <w:r w:rsidRPr="000D5771">
              <w:rPr>
                <w:sz w:val="20"/>
                <w:szCs w:val="20"/>
                <w:lang w:val="fr-FR"/>
              </w:rPr>
              <w:t>Sur les difficultés rencontrées ou les incohérences constatées dans l'application du Règlement des radiocommunications</w:t>
            </w:r>
          </w:p>
        </w:tc>
        <w:tc>
          <w:tcPr>
            <w:tcW w:w="7174" w:type="dxa"/>
            <w:tcBorders>
              <w:top w:val="single" w:sz="6" w:space="0" w:color="auto"/>
              <w:bottom w:val="single" w:sz="6" w:space="0" w:color="auto"/>
              <w:right w:val="single" w:sz="4" w:space="0" w:color="auto"/>
            </w:tcBorders>
          </w:tcPr>
          <w:p w14:paraId="4C55633A"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1:Position commune</w:t>
            </w:r>
          </w:p>
          <w:p w14:paraId="02CC8283" w14:textId="77777777" w:rsidR="00145930" w:rsidRPr="000D5771" w:rsidRDefault="00145930" w:rsidP="004B4875">
            <w:pPr>
              <w:pStyle w:val="enumlev1"/>
              <w:keepLines/>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Appuyer</w:t>
            </w:r>
            <w:r w:rsidRPr="000D5771">
              <w:rPr>
                <w:sz w:val="20"/>
              </w:rPr>
              <w:t xml:space="preserve"> les mesures permettant de supprimer les difficultés rencontrées ou les incohérences constatées dans l'application du Règlement des radiocommunications.</w:t>
            </w:r>
          </w:p>
          <w:p w14:paraId="7AB79847"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Appuyer</w:t>
            </w:r>
            <w:r w:rsidRPr="000D5771">
              <w:rPr>
                <w:sz w:val="20"/>
              </w:rPr>
              <w:t xml:space="preserve"> le fait que la durée de validité omise pour les réseaux à satellite de certaines administrations concernées devrait être révisée et incluse dans leurs assignations de fréquence, étant donné que cette omission risque de donner lieu à des ambiguïtés quant à la compréhension de la durée de vie opérationnelle des systèmes à satellites, y compris des stations spatiales et terriennes, et du type de service fourni.</w:t>
            </w:r>
          </w:p>
          <w:p w14:paraId="7059E0F1"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ab/>
              <w:t xml:space="preserve">Conformément au numéro </w:t>
            </w:r>
            <w:r w:rsidRPr="000D5771">
              <w:rPr>
                <w:b/>
                <w:bCs/>
                <w:sz w:val="20"/>
              </w:rPr>
              <w:t>11.50</w:t>
            </w:r>
            <w:r w:rsidRPr="000D5771">
              <w:rPr>
                <w:sz w:val="20"/>
              </w:rPr>
              <w:t xml:space="preserve"> du RR, afin d'améliorer l'exactitude des données inscrites dans le Fichier de référence, un examen des réseaux à satellite inscrits dans ledit Fichier de référence a été entrepris. Le Bureau a noté que les assignations de fréquence de certains réseaux à satellite étaient inscrites dans le Fichier de référence sans qu'aucune durée de validité soit indiquée. En conséquence, le Bureau a demandé aux administrations concernées d'indiquer la durée de validité prévue pour ces assignations de fréquence.</w:t>
            </w:r>
          </w:p>
          <w:p w14:paraId="431765C7"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ab/>
              <w:t>D'après la DURÉE DE VIE D'UNE FICHE DE NOTIFICATION D'UN RÉSEAU À SATELLITE (bandes de fréquences non planifiées), il apparaît que la durée de validité est un élément essentiel du cycle de vie des fiches de notification des réseaux à satellite.</w:t>
            </w:r>
          </w:p>
          <w:p w14:paraId="73A8503E" w14:textId="77777777" w:rsidR="00145930" w:rsidRPr="000D5771" w:rsidRDefault="00145930" w:rsidP="004B4875">
            <w:pPr>
              <w:pStyle w:val="enumlev1"/>
              <w:tabs>
                <w:tab w:val="clear" w:pos="1134"/>
                <w:tab w:val="left" w:pos="461"/>
              </w:tabs>
              <w:spacing w:before="40"/>
              <w:ind w:left="461" w:hanging="461"/>
              <w:rPr>
                <w:sz w:val="20"/>
              </w:rPr>
            </w:pPr>
            <w:r w:rsidRPr="000D5771">
              <w:rPr>
                <w:sz w:val="20"/>
              </w:rPr>
              <w:tab/>
              <w:t>Il est donc primordial de demander à l'administration concernée d'indiquer la durée de validité prévue pour ces assignations de fréquence.</w:t>
            </w:r>
          </w:p>
          <w:p w14:paraId="1B1B4945"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r>
            <w:r w:rsidRPr="000D5771">
              <w:rPr>
                <w:b/>
                <w:bCs/>
                <w:sz w:val="20"/>
              </w:rPr>
              <w:t>Appuyer</w:t>
            </w:r>
            <w:r w:rsidRPr="000D5771">
              <w:rPr>
                <w:sz w:val="20"/>
              </w:rPr>
              <w:t xml:space="preserve"> le fait de supprimer et de ne pas maintenir les autres satellites qui ne sont pas inclus dans la modification, afin d'éviter toute confusion lors de l'application de la résolution ou de mesures prises ultérieurement, par exemple pour les calculs relatifs à l'analyse des brouillages.</w:t>
            </w:r>
          </w:p>
          <w:p w14:paraId="00D6A187"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ab/>
              <w:t xml:space="preserve">Une administration notificatrice soumet au Bureau les modifications apportées aux caractéristiques des assignations de fréquence notifiées ou inscrites d'un système à satellites non OSG afin de réduire le nombre maximal de satellites. La question a été posée de savoir s'il était nécessaire de maintenir, parmi les autres satellites, au moins les caractéristiques orbitales correspondant au(x) satellite(s) utilisé(s) pour la mise en service des assignations de fréquence de ce système à satellites ou pour la réalisation d'une étape précédente de la Résolution </w:t>
            </w:r>
            <w:r w:rsidRPr="000D5771">
              <w:rPr>
                <w:b/>
                <w:bCs/>
                <w:sz w:val="20"/>
              </w:rPr>
              <w:t>35 (CMR-19)</w:t>
            </w:r>
            <w:r w:rsidRPr="000D5771">
              <w:rPr>
                <w:sz w:val="20"/>
              </w:rPr>
              <w:t>.</w:t>
            </w:r>
          </w:p>
          <w:p w14:paraId="44FF7A21"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4</w:t>
            </w:r>
            <w:r w:rsidRPr="000D5771">
              <w:rPr>
                <w:sz w:val="20"/>
              </w:rPr>
              <w:tab/>
            </w:r>
            <w:r w:rsidRPr="000D5771">
              <w:rPr>
                <w:b/>
                <w:bCs/>
                <w:sz w:val="20"/>
              </w:rPr>
              <w:t>Appuyer</w:t>
            </w:r>
            <w:r w:rsidRPr="000D5771">
              <w:rPr>
                <w:sz w:val="20"/>
              </w:rPr>
              <w:t xml:space="preserve"> les propositions soumises à la CMR-23 par les pays bénéficiaires de la mise en œuvre de la Résolution </w:t>
            </w:r>
            <w:r w:rsidRPr="000D5771">
              <w:rPr>
                <w:b/>
                <w:bCs/>
                <w:sz w:val="20"/>
              </w:rPr>
              <w:t>559 (CMR-19)</w:t>
            </w:r>
            <w:r w:rsidRPr="000D5771">
              <w:rPr>
                <w:sz w:val="20"/>
              </w:rPr>
              <w:t xml:space="preserve"> et concernant cette Résolution:</w:t>
            </w:r>
          </w:p>
          <w:p w14:paraId="17FD25C6" w14:textId="77777777" w:rsidR="00145930" w:rsidRPr="000D5771" w:rsidRDefault="00145930" w:rsidP="00363DBC">
            <w:pPr>
              <w:pStyle w:val="enumlev2"/>
              <w:tabs>
                <w:tab w:val="clear" w:pos="1134"/>
                <w:tab w:val="clear" w:pos="1871"/>
                <w:tab w:val="left" w:pos="886"/>
              </w:tabs>
              <w:spacing w:before="40" w:after="40"/>
              <w:ind w:left="886" w:hanging="425"/>
              <w:rPr>
                <w:sz w:val="20"/>
              </w:rPr>
            </w:pPr>
            <w:r w:rsidRPr="000D5771">
              <w:rPr>
                <w:sz w:val="20"/>
              </w:rPr>
              <w:t>1)</w:t>
            </w:r>
            <w:r w:rsidRPr="000D5771">
              <w:rPr>
                <w:sz w:val="20"/>
              </w:rPr>
              <w:tab/>
              <w:t>Les administrations qui ont soumis des contributions proposent à la CMR</w:t>
            </w:r>
            <w:r w:rsidRPr="000D5771">
              <w:rPr>
                <w:sz w:val="20"/>
              </w:rPr>
              <w:noBreakHyphen/>
              <w:t xml:space="preserve">23 d'approuver toutes les suggestions formulées par le RRB et le BR concernant la mise en œuvre de la Résolution </w:t>
            </w:r>
            <w:r w:rsidRPr="000D5771">
              <w:rPr>
                <w:b/>
                <w:bCs/>
                <w:sz w:val="20"/>
              </w:rPr>
              <w:t>559 (CMR-19)</w:t>
            </w:r>
            <w:r w:rsidRPr="000D5771">
              <w:rPr>
                <w:sz w:val="20"/>
              </w:rPr>
              <w:t>, telles qu'elles figurent dans leurs rapports à la CMR-23.</w:t>
            </w:r>
          </w:p>
          <w:p w14:paraId="659EDD71" w14:textId="77777777" w:rsidR="00145930" w:rsidRPr="000D5771" w:rsidRDefault="00145930" w:rsidP="004B4875">
            <w:pPr>
              <w:pStyle w:val="enumlev2"/>
              <w:keepLines/>
              <w:tabs>
                <w:tab w:val="clear" w:pos="1134"/>
                <w:tab w:val="clear" w:pos="1871"/>
                <w:tab w:val="left" w:pos="886"/>
              </w:tabs>
              <w:spacing w:before="40"/>
              <w:ind w:left="886" w:hanging="425"/>
              <w:rPr>
                <w:sz w:val="20"/>
              </w:rPr>
            </w:pPr>
            <w:r w:rsidRPr="000D5771">
              <w:rPr>
                <w:sz w:val="20"/>
              </w:rPr>
              <w:lastRenderedPageBreak/>
              <w:t>2)</w:t>
            </w:r>
            <w:r w:rsidRPr="000D5771">
              <w:rPr>
                <w:sz w:val="20"/>
              </w:rPr>
              <w:tab/>
              <w:t xml:space="preserve">En ce qui concerne les cas de coordination qui n'ont toujours pas été réglés au titre du § 4.1.1 b) de l'Appendice </w:t>
            </w:r>
            <w:r w:rsidRPr="000D5771">
              <w:rPr>
                <w:b/>
                <w:bCs/>
                <w:sz w:val="20"/>
              </w:rPr>
              <w:t>30</w:t>
            </w:r>
            <w:r w:rsidRPr="000D5771">
              <w:rPr>
                <w:sz w:val="20"/>
              </w:rPr>
              <w:t xml:space="preserve"> du RR, les administrations ayant soumis des contributions proposent que la CMR-23 approuve les mesures/propositions suivantes:</w:t>
            </w:r>
          </w:p>
          <w:p w14:paraId="1AA220F4"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a)</w:t>
            </w:r>
            <w:r w:rsidRPr="000D5771">
              <w:rPr>
                <w:rFonts w:eastAsia="Calibri"/>
                <w:sz w:val="20"/>
              </w:rPr>
              <w:tab/>
              <w:t xml:space="preserve">l'administration notificatrice d'une utilisation additionnelle (c'est-à-dire les assignations figurant dans la Liste et/ou les réseaux en instance au titre de l'Article </w:t>
            </w:r>
            <w:r w:rsidRPr="000D5771">
              <w:rPr>
                <w:rFonts w:eastAsia="Calibri"/>
                <w:b/>
                <w:bCs/>
                <w:sz w:val="20"/>
              </w:rPr>
              <w:t>4</w:t>
            </w:r>
            <w:r w:rsidRPr="000D5771">
              <w:rPr>
                <w:rFonts w:eastAsia="Calibri"/>
                <w:sz w:val="20"/>
              </w:rPr>
              <w:t xml:space="preserve">) accepte les brouillages qui pourraient être causés à ses points de mesure situés à l'intérieur du contour de gain d'antenne à −3 dB de la soumission au titre de la Résolution </w:t>
            </w:r>
            <w:r w:rsidRPr="000D5771">
              <w:rPr>
                <w:rFonts w:eastAsia="Calibri"/>
                <w:b/>
                <w:bCs/>
                <w:sz w:val="20"/>
              </w:rPr>
              <w:t>559 (CMR-19)</w:t>
            </w:r>
            <w:r w:rsidRPr="000D5771">
              <w:rPr>
                <w:rFonts w:eastAsia="Calibri"/>
                <w:sz w:val="20"/>
              </w:rPr>
              <w:t xml:space="preserve"> concernée, étant donné que le faisceau elliptique forme déjà l'ellipse minimale validée par le Bureau;</w:t>
            </w:r>
          </w:p>
          <w:p w14:paraId="58D6EF81"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b)</w:t>
            </w:r>
            <w:r w:rsidRPr="000D5771">
              <w:rPr>
                <w:rFonts w:eastAsia="Calibri"/>
                <w:sz w:val="20"/>
              </w:rPr>
              <w:tab/>
              <w:t xml:space="preserve">l'administration notificatrice d'une utilisation additionnelle (c'est-à-dire les assignations figurant dans la Liste et/ou les réseaux en instance au titre de l'Article </w:t>
            </w:r>
            <w:r w:rsidRPr="000D5771">
              <w:rPr>
                <w:rFonts w:eastAsia="Calibri"/>
                <w:b/>
                <w:bCs/>
                <w:sz w:val="20"/>
              </w:rPr>
              <w:t>4</w:t>
            </w:r>
            <w:r w:rsidRPr="000D5771">
              <w:rPr>
                <w:rFonts w:eastAsia="Calibri"/>
                <w:sz w:val="20"/>
              </w:rPr>
              <w:t xml:space="preserve">) accepte les brouillages qui pourraient être causés à ses points de mesure situés au-delà du contour de gain d'antenne à −20 dB de la soumission au titre de la Résolution </w:t>
            </w:r>
            <w:r w:rsidRPr="000D5771">
              <w:rPr>
                <w:rFonts w:eastAsia="Calibri"/>
                <w:b/>
                <w:bCs/>
                <w:sz w:val="20"/>
              </w:rPr>
              <w:t>559 (CMR-19)</w:t>
            </w:r>
            <w:r w:rsidRPr="000D5771">
              <w:rPr>
                <w:rFonts w:eastAsia="Calibri"/>
                <w:sz w:val="20"/>
              </w:rPr>
              <w:t xml:space="preserve"> concernée;</w:t>
            </w:r>
          </w:p>
          <w:p w14:paraId="48AF10EA"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c)</w:t>
            </w:r>
            <w:r w:rsidRPr="000D5771">
              <w:rPr>
                <w:rFonts w:eastAsia="Calibri"/>
                <w:sz w:val="20"/>
              </w:rPr>
              <w:tab/>
              <w:t xml:space="preserve">si la marge de protection équivalente (MPE) d'un point de mesure d'un réseau destiné à une utilisation additionnelle est inférieure à −10 dB au moment de l'examen par le Bureau de la Partie A des soumissions au titre de la Résolution </w:t>
            </w:r>
            <w:r w:rsidRPr="000D5771">
              <w:rPr>
                <w:rFonts w:eastAsia="Calibri"/>
                <w:b/>
                <w:bCs/>
                <w:sz w:val="20"/>
              </w:rPr>
              <w:t>559 (CMR-19)</w:t>
            </w:r>
            <w:r w:rsidRPr="000D5771">
              <w:rPr>
                <w:rFonts w:eastAsia="Calibri"/>
                <w:sz w:val="20"/>
              </w:rPr>
              <w:t xml:space="preserve">, le Bureau ne devrait pas tenir compte de ce point de mesure lorsqu'il réexaminera la conclusion relative à la soumission au titre de la Résolution </w:t>
            </w:r>
            <w:r w:rsidRPr="000D5771">
              <w:rPr>
                <w:rFonts w:eastAsia="Calibri"/>
                <w:b/>
                <w:bCs/>
                <w:sz w:val="20"/>
              </w:rPr>
              <w:t>559 (CMR-19)</w:t>
            </w:r>
            <w:r w:rsidRPr="000D5771">
              <w:rPr>
                <w:rFonts w:eastAsia="Calibri"/>
                <w:sz w:val="20"/>
              </w:rPr>
              <w:t xml:space="preserve"> concernée;</w:t>
            </w:r>
          </w:p>
          <w:p w14:paraId="7F28ADCE"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d)</w:t>
            </w:r>
            <w:r w:rsidRPr="000D5771">
              <w:rPr>
                <w:rFonts w:eastAsia="Calibri"/>
                <w:sz w:val="20"/>
              </w:rPr>
              <w:tab/>
              <w:t xml:space="preserve">une coordination est réputée achevée si l'espacement orbital nominal entre une soumission au titre de la Résolution </w:t>
            </w:r>
            <w:r w:rsidRPr="000D5771">
              <w:rPr>
                <w:rFonts w:eastAsia="Calibri"/>
                <w:b/>
                <w:bCs/>
                <w:sz w:val="20"/>
              </w:rPr>
              <w:t>559 (CMR-19)</w:t>
            </w:r>
            <w:r w:rsidRPr="000D5771">
              <w:rPr>
                <w:rFonts w:eastAsia="Calibri"/>
                <w:sz w:val="20"/>
              </w:rPr>
              <w:t xml:space="preserve"> et le réseau destiné à une utilisation additionnelle est supérieur ou égal à 6 degrés.</w:t>
            </w:r>
          </w:p>
          <w:p w14:paraId="56A0BF01"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3)</w:t>
            </w:r>
            <w:r w:rsidRPr="000D5771">
              <w:rPr>
                <w:sz w:val="20"/>
              </w:rPr>
              <w:tab/>
              <w:t xml:space="preserve">En ce qui concerne les cas de coordination qui n'ont toujours pas été réglés au titre du § 4.1.1 e) de l'Appendice </w:t>
            </w:r>
            <w:r w:rsidRPr="000D5771">
              <w:rPr>
                <w:b/>
                <w:bCs/>
                <w:sz w:val="20"/>
              </w:rPr>
              <w:t>30</w:t>
            </w:r>
            <w:r w:rsidRPr="000D5771">
              <w:rPr>
                <w:sz w:val="20"/>
              </w:rPr>
              <w:t>, les administrations ayant soumis des contributions proposent que la CMR-23 approuve les mesures/propositions suivantes:</w:t>
            </w:r>
          </w:p>
          <w:p w14:paraId="6FCC7D46"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a)</w:t>
            </w:r>
            <w:r w:rsidRPr="000D5771">
              <w:rPr>
                <w:rFonts w:eastAsia="Calibri"/>
                <w:sz w:val="20"/>
              </w:rPr>
              <w:tab/>
              <w:t xml:space="preserve">une coordination est réputée achevée si l'espacement orbital nominal entre une soumission au titre de la Résolution </w:t>
            </w:r>
            <w:r w:rsidRPr="000D5771">
              <w:rPr>
                <w:rFonts w:eastAsia="Calibri"/>
                <w:b/>
                <w:bCs/>
                <w:sz w:val="20"/>
              </w:rPr>
              <w:t>559 (CMR-19)</w:t>
            </w:r>
            <w:r w:rsidRPr="000D5771">
              <w:rPr>
                <w:rFonts w:eastAsia="Calibri"/>
                <w:sz w:val="20"/>
              </w:rPr>
              <w:t xml:space="preserve"> et le réseau à satellite non planifié concerné est supérieur ou égal à 6 degrés;</w:t>
            </w:r>
          </w:p>
          <w:p w14:paraId="12EEE68F"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b)</w:t>
            </w:r>
            <w:r w:rsidRPr="000D5771">
              <w:rPr>
                <w:rFonts w:eastAsia="Calibri"/>
                <w:sz w:val="20"/>
              </w:rPr>
              <w:tab/>
              <w:t xml:space="preserve">la zone de service d'un réseau à satellite non planifié à prendre en compte doit être sur terre et située à l'intérieur du contour de gain d'antenne à –3 dB de ce réseau à satellite non planifié, ce qui n'est pas le cas de la zone de service soumise, qui peut comprendre la zone dans laquelle le contour de gain d'antenne relatif présente des valeurs très faibles. Il est pris note du fait que le réseau à satellite non planifié ne protège une soumission au titre de la Résolution </w:t>
            </w:r>
            <w:r w:rsidRPr="000D5771">
              <w:rPr>
                <w:rFonts w:eastAsia="Calibri"/>
                <w:b/>
                <w:bCs/>
                <w:sz w:val="20"/>
              </w:rPr>
              <w:t>559 (CMR-19)</w:t>
            </w:r>
            <w:r w:rsidRPr="000D5771">
              <w:rPr>
                <w:rFonts w:eastAsia="Calibri"/>
                <w:sz w:val="20"/>
              </w:rPr>
              <w:t xml:space="preserve"> que dans une zone de service sur terre située à l'intérieur de son contour de gain d'antenne à –3 dB;</w:t>
            </w:r>
          </w:p>
          <w:p w14:paraId="720FC6CD"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c)</w:t>
            </w:r>
            <w:r w:rsidRPr="000D5771">
              <w:rPr>
                <w:rFonts w:eastAsia="Calibri"/>
                <w:sz w:val="20"/>
              </w:rPr>
              <w:tab/>
              <w:t xml:space="preserve">si une administration accepte de ne pas protéger la zone située sur son territoire national dans laquelle la limite de puissance surfacique est dépassée, le Bureau ne tiendra pas compte de cette partie de la zone de service lorsqu'il examinera les autres besoins de coordination d'une soumission au titre de la Résolution </w:t>
            </w:r>
            <w:r w:rsidRPr="000D5771">
              <w:rPr>
                <w:rFonts w:eastAsia="Calibri"/>
                <w:b/>
                <w:bCs/>
                <w:sz w:val="20"/>
              </w:rPr>
              <w:t>559 (CMR-19)</w:t>
            </w:r>
            <w:r w:rsidRPr="000D5771">
              <w:rPr>
                <w:rFonts w:eastAsia="Calibri"/>
                <w:sz w:val="20"/>
              </w:rPr>
              <w:t>;</w:t>
            </w:r>
          </w:p>
          <w:p w14:paraId="624A91EB"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d)</w:t>
            </w:r>
            <w:r w:rsidRPr="000D5771">
              <w:rPr>
                <w:rFonts w:eastAsia="Calibri"/>
                <w:sz w:val="20"/>
              </w:rPr>
              <w:tab/>
              <w:t xml:space="preserve">l'administration notificatrice d'un réseau à satellite non planifié accepte les brouillages susceptibles d'être causés dans sa zone de service située au-delà du contour de gain d'antenne à −20 dB de la soumission au titre de la Résolution </w:t>
            </w:r>
            <w:r w:rsidRPr="000D5771">
              <w:rPr>
                <w:rFonts w:eastAsia="Calibri"/>
                <w:b/>
                <w:bCs/>
                <w:sz w:val="20"/>
              </w:rPr>
              <w:t>559 (CMR-19)</w:t>
            </w:r>
            <w:r w:rsidRPr="000D5771">
              <w:rPr>
                <w:rFonts w:eastAsia="Calibri"/>
                <w:sz w:val="20"/>
              </w:rPr>
              <w:t xml:space="preserve"> concernée.</w:t>
            </w:r>
          </w:p>
          <w:p w14:paraId="61CCD07E" w14:textId="77777777" w:rsidR="00145930" w:rsidRPr="000D5771" w:rsidRDefault="00145930" w:rsidP="00363DBC">
            <w:pPr>
              <w:pStyle w:val="enumlev2"/>
              <w:tabs>
                <w:tab w:val="clear" w:pos="1134"/>
                <w:tab w:val="clear" w:pos="1871"/>
                <w:tab w:val="left" w:pos="886"/>
              </w:tabs>
              <w:spacing w:before="40" w:after="40"/>
              <w:ind w:left="886" w:hanging="425"/>
              <w:rPr>
                <w:sz w:val="20"/>
              </w:rPr>
            </w:pPr>
            <w:r w:rsidRPr="000D5771">
              <w:rPr>
                <w:sz w:val="20"/>
              </w:rPr>
              <w:t>4)</w:t>
            </w:r>
            <w:r w:rsidRPr="000D5771">
              <w:rPr>
                <w:sz w:val="20"/>
              </w:rPr>
              <w:tab/>
              <w:t xml:space="preserve">En ce qui concerne les cas de coordination qui n'ont toujours pas été réglés au titre du § 4.1.1 b) de l'Appendice </w:t>
            </w:r>
            <w:r w:rsidRPr="000D5771">
              <w:rPr>
                <w:b/>
                <w:bCs/>
                <w:sz w:val="20"/>
              </w:rPr>
              <w:t>30A</w:t>
            </w:r>
            <w:r w:rsidRPr="000D5771">
              <w:rPr>
                <w:sz w:val="20"/>
              </w:rPr>
              <w:t xml:space="preserve"> du RR, les administrations ayant soumis des contributions proposent que la CMR-23 approuve le fait que les cas en question soient considérés comme résolus, compte tenu des points suivants:</w:t>
            </w:r>
          </w:p>
          <w:p w14:paraId="09674FBD"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lastRenderedPageBreak/>
              <w:t>a)</w:t>
            </w:r>
            <w:r w:rsidRPr="000D5771">
              <w:rPr>
                <w:rFonts w:eastAsia="Calibri"/>
                <w:sz w:val="20"/>
              </w:rPr>
              <w:tab/>
              <w:t xml:space="preserve">les réseaux à satellite visés dans l'Article </w:t>
            </w:r>
            <w:r w:rsidRPr="000D5771">
              <w:rPr>
                <w:rFonts w:eastAsia="Calibri"/>
                <w:b/>
                <w:bCs/>
                <w:sz w:val="20"/>
              </w:rPr>
              <w:t>4</w:t>
            </w:r>
            <w:r w:rsidRPr="000D5771">
              <w:rPr>
                <w:rFonts w:eastAsia="Calibri"/>
                <w:sz w:val="20"/>
              </w:rPr>
              <w:t xml:space="preserve"> assurent une très grande couverture et présentent une sensibilité de réception très élevée sur le territoire national de l'administration concernée relevant de la Résolution </w:t>
            </w:r>
            <w:r w:rsidRPr="000D5771">
              <w:rPr>
                <w:rFonts w:eastAsia="Calibri"/>
                <w:b/>
                <w:bCs/>
                <w:sz w:val="20"/>
              </w:rPr>
              <w:t>559 (CMR-19)</w:t>
            </w:r>
            <w:r w:rsidRPr="000D5771">
              <w:rPr>
                <w:rFonts w:eastAsia="Calibri"/>
                <w:sz w:val="20"/>
              </w:rPr>
              <w:t>;</w:t>
            </w:r>
          </w:p>
          <w:p w14:paraId="5B6AB098"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b)</w:t>
            </w:r>
            <w:r w:rsidRPr="000D5771">
              <w:rPr>
                <w:rFonts w:eastAsia="Calibri"/>
                <w:sz w:val="20"/>
              </w:rPr>
              <w:tab/>
              <w:t xml:space="preserve">les zones de couverture des réseaux à satellite visés dans l'Article </w:t>
            </w:r>
            <w:r w:rsidRPr="000D5771">
              <w:rPr>
                <w:rFonts w:eastAsia="Calibri"/>
                <w:b/>
                <w:bCs/>
                <w:sz w:val="20"/>
              </w:rPr>
              <w:t>4</w:t>
            </w:r>
            <w:r w:rsidRPr="000D5771">
              <w:rPr>
                <w:rFonts w:eastAsia="Calibri"/>
                <w:sz w:val="20"/>
              </w:rPr>
              <w:t xml:space="preserve"> s'étendent bien au-delà du territoire national des administrations notificatrices, tandis que les stations terriennes de liaison de connexion de la soumission concernée relevant de de la Résolution </w:t>
            </w:r>
            <w:r w:rsidRPr="000D5771">
              <w:rPr>
                <w:rFonts w:eastAsia="Calibri"/>
                <w:b/>
                <w:bCs/>
                <w:sz w:val="20"/>
              </w:rPr>
              <w:t>559 (CMR-19)</w:t>
            </w:r>
            <w:r w:rsidRPr="000D5771">
              <w:rPr>
                <w:rFonts w:eastAsia="Calibri"/>
                <w:sz w:val="20"/>
              </w:rPr>
              <w:t xml:space="preserve"> sont situées uniquement à l'intérieur du territoire national et ne peuvent pas être réduites davantage;</w:t>
            </w:r>
          </w:p>
          <w:p w14:paraId="27059422"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c)</w:t>
            </w:r>
            <w:r w:rsidRPr="000D5771">
              <w:rPr>
                <w:rFonts w:eastAsia="Calibri"/>
                <w:sz w:val="20"/>
              </w:rPr>
              <w:tab/>
              <w:t xml:space="preserve">l'objectif de la Résolution </w:t>
            </w:r>
            <w:r w:rsidRPr="000D5771">
              <w:rPr>
                <w:rFonts w:eastAsia="Calibri"/>
                <w:b/>
                <w:bCs/>
                <w:sz w:val="20"/>
              </w:rPr>
              <w:t>2 (Rév.CMR-03)</w:t>
            </w:r>
            <w:r w:rsidRPr="000D5771">
              <w:rPr>
                <w:rFonts w:eastAsia="Calibri"/>
                <w:sz w:val="20"/>
              </w:rPr>
              <w:t xml:space="preserve"> et du point 7 de l'ordre du jour de la CMR-23, Question F.</w:t>
            </w:r>
          </w:p>
          <w:p w14:paraId="1C1098D2"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5)</w:t>
            </w:r>
            <w:r w:rsidRPr="000D5771">
              <w:rPr>
                <w:sz w:val="20"/>
              </w:rPr>
              <w:tab/>
              <w:t xml:space="preserve">En ce qui concerne les cas de coordination qui n'ont toujours pas été réglés au titre du § 4.1.1 a) des Appendices </w:t>
            </w:r>
            <w:r w:rsidRPr="000D5771">
              <w:rPr>
                <w:b/>
                <w:bCs/>
                <w:sz w:val="20"/>
              </w:rPr>
              <w:t>30</w:t>
            </w:r>
            <w:r w:rsidRPr="000D5771">
              <w:rPr>
                <w:sz w:val="20"/>
              </w:rPr>
              <w:t xml:space="preserve"> et </w:t>
            </w:r>
            <w:r w:rsidRPr="000D5771">
              <w:rPr>
                <w:b/>
                <w:bCs/>
                <w:sz w:val="20"/>
              </w:rPr>
              <w:t>30A</w:t>
            </w:r>
            <w:r w:rsidRPr="000D5771">
              <w:rPr>
                <w:sz w:val="20"/>
              </w:rPr>
              <w:t xml:space="preserve"> du RR, les administrations ayant soumis des contributions proposent que la CMR-23 approuve les mesures/propositions suivantes:</w:t>
            </w:r>
          </w:p>
          <w:p w14:paraId="43C37A2B"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a)</w:t>
            </w:r>
            <w:r w:rsidRPr="000D5771">
              <w:rPr>
                <w:rFonts w:eastAsia="Calibri"/>
                <w:sz w:val="20"/>
              </w:rPr>
              <w:tab/>
              <w:t>Pour les assignations multifaisceaux du Plan, si les valeurs du rapport </w:t>
            </w:r>
            <w:r w:rsidRPr="000D5771">
              <w:rPr>
                <w:rFonts w:eastAsia="Calibri"/>
                <w:i/>
                <w:iCs/>
                <w:sz w:val="20"/>
              </w:rPr>
              <w:t>C</w:t>
            </w:r>
            <w:r w:rsidRPr="000D5771">
              <w:rPr>
                <w:rFonts w:eastAsia="Calibri"/>
                <w:sz w:val="20"/>
              </w:rPr>
              <w:t>/</w:t>
            </w:r>
            <w:r w:rsidRPr="000D5771">
              <w:rPr>
                <w:rFonts w:eastAsia="Calibri"/>
                <w:i/>
                <w:iCs/>
                <w:sz w:val="20"/>
              </w:rPr>
              <w:t>I</w:t>
            </w:r>
            <w:r w:rsidRPr="000D5771">
              <w:rPr>
                <w:rFonts w:eastAsia="Calibri"/>
                <w:sz w:val="20"/>
              </w:rPr>
              <w:t xml:space="preserve"> pour un brouillage dû à une source unique sur la liaison descendante sont supérieures à 21 dB, sauf pour un point de mesure où le rapport </w:t>
            </w:r>
            <w:r w:rsidRPr="000D5771">
              <w:rPr>
                <w:rFonts w:eastAsia="Calibri"/>
                <w:i/>
                <w:iCs/>
                <w:sz w:val="20"/>
              </w:rPr>
              <w:t>C</w:t>
            </w:r>
            <w:r w:rsidRPr="000D5771">
              <w:rPr>
                <w:rFonts w:eastAsia="Calibri"/>
                <w:sz w:val="20"/>
              </w:rPr>
              <w:t>/</w:t>
            </w:r>
            <w:r w:rsidRPr="000D5771">
              <w:rPr>
                <w:rFonts w:eastAsia="Calibri"/>
                <w:i/>
                <w:iCs/>
                <w:sz w:val="20"/>
              </w:rPr>
              <w:t>I</w:t>
            </w:r>
            <w:r w:rsidRPr="000D5771">
              <w:rPr>
                <w:rFonts w:eastAsia="Calibri"/>
                <w:sz w:val="20"/>
              </w:rPr>
              <w:t xml:space="preserve"> pour un brouillage dû à une source unique est supérieur à 18 dB, les soumissions au titre de la Résolution </w:t>
            </w:r>
            <w:r w:rsidRPr="000D5771">
              <w:rPr>
                <w:rFonts w:eastAsia="Calibri"/>
                <w:b/>
                <w:bCs/>
                <w:sz w:val="20"/>
              </w:rPr>
              <w:t>559 (CMR-19)</w:t>
            </w:r>
            <w:r w:rsidRPr="000D5771">
              <w:rPr>
                <w:rFonts w:eastAsia="Calibri"/>
                <w:sz w:val="20"/>
              </w:rPr>
              <w:t xml:space="preserve"> et les assignations de fréquence correspondantes du Plan pour les Régions 1 et 3 sont considérées comme compatibles. En vue de préserver le même niveau de protection pour les cas compatibles de ces assignations de fréquence du Plan pour les Régions 1 et 3 vis-à-vis des nouvelles soumissions au titre de l'Article </w:t>
            </w:r>
            <w:r w:rsidRPr="000D5771">
              <w:rPr>
                <w:rFonts w:eastAsia="Calibri"/>
                <w:b/>
                <w:bCs/>
                <w:sz w:val="20"/>
              </w:rPr>
              <w:t>4</w:t>
            </w:r>
            <w:r w:rsidRPr="000D5771">
              <w:rPr>
                <w:rFonts w:eastAsia="Calibri"/>
                <w:sz w:val="20"/>
              </w:rPr>
              <w:t xml:space="preserve">, la situation de référence de ces assignations de fréquence du Plan pour les Régions 1 et 3 ne devra pas être mise à jour lorsque les assignations de fréquence au titre de la Résolution </w:t>
            </w:r>
            <w:r w:rsidRPr="000D5771">
              <w:rPr>
                <w:rFonts w:eastAsia="Calibri"/>
                <w:b/>
                <w:bCs/>
                <w:sz w:val="20"/>
              </w:rPr>
              <w:t>559 (CMR-19)</w:t>
            </w:r>
            <w:r w:rsidRPr="000D5771">
              <w:rPr>
                <w:rFonts w:eastAsia="Calibri"/>
                <w:sz w:val="20"/>
              </w:rPr>
              <w:t xml:space="preserve"> figurant dans la Liste seront incluses dans les Plans.</w:t>
            </w:r>
          </w:p>
          <w:p w14:paraId="3D32A135"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b)</w:t>
            </w:r>
            <w:r w:rsidRPr="000D5771">
              <w:rPr>
                <w:rFonts w:eastAsia="Calibri"/>
                <w:sz w:val="20"/>
              </w:rPr>
              <w:tab/>
              <w:t>Pour les assignations multifaisceaux du Plan, si les valeurs du rapport </w:t>
            </w:r>
            <w:r w:rsidRPr="000D5771">
              <w:rPr>
                <w:rFonts w:eastAsia="Calibri"/>
                <w:i/>
                <w:iCs/>
                <w:sz w:val="20"/>
              </w:rPr>
              <w:t>C</w:t>
            </w:r>
            <w:r w:rsidRPr="000D5771">
              <w:rPr>
                <w:rFonts w:eastAsia="Calibri"/>
                <w:sz w:val="20"/>
              </w:rPr>
              <w:t>/</w:t>
            </w:r>
            <w:r w:rsidRPr="000D5771">
              <w:rPr>
                <w:rFonts w:eastAsia="Calibri"/>
                <w:i/>
                <w:iCs/>
                <w:sz w:val="20"/>
              </w:rPr>
              <w:t>I</w:t>
            </w:r>
            <w:r w:rsidRPr="000D5771">
              <w:rPr>
                <w:rFonts w:eastAsia="Calibri"/>
                <w:sz w:val="20"/>
              </w:rPr>
              <w:t xml:space="preserve"> pour un brouillage dû à une source unique sur les liaisons de connexion sont supérieures à 27 dB, les soumissions au titre de la Résolution </w:t>
            </w:r>
            <w:r w:rsidRPr="000D5771">
              <w:rPr>
                <w:rFonts w:eastAsia="Calibri"/>
                <w:b/>
                <w:bCs/>
                <w:sz w:val="20"/>
              </w:rPr>
              <w:t>559 (CMR-19)</w:t>
            </w:r>
            <w:r w:rsidRPr="000D5771">
              <w:rPr>
                <w:rFonts w:eastAsia="Calibri"/>
                <w:sz w:val="20"/>
              </w:rPr>
              <w:t xml:space="preserve"> et les assignations de fréquence correspondantes du Plan pour les Régions 1 et 3 sont considérées comme compatibles. En vue de préserver le même niveau de protection pour les cas compatibles de ces assignations de fréquence du Plan pour les Régions 1 et 3 vis-à-vis des nouvelles soumissions au titre de l'Article </w:t>
            </w:r>
            <w:r w:rsidRPr="000D5771">
              <w:rPr>
                <w:rFonts w:eastAsia="Calibri"/>
                <w:b/>
                <w:bCs/>
                <w:sz w:val="20"/>
              </w:rPr>
              <w:t>4</w:t>
            </w:r>
            <w:r w:rsidRPr="000D5771">
              <w:rPr>
                <w:rFonts w:eastAsia="Calibri"/>
                <w:sz w:val="20"/>
              </w:rPr>
              <w:t xml:space="preserve">, la situation de référence de ces assignations de fréquence du Plan pour les Régions 1 et 3 ne devra pas être mise à jour lorsque les assignations de fréquence au titre de la Résolution </w:t>
            </w:r>
            <w:r w:rsidRPr="000D5771">
              <w:rPr>
                <w:rFonts w:eastAsia="Calibri"/>
                <w:b/>
                <w:bCs/>
                <w:sz w:val="20"/>
              </w:rPr>
              <w:t>559 (CMR-19)</w:t>
            </w:r>
            <w:r w:rsidRPr="000D5771">
              <w:rPr>
                <w:rFonts w:eastAsia="Calibri"/>
                <w:sz w:val="20"/>
              </w:rPr>
              <w:t xml:space="preserve"> figurant dans la Liste seront incluses dans les Plans.</w:t>
            </w:r>
          </w:p>
          <w:p w14:paraId="5A5F4312"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6)</w:t>
            </w:r>
            <w:r w:rsidRPr="000D5771">
              <w:rPr>
                <w:sz w:val="20"/>
              </w:rPr>
              <w:tab/>
              <w:t>Le Bureau:</w:t>
            </w:r>
          </w:p>
          <w:p w14:paraId="139CFB0F"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a)</w:t>
            </w:r>
            <w:r w:rsidRPr="000D5771">
              <w:rPr>
                <w:rFonts w:eastAsia="Calibri"/>
                <w:sz w:val="20"/>
              </w:rPr>
              <w:tab/>
              <w:t xml:space="preserve">examinera le statut de tous les cas de coordination restants, en tenant compte de toutes les propositions susmentionnées, y compris celles du RRB et du BR. À cet égard, pour les cas de coordination restants au titre du § 4.1.1 b) de l'Appendice </w:t>
            </w:r>
            <w:r w:rsidRPr="000D5771">
              <w:rPr>
                <w:rFonts w:eastAsia="Calibri"/>
                <w:b/>
                <w:bCs/>
                <w:sz w:val="20"/>
              </w:rPr>
              <w:t>30</w:t>
            </w:r>
            <w:r w:rsidRPr="000D5771">
              <w:rPr>
                <w:rFonts w:eastAsia="Calibri"/>
                <w:sz w:val="20"/>
              </w:rPr>
              <w:t xml:space="preserve"> du RR, si, après avoir pris en compte toutes les propositions susmentionnées, il ne reste plus qu'un seul point de mesure susceptible d'être affecté, la coordination est considérée comme achevée;</w:t>
            </w:r>
          </w:p>
          <w:p w14:paraId="0858290C" w14:textId="77777777" w:rsidR="00145930" w:rsidRPr="000D5771" w:rsidRDefault="00145930" w:rsidP="004B4875">
            <w:pPr>
              <w:pStyle w:val="enumlev3"/>
              <w:tabs>
                <w:tab w:val="clear" w:pos="1134"/>
                <w:tab w:val="left" w:pos="1170"/>
              </w:tabs>
              <w:spacing w:before="40"/>
              <w:ind w:left="1170" w:hanging="284"/>
              <w:rPr>
                <w:rFonts w:eastAsia="Calibri"/>
                <w:sz w:val="20"/>
              </w:rPr>
            </w:pPr>
            <w:r w:rsidRPr="000D5771">
              <w:rPr>
                <w:rFonts w:eastAsia="Calibri"/>
                <w:sz w:val="20"/>
              </w:rPr>
              <w:t>b)</w:t>
            </w:r>
            <w:r w:rsidRPr="000D5771">
              <w:rPr>
                <w:rFonts w:eastAsia="Calibri"/>
                <w:sz w:val="20"/>
              </w:rPr>
              <w:tab/>
              <w:t xml:space="preserve">appliquera toutes les mesures approuvées par la CMR-23 aux soumissions au titre de la Résolution </w:t>
            </w:r>
            <w:r w:rsidRPr="000D5771">
              <w:rPr>
                <w:rFonts w:eastAsia="Calibri"/>
                <w:b/>
                <w:bCs/>
                <w:sz w:val="20"/>
              </w:rPr>
              <w:t>559 (CMR-19)</w:t>
            </w:r>
            <w:r w:rsidRPr="000D5771">
              <w:rPr>
                <w:rFonts w:eastAsia="Calibri"/>
                <w:sz w:val="20"/>
              </w:rPr>
              <w:t xml:space="preserve"> présentées par les administrations de l'Afghanistan, de la Guinée équatoriale, de Malte et des Seychelles et aux applications futures des § 4.1.26 ou 4.1.27 de l'Article </w:t>
            </w:r>
            <w:r w:rsidRPr="000D5771">
              <w:rPr>
                <w:rFonts w:eastAsia="Calibri"/>
                <w:b/>
                <w:bCs/>
                <w:sz w:val="20"/>
              </w:rPr>
              <w:t>4</w:t>
            </w:r>
            <w:r w:rsidRPr="000D5771">
              <w:rPr>
                <w:rFonts w:eastAsia="Calibri"/>
                <w:sz w:val="20"/>
              </w:rPr>
              <w:t xml:space="preserve"> des Appendices </w:t>
            </w:r>
            <w:r w:rsidRPr="000D5771">
              <w:rPr>
                <w:rFonts w:eastAsia="Calibri"/>
                <w:b/>
                <w:bCs/>
                <w:sz w:val="20"/>
              </w:rPr>
              <w:t xml:space="preserve">30 </w:t>
            </w:r>
            <w:r w:rsidRPr="000D5771">
              <w:rPr>
                <w:rFonts w:eastAsia="Calibri"/>
                <w:sz w:val="20"/>
              </w:rPr>
              <w:t xml:space="preserve">et </w:t>
            </w:r>
            <w:r w:rsidRPr="000D5771">
              <w:rPr>
                <w:rFonts w:eastAsia="Calibri"/>
                <w:b/>
                <w:bCs/>
                <w:sz w:val="20"/>
              </w:rPr>
              <w:t>30A</w:t>
            </w:r>
            <w:r w:rsidRPr="000D5771">
              <w:rPr>
                <w:rFonts w:eastAsia="Calibri"/>
                <w:sz w:val="20"/>
              </w:rPr>
              <w:t xml:space="preserve"> du RR, qui sont de même nature que la Résolution </w:t>
            </w:r>
            <w:r w:rsidRPr="000D5771">
              <w:rPr>
                <w:rFonts w:eastAsia="Calibri"/>
                <w:b/>
                <w:bCs/>
                <w:sz w:val="20"/>
              </w:rPr>
              <w:t>559 (CMR-19)</w:t>
            </w:r>
            <w:r w:rsidRPr="000D5771">
              <w:rPr>
                <w:rFonts w:eastAsia="Calibri"/>
                <w:sz w:val="20"/>
              </w:rPr>
              <w:t>.</w:t>
            </w:r>
          </w:p>
          <w:p w14:paraId="392B667C" w14:textId="77777777" w:rsidR="00145930" w:rsidRPr="000D5771" w:rsidRDefault="00145930" w:rsidP="004B4875">
            <w:pPr>
              <w:pStyle w:val="TableText0"/>
              <w:keepNext/>
              <w:spacing w:before="120"/>
              <w:rPr>
                <w:i/>
                <w:iCs/>
                <w:sz w:val="20"/>
                <w:szCs w:val="20"/>
                <w:u w:val="single"/>
                <w:lang w:val="fr-FR"/>
              </w:rPr>
            </w:pPr>
            <w:r w:rsidRPr="000D5771">
              <w:rPr>
                <w:i/>
                <w:iCs/>
                <w:sz w:val="20"/>
                <w:szCs w:val="20"/>
                <w:u w:val="single"/>
                <w:lang w:val="fr-FR"/>
              </w:rPr>
              <w:t>Partie 2:Marche à suivre</w:t>
            </w:r>
          </w:p>
          <w:p w14:paraId="51077491"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260FD07E"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lastRenderedPageBreak/>
              <w:t>1</w:t>
            </w:r>
            <w:r w:rsidRPr="000D5771">
              <w:rPr>
                <w:sz w:val="20"/>
              </w:rPr>
              <w:tab/>
              <w:t xml:space="preserve">de </w:t>
            </w:r>
            <w:r w:rsidRPr="000D5771">
              <w:rPr>
                <w:b/>
                <w:bCs/>
                <w:sz w:val="20"/>
              </w:rPr>
              <w:t>noter</w:t>
            </w:r>
            <w:r w:rsidRPr="000D5771">
              <w:rPr>
                <w:sz w:val="20"/>
              </w:rPr>
              <w:t xml:space="preserve"> que le Directeur du Bureau des radiocommunications élaborera un rapport qui sera publié quelques mois avant la CMR-23;</w:t>
            </w:r>
          </w:p>
          <w:p w14:paraId="47BE483E"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t>d'</w:t>
            </w:r>
            <w:r w:rsidRPr="000D5771">
              <w:rPr>
                <w:b/>
                <w:bCs/>
                <w:sz w:val="20"/>
              </w:rPr>
              <w:t>étudier</w:t>
            </w:r>
            <w:r w:rsidRPr="000D5771">
              <w:rPr>
                <w:sz w:val="20"/>
              </w:rPr>
              <w:t xml:space="preserve"> et d'</w:t>
            </w:r>
            <w:r w:rsidRPr="000D5771">
              <w:rPr>
                <w:b/>
                <w:bCs/>
                <w:sz w:val="20"/>
              </w:rPr>
              <w:t>examiner</w:t>
            </w:r>
            <w:r w:rsidRPr="000D5771">
              <w:rPr>
                <w:sz w:val="20"/>
              </w:rPr>
              <w:t xml:space="preserve"> le rapport du Directeur du Bureau des radiocommunications une fois qu'il sera publié et d'élaborer une proposition africaine commune;</w:t>
            </w:r>
          </w:p>
          <w:p w14:paraId="69E63D86"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t>d'</w:t>
            </w:r>
            <w:r w:rsidRPr="000D5771">
              <w:rPr>
                <w:b/>
                <w:bCs/>
                <w:sz w:val="20"/>
              </w:rPr>
              <w:t>affecter</w:t>
            </w:r>
            <w:r w:rsidRPr="000D5771">
              <w:rPr>
                <w:sz w:val="20"/>
              </w:rPr>
              <w:t xml:space="preserve"> des ressources spéciales pour suivre de près l'examen de ce point de l'ordre du jour pendant la CMR-23;</w:t>
            </w:r>
          </w:p>
          <w:p w14:paraId="40D33710" w14:textId="77777777" w:rsidR="00145930" w:rsidRPr="000D5771" w:rsidRDefault="00145930" w:rsidP="00363DBC">
            <w:pPr>
              <w:pStyle w:val="enumlev1"/>
              <w:keepLines/>
              <w:tabs>
                <w:tab w:val="clear" w:pos="1134"/>
                <w:tab w:val="left" w:pos="461"/>
              </w:tabs>
              <w:spacing w:before="40" w:after="40"/>
              <w:ind w:left="461" w:hanging="461"/>
              <w:rPr>
                <w:sz w:val="20"/>
              </w:rPr>
            </w:pPr>
            <w:r w:rsidRPr="000D5771">
              <w:rPr>
                <w:sz w:val="20"/>
              </w:rPr>
              <w:t>4</w:t>
            </w:r>
            <w:r w:rsidRPr="000D5771">
              <w:rPr>
                <w:sz w:val="20"/>
              </w:rPr>
              <w:tab/>
              <w:t xml:space="preserve">de </w:t>
            </w:r>
            <w:r w:rsidRPr="000D5771">
              <w:rPr>
                <w:b/>
                <w:bCs/>
                <w:sz w:val="20"/>
              </w:rPr>
              <w:t>participer de manière significative</w:t>
            </w:r>
            <w:r w:rsidRPr="000D5771">
              <w:rPr>
                <w:sz w:val="20"/>
              </w:rPr>
              <w:t xml:space="preserve"> à une réunion en ligne, qui sera organisée par le secrétariat de l'UAT afin d'examiner le rapport du Directeur du Bureau des radiocommunications et d'élaborer une proposition africaine commune sur ce point de l'ordre du jour.</w:t>
            </w:r>
          </w:p>
        </w:tc>
      </w:tr>
      <w:tr w:rsidR="00145930" w:rsidRPr="000D5771" w14:paraId="1FF06F4E" w14:textId="77777777" w:rsidTr="004B4875">
        <w:tc>
          <w:tcPr>
            <w:tcW w:w="2972" w:type="dxa"/>
            <w:tcBorders>
              <w:top w:val="single" w:sz="4" w:space="0" w:color="auto"/>
              <w:left w:val="single" w:sz="4" w:space="0" w:color="auto"/>
              <w:bottom w:val="single" w:sz="4" w:space="0" w:color="auto"/>
            </w:tcBorders>
          </w:tcPr>
          <w:p w14:paraId="12F65946" w14:textId="77777777" w:rsidR="00145930" w:rsidRPr="000D5771" w:rsidRDefault="00145930" w:rsidP="004B4875">
            <w:pPr>
              <w:pStyle w:val="TableText0"/>
              <w:spacing w:before="120"/>
              <w:rPr>
                <w:b/>
                <w:sz w:val="20"/>
                <w:szCs w:val="20"/>
                <w:lang w:val="fr-FR"/>
              </w:rPr>
            </w:pPr>
            <w:r w:rsidRPr="000D5771">
              <w:rPr>
                <w:b/>
                <w:sz w:val="20"/>
                <w:szCs w:val="20"/>
                <w:lang w:val="fr-FR"/>
              </w:rPr>
              <w:lastRenderedPageBreak/>
              <w:t>9.3</w:t>
            </w:r>
          </w:p>
          <w:p w14:paraId="0FCB7E91" w14:textId="77777777" w:rsidR="00145930" w:rsidRPr="000D5771" w:rsidRDefault="00145930" w:rsidP="004B4875">
            <w:pPr>
              <w:pStyle w:val="TableText0"/>
              <w:spacing w:before="120"/>
              <w:rPr>
                <w:sz w:val="20"/>
                <w:szCs w:val="20"/>
                <w:lang w:val="fr-FR"/>
              </w:rPr>
            </w:pPr>
            <w:r w:rsidRPr="000D5771">
              <w:rPr>
                <w:sz w:val="20"/>
                <w:szCs w:val="20"/>
                <w:lang w:val="fr-FR"/>
              </w:rPr>
              <w:t>Sur la suite donnée à la Résolution </w:t>
            </w:r>
            <w:r w:rsidRPr="000D5771">
              <w:rPr>
                <w:b/>
                <w:bCs/>
                <w:sz w:val="20"/>
                <w:szCs w:val="20"/>
                <w:lang w:val="fr-FR"/>
              </w:rPr>
              <w:t>80 (Rév.CMR-07)</w:t>
            </w:r>
            <w:r w:rsidRPr="000D5771">
              <w:rPr>
                <w:sz w:val="20"/>
                <w:szCs w:val="20"/>
                <w:lang w:val="fr-FR"/>
              </w:rPr>
              <w:t>;</w:t>
            </w:r>
          </w:p>
          <w:p w14:paraId="0CC34AA2" w14:textId="77777777" w:rsidR="00145930" w:rsidRPr="000D5771" w:rsidRDefault="00145930" w:rsidP="004B4875">
            <w:pPr>
              <w:pStyle w:val="TableText0"/>
              <w:spacing w:before="120"/>
              <w:rPr>
                <w:sz w:val="20"/>
                <w:szCs w:val="20"/>
                <w:lang w:val="fr-FR"/>
              </w:rPr>
            </w:pPr>
            <w:r w:rsidRPr="000D5771">
              <w:rPr>
                <w:sz w:val="20"/>
                <w:szCs w:val="20"/>
                <w:lang w:val="fr-FR"/>
              </w:rPr>
              <w:t>Résolution </w:t>
            </w:r>
            <w:r w:rsidRPr="000D5771">
              <w:rPr>
                <w:b/>
                <w:bCs/>
                <w:sz w:val="20"/>
                <w:szCs w:val="20"/>
                <w:lang w:val="fr-FR"/>
              </w:rPr>
              <w:t>80 (Rév.CMR-07)</w:t>
            </w:r>
          </w:p>
          <w:p w14:paraId="3B12E70B" w14:textId="77777777" w:rsidR="00145930" w:rsidRPr="000D5771" w:rsidRDefault="00145930" w:rsidP="004B4875">
            <w:pPr>
              <w:pStyle w:val="TableText0"/>
              <w:rPr>
                <w:b/>
                <w:sz w:val="20"/>
                <w:szCs w:val="20"/>
                <w:lang w:val="fr-FR"/>
              </w:rPr>
            </w:pPr>
            <w:r w:rsidRPr="000D5771">
              <w:rPr>
                <w:sz w:val="20"/>
                <w:szCs w:val="20"/>
                <w:lang w:val="fr-FR"/>
              </w:rPr>
              <w:t>(Procédure de diligence due dans l'application des principes énoncés dans la Constitution)</w:t>
            </w:r>
          </w:p>
        </w:tc>
        <w:tc>
          <w:tcPr>
            <w:tcW w:w="7174" w:type="dxa"/>
            <w:tcBorders>
              <w:top w:val="single" w:sz="6" w:space="0" w:color="auto"/>
              <w:bottom w:val="single" w:sz="6" w:space="0" w:color="auto"/>
              <w:right w:val="single" w:sz="4" w:space="0" w:color="auto"/>
            </w:tcBorders>
          </w:tcPr>
          <w:p w14:paraId="5F3661B1"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1: Proposition commune</w:t>
            </w:r>
          </w:p>
          <w:p w14:paraId="444EB531" w14:textId="77777777" w:rsidR="00145930" w:rsidRPr="000D5771" w:rsidRDefault="00145930" w:rsidP="004B4875">
            <w:pPr>
              <w:pStyle w:val="enumlev1"/>
              <w:keepLines/>
              <w:tabs>
                <w:tab w:val="clear" w:pos="1134"/>
                <w:tab w:val="left" w:pos="461"/>
              </w:tabs>
              <w:spacing w:before="120"/>
              <w:ind w:left="461" w:hanging="461"/>
              <w:rPr>
                <w:sz w:val="20"/>
              </w:rPr>
            </w:pPr>
            <w:r w:rsidRPr="000D5771">
              <w:rPr>
                <w:sz w:val="20"/>
              </w:rPr>
              <w:t>1</w:t>
            </w:r>
            <w:r w:rsidRPr="000D5771">
              <w:rPr>
                <w:sz w:val="20"/>
              </w:rPr>
              <w:tab/>
            </w:r>
            <w:r w:rsidRPr="000D5771">
              <w:rPr>
                <w:b/>
                <w:bCs/>
                <w:sz w:val="20"/>
              </w:rPr>
              <w:t>Appuyer sans réserve</w:t>
            </w:r>
            <w:r w:rsidRPr="000D5771">
              <w:rPr>
                <w:sz w:val="20"/>
              </w:rPr>
              <w:t xml:space="preserve">, par principe, la mise en œuvre dans son intégralité de la Résolution </w:t>
            </w:r>
            <w:r w:rsidRPr="000D5771">
              <w:rPr>
                <w:b/>
                <w:bCs/>
                <w:sz w:val="20"/>
              </w:rPr>
              <w:t>80 (Rév.CMR-07)</w:t>
            </w:r>
            <w:r w:rsidRPr="000D5771">
              <w:rPr>
                <w:sz w:val="20"/>
              </w:rPr>
              <w:t>, qui constitue un mécanisme essentiel pour favoriser l'application équitable et le respect des principes énoncés dans la Constitution de l'UIT.</w:t>
            </w:r>
          </w:p>
          <w:p w14:paraId="1A89F63D"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r>
            <w:r w:rsidRPr="000D5771">
              <w:rPr>
                <w:b/>
                <w:bCs/>
                <w:sz w:val="20"/>
              </w:rPr>
              <w:t>Prendre note</w:t>
            </w:r>
            <w:r w:rsidRPr="000D5771">
              <w:rPr>
                <w:sz w:val="20"/>
              </w:rPr>
              <w:t xml:space="preserve"> du rapport du Comité du Règlement des radiocommunications à la CMR-23 sur la Résolution </w:t>
            </w:r>
            <w:r w:rsidRPr="000D5771">
              <w:rPr>
                <w:b/>
                <w:bCs/>
                <w:sz w:val="20"/>
              </w:rPr>
              <w:t>80 (Rév.CMR-07)</w:t>
            </w:r>
            <w:r w:rsidRPr="000D5771">
              <w:rPr>
                <w:sz w:val="20"/>
              </w:rPr>
              <w:t xml:space="preserve"> soumis à la réunion tenue du 26 juin au 4 juillet 2023. Dans son rapport à la CMR-23, le Comité a examiné de manière détaillée la mise en œuvre de la Résolution </w:t>
            </w:r>
            <w:r w:rsidRPr="000D5771">
              <w:rPr>
                <w:b/>
                <w:bCs/>
                <w:sz w:val="20"/>
              </w:rPr>
              <w:t>559 (CMR-19)</w:t>
            </w:r>
            <w:r w:rsidRPr="000D5771">
              <w:rPr>
                <w:sz w:val="20"/>
              </w:rPr>
              <w:t>, les difficultés rencontrées pour résoudre certains cas de brouillage préjudiciable, les difficultés ayant des incidences sur la coordination des réseaux à satellite et le traitement des demandes de prorogation des délais réglementaires applicables à la mise en service ou à la remise en service utilisent des assignations de fréquence.</w:t>
            </w:r>
          </w:p>
          <w:p w14:paraId="39B8490B"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r>
            <w:r w:rsidRPr="000D5771">
              <w:rPr>
                <w:b/>
                <w:bCs/>
                <w:sz w:val="20"/>
              </w:rPr>
              <w:t>Soumettre</w:t>
            </w:r>
            <w:r w:rsidRPr="000D5771">
              <w:rPr>
                <w:sz w:val="20"/>
              </w:rPr>
              <w:t xml:space="preserve"> une demande à l'UIT, afin que la CMR-23 envisage d'inclure une assignation de fréquence au réseau à satellite TANSAT1 dans l'Appendice </w:t>
            </w:r>
            <w:r w:rsidRPr="000D5771">
              <w:rPr>
                <w:b/>
                <w:bCs/>
                <w:sz w:val="20"/>
              </w:rPr>
              <w:t>30</w:t>
            </w:r>
            <w:r w:rsidRPr="000D5771">
              <w:rPr>
                <w:sz w:val="20"/>
              </w:rPr>
              <w:t xml:space="preserve"> et l'Appendice </w:t>
            </w:r>
            <w:r w:rsidRPr="000D5771">
              <w:rPr>
                <w:b/>
                <w:bCs/>
                <w:sz w:val="20"/>
              </w:rPr>
              <w:t>30A</w:t>
            </w:r>
            <w:r w:rsidRPr="000D5771">
              <w:rPr>
                <w:sz w:val="20"/>
              </w:rPr>
              <w:t xml:space="preserve"> des Plans de la Région 1 et de la Région 3, aux fins de la mise en œuvre de la Résolution </w:t>
            </w:r>
            <w:r w:rsidRPr="000D5771">
              <w:rPr>
                <w:b/>
                <w:bCs/>
                <w:sz w:val="20"/>
              </w:rPr>
              <w:t>559 (CMR-19)</w:t>
            </w:r>
            <w:r w:rsidRPr="000D5771">
              <w:rPr>
                <w:sz w:val="20"/>
              </w:rPr>
              <w:t>.</w:t>
            </w:r>
          </w:p>
          <w:p w14:paraId="6DD6FE64"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4</w:t>
            </w:r>
            <w:r w:rsidRPr="000D5771">
              <w:rPr>
                <w:sz w:val="20"/>
              </w:rPr>
              <w:tab/>
            </w:r>
            <w:r w:rsidRPr="000D5771">
              <w:rPr>
                <w:b/>
                <w:bCs/>
                <w:sz w:val="20"/>
              </w:rPr>
              <w:t>Prendre note</w:t>
            </w:r>
            <w:r w:rsidRPr="000D5771">
              <w:rPr>
                <w:sz w:val="20"/>
              </w:rPr>
              <w:t xml:space="preserve"> du rapport de la Conférence de plénipotentiaires de l'UAT, tenue les 25 et 26 juillet 2022 en Algérie, en ce qui concerne une proposition africaine commune à la PP-22 relative aux conséquences de l'invocation de l'article </w:t>
            </w:r>
            <w:r w:rsidRPr="000D5771">
              <w:rPr>
                <w:b/>
                <w:bCs/>
                <w:sz w:val="20"/>
              </w:rPr>
              <w:t>48</w:t>
            </w:r>
            <w:r w:rsidRPr="000D5771">
              <w:rPr>
                <w:sz w:val="20"/>
              </w:rPr>
              <w:t xml:space="preserve"> de la Constitution de l'UIT.</w:t>
            </w:r>
          </w:p>
          <w:p w14:paraId="6BEA2289"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5</w:t>
            </w:r>
            <w:r w:rsidRPr="000D5771">
              <w:rPr>
                <w:sz w:val="20"/>
              </w:rPr>
              <w:tab/>
            </w:r>
            <w:r w:rsidRPr="000D5771">
              <w:rPr>
                <w:b/>
                <w:bCs/>
                <w:sz w:val="20"/>
              </w:rPr>
              <w:t>Appuyer</w:t>
            </w:r>
            <w:r w:rsidRPr="000D5771">
              <w:rPr>
                <w:sz w:val="20"/>
              </w:rPr>
              <w:t xml:space="preserve"> les propositions relatives à la Résolution </w:t>
            </w:r>
            <w:r w:rsidRPr="000D5771">
              <w:rPr>
                <w:b/>
                <w:bCs/>
                <w:sz w:val="20"/>
              </w:rPr>
              <w:t>559 (CMR-19)</w:t>
            </w:r>
            <w:r w:rsidRPr="000D5771">
              <w:rPr>
                <w:sz w:val="20"/>
              </w:rPr>
              <w:t>, comme indiqué dans le point 9.2 de l'ordre du jour ci-dessus.</w:t>
            </w:r>
          </w:p>
          <w:p w14:paraId="103BC44E"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5FE6926A" w14:textId="77777777" w:rsidR="00145930" w:rsidRPr="000D5771" w:rsidRDefault="00145930" w:rsidP="004B4875">
            <w:pPr>
              <w:pStyle w:val="TableText0"/>
              <w:spacing w:before="120"/>
              <w:rPr>
                <w:b/>
                <w:bCs/>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2B8BE18C"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1</w:t>
            </w:r>
            <w:r w:rsidRPr="000D5771">
              <w:rPr>
                <w:sz w:val="20"/>
              </w:rPr>
              <w:tab/>
              <w:t xml:space="preserve">de </w:t>
            </w:r>
            <w:r w:rsidRPr="000D5771">
              <w:rPr>
                <w:b/>
                <w:bCs/>
                <w:sz w:val="20"/>
              </w:rPr>
              <w:t>prendre note</w:t>
            </w:r>
            <w:r w:rsidRPr="000D5771">
              <w:rPr>
                <w:sz w:val="20"/>
              </w:rPr>
              <w:t xml:space="preserve"> du rapport du Comité du Règlement des radiocommunications (RRB) à la CMR-23;</w:t>
            </w:r>
          </w:p>
          <w:p w14:paraId="3058870F"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2</w:t>
            </w:r>
            <w:r w:rsidRPr="000D5771">
              <w:rPr>
                <w:sz w:val="20"/>
              </w:rPr>
              <w:tab/>
              <w:t>d'</w:t>
            </w:r>
            <w:r w:rsidRPr="000D5771">
              <w:rPr>
                <w:b/>
                <w:bCs/>
                <w:sz w:val="20"/>
              </w:rPr>
              <w:t xml:space="preserve">étudier </w:t>
            </w:r>
            <w:r w:rsidRPr="000D5771">
              <w:rPr>
                <w:sz w:val="20"/>
              </w:rPr>
              <w:t>et d'examiner le rapport du Comité du Règlement des radiocommunications (RRB) à la CMR-23 et d'élaborer une proposition africaine commune;</w:t>
            </w:r>
          </w:p>
          <w:p w14:paraId="4F422410"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t>d'</w:t>
            </w:r>
            <w:r w:rsidRPr="000D5771">
              <w:rPr>
                <w:b/>
                <w:bCs/>
                <w:sz w:val="20"/>
              </w:rPr>
              <w:t>affecter</w:t>
            </w:r>
            <w:r w:rsidRPr="000D5771">
              <w:rPr>
                <w:sz w:val="20"/>
              </w:rPr>
              <w:t xml:space="preserve"> des ressources spéciales pour suivre de près l'examen de ce point de l'ordre du jour pendant la CMR-23;</w:t>
            </w:r>
          </w:p>
          <w:p w14:paraId="376E5CF2" w14:textId="77777777" w:rsidR="00145930" w:rsidRPr="000D5771" w:rsidRDefault="00145930" w:rsidP="00363DBC">
            <w:pPr>
              <w:pStyle w:val="enumlev1"/>
              <w:keepLines/>
              <w:tabs>
                <w:tab w:val="clear" w:pos="1134"/>
                <w:tab w:val="left" w:pos="461"/>
              </w:tabs>
              <w:spacing w:before="40" w:after="40"/>
              <w:ind w:left="461" w:hanging="461"/>
              <w:rPr>
                <w:sz w:val="20"/>
              </w:rPr>
            </w:pPr>
            <w:r w:rsidRPr="000D5771">
              <w:rPr>
                <w:sz w:val="20"/>
              </w:rPr>
              <w:t>4</w:t>
            </w:r>
            <w:r w:rsidRPr="000D5771">
              <w:rPr>
                <w:sz w:val="20"/>
              </w:rPr>
              <w:tab/>
              <w:t xml:space="preserve">de </w:t>
            </w:r>
            <w:r w:rsidRPr="000D5771">
              <w:rPr>
                <w:b/>
                <w:bCs/>
                <w:sz w:val="20"/>
              </w:rPr>
              <w:t>participer de manière significative</w:t>
            </w:r>
            <w:r w:rsidRPr="000D5771">
              <w:rPr>
                <w:sz w:val="20"/>
              </w:rPr>
              <w:t xml:space="preserve"> à une réunion en ligne, qui sera organisée par le secrétariat de l'UAT afin d'examiner le rapport du Comité du Règlement des radiocommunications (RRB) et d'élaborer une proposition africaine commune sur ce point de l'ordre du jour.</w:t>
            </w:r>
          </w:p>
        </w:tc>
      </w:tr>
      <w:tr w:rsidR="00145930" w:rsidRPr="000D5771" w14:paraId="13782274" w14:textId="77777777" w:rsidTr="004B4875">
        <w:tc>
          <w:tcPr>
            <w:tcW w:w="2972" w:type="dxa"/>
            <w:tcBorders>
              <w:top w:val="single" w:sz="4" w:space="0" w:color="auto"/>
              <w:left w:val="single" w:sz="4" w:space="0" w:color="auto"/>
              <w:bottom w:val="single" w:sz="6" w:space="0" w:color="auto"/>
            </w:tcBorders>
          </w:tcPr>
          <w:p w14:paraId="65EAD06F" w14:textId="77777777" w:rsidR="00145930" w:rsidRPr="000D5771" w:rsidRDefault="00145930" w:rsidP="004B4875">
            <w:pPr>
              <w:pStyle w:val="TableText0"/>
              <w:spacing w:before="120"/>
              <w:rPr>
                <w:b/>
                <w:sz w:val="20"/>
                <w:szCs w:val="20"/>
                <w:lang w:val="fr-FR"/>
              </w:rPr>
            </w:pPr>
            <w:r w:rsidRPr="000D5771">
              <w:rPr>
                <w:b/>
                <w:sz w:val="20"/>
                <w:szCs w:val="20"/>
                <w:lang w:val="fr-FR"/>
              </w:rPr>
              <w:t>10</w:t>
            </w:r>
          </w:p>
          <w:p w14:paraId="7C4B2F00" w14:textId="77777777" w:rsidR="00145930" w:rsidRPr="000D5771" w:rsidRDefault="00145930" w:rsidP="004B4875">
            <w:pPr>
              <w:pStyle w:val="TableText0"/>
              <w:spacing w:before="120"/>
              <w:rPr>
                <w:b/>
                <w:sz w:val="20"/>
                <w:szCs w:val="20"/>
                <w:lang w:val="fr-FR"/>
              </w:rPr>
            </w:pPr>
            <w:r w:rsidRPr="000D5771">
              <w:rPr>
                <w:sz w:val="20"/>
                <w:szCs w:val="20"/>
                <w:lang w:val="fr-FR"/>
              </w:rPr>
              <w:t xml:space="preserve">Recommander au Conseil de l'UIT des points à inscrire à l'ordre du jour de la Conférence mondiale des radiocommunications suivante et des points de l'ordre du jour </w:t>
            </w:r>
            <w:r w:rsidRPr="000D5771">
              <w:rPr>
                <w:sz w:val="20"/>
                <w:szCs w:val="20"/>
                <w:lang w:val="fr-FR"/>
              </w:rPr>
              <w:lastRenderedPageBreak/>
              <w:t xml:space="preserve">préliminaire de conférences futures, conformément à l'article 7 de la Convention de l'UIT et à la Résolution </w:t>
            </w:r>
            <w:r w:rsidRPr="000D5771">
              <w:rPr>
                <w:b/>
                <w:sz w:val="20"/>
                <w:szCs w:val="20"/>
                <w:lang w:val="fr-FR"/>
              </w:rPr>
              <w:t>804 (Rév.CMR-19)</w:t>
            </w:r>
            <w:r w:rsidRPr="000D5771">
              <w:rPr>
                <w:sz w:val="20"/>
                <w:szCs w:val="20"/>
                <w:lang w:val="fr-FR"/>
              </w:rPr>
              <w:t>.</w:t>
            </w:r>
          </w:p>
        </w:tc>
        <w:tc>
          <w:tcPr>
            <w:tcW w:w="7174" w:type="dxa"/>
            <w:tcBorders>
              <w:top w:val="single" w:sz="6" w:space="0" w:color="auto"/>
              <w:bottom w:val="single" w:sz="6" w:space="0" w:color="auto"/>
              <w:right w:val="single" w:sz="4" w:space="0" w:color="auto"/>
            </w:tcBorders>
          </w:tcPr>
          <w:p w14:paraId="6B571CCA" w14:textId="77777777" w:rsidR="00145930" w:rsidRPr="000D5771" w:rsidRDefault="00145930" w:rsidP="004B4875">
            <w:pPr>
              <w:pStyle w:val="TableText0"/>
              <w:keepNext/>
              <w:spacing w:before="120"/>
              <w:rPr>
                <w:i/>
                <w:iCs/>
                <w:sz w:val="20"/>
                <w:szCs w:val="20"/>
                <w:u w:val="single"/>
                <w:lang w:val="fr-FR"/>
              </w:rPr>
            </w:pPr>
            <w:r w:rsidRPr="000D5771">
              <w:rPr>
                <w:i/>
                <w:iCs/>
                <w:sz w:val="20"/>
                <w:szCs w:val="20"/>
                <w:u w:val="single"/>
                <w:lang w:val="fr-FR"/>
              </w:rPr>
              <w:lastRenderedPageBreak/>
              <w:t>Partie 1: Position commune</w:t>
            </w:r>
          </w:p>
          <w:p w14:paraId="07F87316" w14:textId="77777777" w:rsidR="00145930" w:rsidRPr="000D5771" w:rsidRDefault="00145930" w:rsidP="00363DBC">
            <w:pPr>
              <w:pStyle w:val="enumlev1"/>
              <w:keepLines/>
              <w:tabs>
                <w:tab w:val="clear" w:pos="1134"/>
                <w:tab w:val="left" w:pos="461"/>
              </w:tabs>
              <w:spacing w:before="120" w:after="40"/>
              <w:ind w:left="461" w:hanging="461"/>
              <w:rPr>
                <w:sz w:val="20"/>
              </w:rPr>
            </w:pPr>
            <w:r w:rsidRPr="000D5771">
              <w:rPr>
                <w:sz w:val="20"/>
              </w:rPr>
              <w:t>1</w:t>
            </w:r>
            <w:r w:rsidRPr="000D5771">
              <w:rPr>
                <w:sz w:val="20"/>
              </w:rPr>
              <w:tab/>
            </w:r>
            <w:r w:rsidRPr="000D5771">
              <w:rPr>
                <w:b/>
                <w:bCs/>
                <w:sz w:val="20"/>
              </w:rPr>
              <w:t>Examiner</w:t>
            </w:r>
            <w:r w:rsidRPr="000D5771">
              <w:rPr>
                <w:sz w:val="20"/>
              </w:rPr>
              <w:t xml:space="preserve"> le point 3 du </w:t>
            </w:r>
            <w:r w:rsidRPr="000D5771">
              <w:rPr>
                <w:i/>
                <w:iCs/>
                <w:sz w:val="20"/>
              </w:rPr>
              <w:t>décide</w:t>
            </w:r>
            <w:r w:rsidRPr="000D5771">
              <w:rPr>
                <w:sz w:val="20"/>
              </w:rPr>
              <w:t xml:space="preserve"> de la Résolution </w:t>
            </w:r>
            <w:r w:rsidRPr="000D5771">
              <w:rPr>
                <w:b/>
                <w:bCs/>
                <w:sz w:val="20"/>
              </w:rPr>
              <w:t>804 (Rév.CMR-19)</w:t>
            </w:r>
            <w:r w:rsidRPr="000D5771">
              <w:rPr>
                <w:sz w:val="20"/>
              </w:rPr>
              <w:t xml:space="preserve">, qui vise à «encourager les administrations et les organisations régionales de télécommunication à soumettre à la seconde session de la RPC, dans la mesure du possible, des </w:t>
            </w:r>
            <w:r w:rsidRPr="000D5771">
              <w:rPr>
                <w:b/>
                <w:bCs/>
                <w:sz w:val="20"/>
              </w:rPr>
              <w:t>informations relatives aux points/questions éventuels à inscrire à l'ordre du jour des CMR futures</w:t>
            </w:r>
            <w:r w:rsidRPr="000D5771">
              <w:rPr>
                <w:sz w:val="20"/>
              </w:rPr>
              <w:t xml:space="preserve"> au titre du point permanent de l'ordre du jour de la CMR visé au point 1 du décide».</w:t>
            </w:r>
          </w:p>
          <w:p w14:paraId="6163D6A7"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lastRenderedPageBreak/>
              <w:t>2</w:t>
            </w:r>
            <w:r w:rsidRPr="000D5771">
              <w:rPr>
                <w:sz w:val="20"/>
              </w:rPr>
              <w:tab/>
            </w:r>
            <w:r w:rsidRPr="000D5771">
              <w:rPr>
                <w:b/>
                <w:bCs/>
                <w:sz w:val="20"/>
              </w:rPr>
              <w:t>Rappeler</w:t>
            </w:r>
            <w:r w:rsidRPr="000D5771">
              <w:rPr>
                <w:sz w:val="20"/>
              </w:rPr>
              <w:t xml:space="preserve"> que, lors de sa troisième réunion préparatoire en vue de la CMR-23 (APM23-3), l'UAT a décidé «que les propositions à l'intention des Groupes de travail de l'UAT ou en vue des réunions APM formulées au titre du point 10 de l'ordre du jour devraient être soumises par les sous-régions ou les États Membres de l'UAT uniquement pour des raisons de propriété et de responsabilité des mesures qu'il sera nécessaire de prendre ultérieurement, par exemple des études, et que, pour éviter toute ambiguïté, les propositions émanant des Membres associés, des partenaires et d'autres entités devraient être communiquées par l'intermédiaire de la ou des sous-régions ou d'un ou plusieurs États Membres de l'UAT».</w:t>
            </w:r>
          </w:p>
          <w:p w14:paraId="4E2E9F55"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3</w:t>
            </w:r>
            <w:r w:rsidRPr="000D5771">
              <w:rPr>
                <w:sz w:val="20"/>
              </w:rPr>
              <w:tab/>
            </w:r>
            <w:r w:rsidRPr="000D5771">
              <w:rPr>
                <w:b/>
                <w:bCs/>
                <w:sz w:val="20"/>
              </w:rPr>
              <w:t>Rappeler</w:t>
            </w:r>
            <w:r w:rsidRPr="000D5771">
              <w:rPr>
                <w:sz w:val="20"/>
              </w:rPr>
              <w:t xml:space="preserve"> qu'une nouvelle question susceptible d'être inscrite à l'ordre du jour de CMR futures, sur la protection des zones de silence radioélectrique vis-à-vis des satellites fonctionnant dans le cadre de grandes constellations, a été soumise à la réunion de l'APM23-3 pour examen et que l'APM23-3 a prié les administrations d'étudier la question «en vue de traiter les questions qui pourraient se révéler délicates à la réunion suivante du GT 5 et de l'APM-23-4».</w:t>
            </w:r>
          </w:p>
          <w:p w14:paraId="6DA35179"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t>4</w:t>
            </w:r>
            <w:r w:rsidRPr="000D5771">
              <w:rPr>
                <w:sz w:val="20"/>
              </w:rPr>
              <w:tab/>
            </w:r>
            <w:r w:rsidRPr="000D5771">
              <w:rPr>
                <w:b/>
                <w:bCs/>
                <w:sz w:val="20"/>
              </w:rPr>
              <w:t>Proposer</w:t>
            </w:r>
            <w:r w:rsidRPr="000D5771">
              <w:rPr>
                <w:sz w:val="20"/>
              </w:rPr>
              <w:t xml:space="preserve"> à la CMR-23 d'inscrire les questions suivantes à l'ordre du jour de CMR futures:</w:t>
            </w:r>
          </w:p>
          <w:p w14:paraId="2D7987BE"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i)</w:t>
            </w:r>
            <w:r w:rsidRPr="000D5771">
              <w:rPr>
                <w:sz w:val="20"/>
              </w:rPr>
              <w:tab/>
            </w:r>
            <w:r w:rsidRPr="000D5771">
              <w:rPr>
                <w:b/>
                <w:bCs/>
                <w:sz w:val="20"/>
              </w:rPr>
              <w:t>Question 1</w:t>
            </w:r>
            <w:r w:rsidRPr="000D5771">
              <w:rPr>
                <w:sz w:val="20"/>
              </w:rPr>
              <w:t>: Études des dispositions techniques et réglementaires relatives aux réseaux/systèmes du service fixe par satellite dans les bandes de fréquences 37,5-42,5 GHz (espace vers Terre), 42,5-43,5 GHz (Terre vers espace), 47,2-50,2 GHz (Terre vers espace) et 50,4-51,4 GHz (Terre vers espace) pour garantir un accès équitable à ces bandes de fréquences.</w:t>
            </w:r>
          </w:p>
          <w:p w14:paraId="2A59565F"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ii)</w:t>
            </w:r>
            <w:r w:rsidRPr="000D5771">
              <w:rPr>
                <w:sz w:val="20"/>
              </w:rPr>
              <w:tab/>
            </w:r>
            <w:r w:rsidRPr="000D5771">
              <w:rPr>
                <w:b/>
                <w:bCs/>
                <w:sz w:val="20"/>
              </w:rPr>
              <w:t>Question 2</w:t>
            </w:r>
            <w:r w:rsidRPr="000D5771">
              <w:rPr>
                <w:sz w:val="20"/>
              </w:rPr>
              <w:t>: Protection des zones de silence radioélectrique vis-à-vis des satellites fonctionnant dans le cadre de grandes constellations, conformément au modèle officiel (c'est-à-dire l'Annexe 2 de la Résolution 804 (Rév.CMR-19)). À toutes fins utiles, voir l'Annexe 1 ci-dessous.</w:t>
            </w:r>
          </w:p>
          <w:p w14:paraId="405345E4"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iii)</w:t>
            </w:r>
            <w:r w:rsidRPr="000D5771">
              <w:rPr>
                <w:sz w:val="20"/>
              </w:rPr>
              <w:tab/>
            </w:r>
            <w:r w:rsidRPr="000D5771">
              <w:rPr>
                <w:b/>
                <w:bCs/>
                <w:sz w:val="20"/>
              </w:rPr>
              <w:t>Question 3</w:t>
            </w:r>
            <w:r w:rsidRPr="000D5771">
              <w:rPr>
                <w:sz w:val="20"/>
              </w:rPr>
              <w:t>: Attribution de bandes de fréquences et dispositions réglementaires associées pour appuyer l'utilisation de la bande de fréquences 51,4-52,4 GHz attribuée au SFS (Terre vers espace) pour les stations terriennes passerelles fonctionnant avec des systèmes du SFS non OSG.</w:t>
            </w:r>
          </w:p>
          <w:p w14:paraId="55AD0B53"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iv)</w:t>
            </w:r>
            <w:r w:rsidRPr="000D5771">
              <w:rPr>
                <w:sz w:val="20"/>
              </w:rPr>
              <w:tab/>
            </w:r>
            <w:r w:rsidRPr="000D5771">
              <w:rPr>
                <w:b/>
                <w:bCs/>
                <w:sz w:val="20"/>
              </w:rPr>
              <w:t>Question 4</w:t>
            </w:r>
            <w:r w:rsidRPr="000D5771">
              <w:rPr>
                <w:sz w:val="20"/>
              </w:rPr>
              <w:t>: Examen de l'utilisation de la bande de fréquences 13,75</w:t>
            </w:r>
            <w:r w:rsidRPr="000D5771">
              <w:rPr>
                <w:sz w:val="20"/>
              </w:rPr>
              <w:noBreakHyphen/>
              <w:t xml:space="preserve">14 GHz et étude des modifications qui pourraient être apportées aux contraintes indiquées dans les numéros </w:t>
            </w:r>
            <w:r w:rsidRPr="000D5771">
              <w:rPr>
                <w:b/>
                <w:bCs/>
                <w:sz w:val="20"/>
              </w:rPr>
              <w:t>5.502</w:t>
            </w:r>
            <w:r w:rsidRPr="000D5771">
              <w:rPr>
                <w:sz w:val="20"/>
              </w:rPr>
              <w:t xml:space="preserve"> et </w:t>
            </w:r>
            <w:r w:rsidRPr="000D5771">
              <w:rPr>
                <w:b/>
                <w:bCs/>
                <w:sz w:val="20"/>
              </w:rPr>
              <w:t>5.503</w:t>
            </w:r>
            <w:r w:rsidRPr="000D5771">
              <w:rPr>
                <w:sz w:val="20"/>
              </w:rPr>
              <w:t xml:space="preserve"> du RR, conformément au projet de nouvelle Résolution [13.75-14 GHz], pour permettre l'utilisation efficace de cette bande de fréquences par les stations terriennes géostationnaires et non géostationnaires en liaison montante du SFS.</w:t>
            </w:r>
          </w:p>
          <w:p w14:paraId="6A9864A3"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v)</w:t>
            </w:r>
            <w:r w:rsidRPr="000D5771">
              <w:rPr>
                <w:sz w:val="20"/>
              </w:rPr>
              <w:tab/>
            </w:r>
            <w:r w:rsidRPr="000D5771">
              <w:rPr>
                <w:b/>
                <w:bCs/>
                <w:sz w:val="20"/>
              </w:rPr>
              <w:t>Question 5</w:t>
            </w:r>
            <w:r w:rsidRPr="000D5771">
              <w:rPr>
                <w:sz w:val="20"/>
              </w:rPr>
              <w:t xml:space="preserve">: Modification de la Résolution </w:t>
            </w:r>
            <w:r w:rsidRPr="000D5771">
              <w:rPr>
                <w:b/>
                <w:bCs/>
                <w:sz w:val="20"/>
              </w:rPr>
              <w:t>176</w:t>
            </w:r>
            <w:r w:rsidRPr="000D5771">
              <w:rPr>
                <w:sz w:val="20"/>
              </w:rPr>
              <w:t>, qui préconise des études sur «l'utilisation des bandes de fréquences 37,5-39,5 GHz (espace vers Terre), 40,5-42,5 GHz (espace vers Terre), 47,2-50,2 GHz (Terre vers espace) et 50,4-51,4 GHz (Terre vers espace) par les stations terriennes aéronautiques et maritimes en mouvement communiquant avec des stations spatiales géostationnaires ou non géostationnaires du service fixe par satellite».</w:t>
            </w:r>
          </w:p>
          <w:p w14:paraId="7359BA39" w14:textId="77777777" w:rsidR="00145930" w:rsidRPr="000D5771" w:rsidRDefault="00145930" w:rsidP="004B4875">
            <w:pPr>
              <w:pStyle w:val="enumlev2"/>
              <w:tabs>
                <w:tab w:val="clear" w:pos="1134"/>
                <w:tab w:val="clear" w:pos="1871"/>
                <w:tab w:val="left" w:pos="886"/>
              </w:tabs>
              <w:spacing w:before="40"/>
              <w:ind w:left="886" w:hanging="425"/>
              <w:rPr>
                <w:sz w:val="20"/>
              </w:rPr>
            </w:pPr>
            <w:r w:rsidRPr="000D5771">
              <w:rPr>
                <w:sz w:val="20"/>
              </w:rPr>
              <w:t>vi)</w:t>
            </w:r>
            <w:r w:rsidRPr="000D5771">
              <w:rPr>
                <w:sz w:val="20"/>
              </w:rPr>
              <w:tab/>
            </w:r>
            <w:r w:rsidRPr="000D5771">
              <w:rPr>
                <w:b/>
                <w:bCs/>
                <w:sz w:val="20"/>
              </w:rPr>
              <w:t>Question 6</w:t>
            </w:r>
            <w:r w:rsidRPr="000D5771">
              <w:rPr>
                <w:sz w:val="20"/>
              </w:rPr>
              <w:t>: Nouvelles attributions éventuelles à titre primaire au service mobile par satellite dans les bandes de fréquences suivantes qui ont été proposées: 2 010-2 025 MHz (Terre vers espace) et 2 200-2 215 MHz (espace vers Terre).</w:t>
            </w:r>
          </w:p>
          <w:p w14:paraId="544A03F5" w14:textId="77777777" w:rsidR="00145930" w:rsidRPr="000D5771" w:rsidRDefault="00145930" w:rsidP="004B4875">
            <w:pPr>
              <w:pStyle w:val="TableText0"/>
              <w:spacing w:before="120"/>
              <w:rPr>
                <w:i/>
                <w:iCs/>
                <w:sz w:val="20"/>
                <w:szCs w:val="20"/>
                <w:u w:val="single"/>
                <w:lang w:val="fr-FR"/>
              </w:rPr>
            </w:pPr>
            <w:r w:rsidRPr="000D5771">
              <w:rPr>
                <w:i/>
                <w:iCs/>
                <w:sz w:val="20"/>
                <w:szCs w:val="20"/>
                <w:u w:val="single"/>
                <w:lang w:val="fr-FR"/>
              </w:rPr>
              <w:t>Partie 2: Marche à suivre</w:t>
            </w:r>
          </w:p>
          <w:p w14:paraId="3686B388" w14:textId="77777777" w:rsidR="00145930" w:rsidRPr="000D5771" w:rsidRDefault="00145930" w:rsidP="004B4875">
            <w:pPr>
              <w:pStyle w:val="TableText0"/>
              <w:spacing w:before="120"/>
              <w:rPr>
                <w:i/>
                <w:iCs/>
                <w:sz w:val="20"/>
                <w:szCs w:val="20"/>
                <w:lang w:val="fr-FR"/>
              </w:rPr>
            </w:pPr>
            <w:r w:rsidRPr="000D5771">
              <w:rPr>
                <w:b/>
                <w:bCs/>
                <w:i/>
                <w:iCs/>
                <w:sz w:val="20"/>
                <w:szCs w:val="20"/>
                <w:lang w:val="fr-FR"/>
              </w:rPr>
              <w:t>Demander aux administrations des pays membres de l'UAT</w:t>
            </w:r>
            <w:r w:rsidRPr="000D5771">
              <w:rPr>
                <w:b/>
                <w:bCs/>
                <w:sz w:val="20"/>
                <w:szCs w:val="20"/>
                <w:lang w:val="fr-FR"/>
              </w:rPr>
              <w:t>:</w:t>
            </w:r>
          </w:p>
          <w:p w14:paraId="68A246F7" w14:textId="77777777" w:rsidR="00145930" w:rsidRPr="000D5771" w:rsidRDefault="00145930" w:rsidP="004B4875">
            <w:pPr>
              <w:pStyle w:val="enumlev1"/>
              <w:keepLines/>
              <w:tabs>
                <w:tab w:val="clear" w:pos="1134"/>
                <w:tab w:val="left" w:pos="461"/>
              </w:tabs>
              <w:spacing w:before="40"/>
              <w:ind w:left="461" w:hanging="461"/>
              <w:rPr>
                <w:sz w:val="20"/>
              </w:rPr>
            </w:pPr>
            <w:r w:rsidRPr="000D5771">
              <w:rPr>
                <w:sz w:val="20"/>
              </w:rPr>
              <w:lastRenderedPageBreak/>
              <w:t>1</w:t>
            </w:r>
            <w:r w:rsidRPr="000D5771">
              <w:rPr>
                <w:sz w:val="20"/>
              </w:rPr>
              <w:tab/>
              <w:t xml:space="preserve">de </w:t>
            </w:r>
            <w:r w:rsidRPr="000D5771">
              <w:rPr>
                <w:b/>
                <w:bCs/>
                <w:sz w:val="20"/>
              </w:rPr>
              <w:t>participer de manière significative</w:t>
            </w:r>
            <w:r w:rsidRPr="000D5771">
              <w:rPr>
                <w:sz w:val="20"/>
              </w:rPr>
              <w:t xml:space="preserve"> à une réunion en ligne qui sera organisée par le secrétariat de l'UAT pour examiner, en vue d'approuver une proposition africaine commune, la nouvelle question qu'il est proposé d'étudier au titre du point 10 de l'ordre du jour de la CMR, intitulée «Examen et mise à jour des dispositions réglementaires relatives au partage entre les systèmes non OSG et les réseaux GSI dans la partie des bandes de fréquences 10,7-14,5 GHz, 17,3</w:t>
            </w:r>
            <w:r w:rsidRPr="000D5771">
              <w:rPr>
                <w:sz w:val="20"/>
              </w:rPr>
              <w:noBreakHyphen/>
              <w:t xml:space="preserve">20,2 GHz et 27,5-30 GHz dans lesquelles les limites d'epfd indiquées dans l'Article </w:t>
            </w:r>
            <w:r w:rsidRPr="000D5771">
              <w:rPr>
                <w:b/>
                <w:bCs/>
                <w:sz w:val="20"/>
              </w:rPr>
              <w:t>22</w:t>
            </w:r>
            <w:r w:rsidRPr="000D5771">
              <w:rPr>
                <w:sz w:val="20"/>
              </w:rPr>
              <w:t xml:space="preserve"> et dans la Résolution </w:t>
            </w:r>
            <w:r w:rsidRPr="000D5771">
              <w:rPr>
                <w:b/>
                <w:bCs/>
                <w:sz w:val="20"/>
              </w:rPr>
              <w:t>76 (Rév.CMR-15)</w:t>
            </w:r>
            <w:r w:rsidRPr="000D5771">
              <w:rPr>
                <w:sz w:val="20"/>
              </w:rPr>
              <w:t>, telles que révisées, s'appliquent»;</w:t>
            </w:r>
          </w:p>
          <w:p w14:paraId="34895469" w14:textId="77777777" w:rsidR="00145930" w:rsidRPr="000D5771" w:rsidRDefault="00145930" w:rsidP="00363DBC">
            <w:pPr>
              <w:pStyle w:val="enumlev1"/>
              <w:keepLines/>
              <w:tabs>
                <w:tab w:val="clear" w:pos="1134"/>
                <w:tab w:val="left" w:pos="461"/>
              </w:tabs>
              <w:spacing w:before="40" w:after="40"/>
              <w:ind w:left="461" w:hanging="461"/>
              <w:rPr>
                <w:sz w:val="20"/>
              </w:rPr>
            </w:pPr>
            <w:r w:rsidRPr="000D5771">
              <w:rPr>
                <w:sz w:val="20"/>
              </w:rPr>
              <w:t>2</w:t>
            </w:r>
            <w:r w:rsidRPr="000D5771">
              <w:rPr>
                <w:sz w:val="20"/>
              </w:rPr>
              <w:tab/>
              <w:t>d'</w:t>
            </w:r>
            <w:r w:rsidRPr="000D5771">
              <w:rPr>
                <w:b/>
                <w:bCs/>
                <w:sz w:val="20"/>
              </w:rPr>
              <w:t>appuyer</w:t>
            </w:r>
            <w:r w:rsidRPr="000D5771">
              <w:rPr>
                <w:sz w:val="20"/>
              </w:rPr>
              <w:t xml:space="preserve"> la proposition africaine commune au titre de ce point de l'ordre du jour.</w:t>
            </w:r>
          </w:p>
        </w:tc>
      </w:tr>
    </w:tbl>
    <w:p w14:paraId="02CE7B9C" w14:textId="77777777" w:rsidR="00145930" w:rsidRPr="000D5771" w:rsidRDefault="00145930" w:rsidP="00145930">
      <w:pPr>
        <w:pStyle w:val="Tabletext"/>
      </w:pPr>
      <w:r w:rsidRPr="000D5771">
        <w:lastRenderedPageBreak/>
        <w:br w:type="page"/>
      </w:r>
    </w:p>
    <w:p w14:paraId="4668BD61" w14:textId="77777777" w:rsidR="00145930" w:rsidRPr="000D5771" w:rsidRDefault="00145930" w:rsidP="00145930">
      <w:pPr>
        <w:pStyle w:val="AnnexNo"/>
      </w:pPr>
      <w:r w:rsidRPr="000D5771">
        <w:lastRenderedPageBreak/>
        <w:t>Annexe 2</w:t>
      </w:r>
    </w:p>
    <w:p w14:paraId="3B360470" w14:textId="77777777" w:rsidR="00145930" w:rsidRPr="000D5771" w:rsidRDefault="00145930" w:rsidP="00145930">
      <w:pPr>
        <w:pStyle w:val="Annextitle"/>
      </w:pPr>
      <w:r w:rsidRPr="000D5771">
        <w:t xml:space="preserve">Liste des références aux documents contenant les propositions soumises </w:t>
      </w:r>
      <w:r w:rsidRPr="000D5771">
        <w:br/>
        <w:t>en tant qu'Addenda au présent document de référence</w:t>
      </w:r>
    </w:p>
    <w:tbl>
      <w:tblPr>
        <w:tblStyle w:val="TableGrid"/>
        <w:tblW w:w="0" w:type="auto"/>
        <w:tblLook w:val="04A0" w:firstRow="1" w:lastRow="0" w:firstColumn="1" w:lastColumn="0" w:noHBand="0" w:noVBand="1"/>
      </w:tblPr>
      <w:tblGrid>
        <w:gridCol w:w="3681"/>
        <w:gridCol w:w="5948"/>
      </w:tblGrid>
      <w:tr w:rsidR="00145930" w:rsidRPr="000D5771" w14:paraId="0A301FBF" w14:textId="77777777" w:rsidTr="004B4875">
        <w:trPr>
          <w:tblHeader/>
        </w:trPr>
        <w:tc>
          <w:tcPr>
            <w:tcW w:w="3681" w:type="dxa"/>
            <w:shd w:val="clear" w:color="auto" w:fill="D9D9D9" w:themeFill="background1" w:themeFillShade="D9"/>
          </w:tcPr>
          <w:p w14:paraId="22551122" w14:textId="77777777" w:rsidR="00145930" w:rsidRPr="000D5771" w:rsidRDefault="00145930" w:rsidP="004B4875">
            <w:pPr>
              <w:pStyle w:val="TableHead0"/>
              <w:rPr>
                <w:lang w:val="fr-FR"/>
              </w:rPr>
            </w:pPr>
            <w:r w:rsidRPr="000D5771">
              <w:rPr>
                <w:lang w:val="fr-FR"/>
              </w:rPr>
              <w:t>Proposition(s) concernant le point/</w:t>
            </w:r>
            <w:r w:rsidRPr="000D5771">
              <w:rPr>
                <w:lang w:val="fr-FR"/>
              </w:rPr>
              <w:br/>
              <w:t>la question de l'ordre du jour ci</w:t>
            </w:r>
            <w:r w:rsidRPr="000D5771">
              <w:rPr>
                <w:lang w:val="fr-FR"/>
              </w:rPr>
              <w:noBreakHyphen/>
              <w:t>après de la CMR-23</w:t>
            </w:r>
          </w:p>
        </w:tc>
        <w:tc>
          <w:tcPr>
            <w:tcW w:w="5948" w:type="dxa"/>
            <w:shd w:val="clear" w:color="auto" w:fill="D9D9D9" w:themeFill="background1" w:themeFillShade="D9"/>
          </w:tcPr>
          <w:p w14:paraId="347F1407" w14:textId="77777777" w:rsidR="00145930" w:rsidRPr="000D5771" w:rsidRDefault="00145930" w:rsidP="004B4875">
            <w:pPr>
              <w:pStyle w:val="TableHead0"/>
              <w:rPr>
                <w:lang w:val="fr-FR"/>
              </w:rPr>
            </w:pPr>
            <w:r w:rsidRPr="000D5771">
              <w:rPr>
                <w:lang w:val="fr-FR"/>
              </w:rPr>
              <w:t xml:space="preserve">Proposition figurant dans l'Addendum ci-après au présent document de référence (Document </w:t>
            </w:r>
            <w:r w:rsidRPr="000D5771">
              <w:rPr>
                <w:bCs/>
                <w:lang w:val="fr-FR"/>
              </w:rPr>
              <w:t>87</w:t>
            </w:r>
            <w:r w:rsidRPr="000D5771">
              <w:rPr>
                <w:lang w:val="fr-FR"/>
              </w:rPr>
              <w:t xml:space="preserve"> de la CMR-23)</w:t>
            </w:r>
          </w:p>
        </w:tc>
      </w:tr>
      <w:tr w:rsidR="00145930" w:rsidRPr="000D5771" w14:paraId="5CAC22CB" w14:textId="77777777" w:rsidTr="004B4875">
        <w:tc>
          <w:tcPr>
            <w:tcW w:w="3681" w:type="dxa"/>
          </w:tcPr>
          <w:p w14:paraId="733E95A3" w14:textId="77777777" w:rsidR="00145930" w:rsidRPr="000D5771" w:rsidRDefault="00145930" w:rsidP="004B4875">
            <w:pPr>
              <w:pStyle w:val="TableText0"/>
              <w:jc w:val="center"/>
              <w:rPr>
                <w:sz w:val="20"/>
                <w:lang w:val="fr-FR"/>
              </w:rPr>
            </w:pPr>
            <w:r w:rsidRPr="000D5771">
              <w:rPr>
                <w:sz w:val="20"/>
                <w:lang w:val="fr-FR"/>
              </w:rPr>
              <w:t>1.1</w:t>
            </w:r>
          </w:p>
        </w:tc>
        <w:tc>
          <w:tcPr>
            <w:tcW w:w="5948" w:type="dxa"/>
          </w:tcPr>
          <w:p w14:paraId="42FF7158" w14:textId="77777777" w:rsidR="00145930" w:rsidRPr="000D5771" w:rsidRDefault="00145930" w:rsidP="004B4875">
            <w:pPr>
              <w:pStyle w:val="TableText0"/>
              <w:jc w:val="center"/>
              <w:rPr>
                <w:sz w:val="20"/>
                <w:lang w:val="fr-FR"/>
              </w:rPr>
            </w:pPr>
            <w:bookmarkStart w:id="27" w:name="lt_pId699"/>
            <w:r w:rsidRPr="000D5771">
              <w:rPr>
                <w:sz w:val="20"/>
                <w:lang w:val="fr-FR"/>
              </w:rPr>
              <w:t>Addendum 1</w:t>
            </w:r>
            <w:bookmarkEnd w:id="27"/>
          </w:p>
        </w:tc>
      </w:tr>
      <w:tr w:rsidR="00145930" w:rsidRPr="000D5771" w14:paraId="27AA8616" w14:textId="77777777" w:rsidTr="004B4875">
        <w:tc>
          <w:tcPr>
            <w:tcW w:w="3681" w:type="dxa"/>
          </w:tcPr>
          <w:p w14:paraId="52BFC02E" w14:textId="77777777" w:rsidR="00145930" w:rsidRPr="000D5771" w:rsidRDefault="00145930" w:rsidP="004B4875">
            <w:pPr>
              <w:pStyle w:val="TableText0"/>
              <w:jc w:val="center"/>
              <w:rPr>
                <w:sz w:val="20"/>
                <w:lang w:val="fr-FR"/>
              </w:rPr>
            </w:pPr>
            <w:r w:rsidRPr="000D5771">
              <w:rPr>
                <w:sz w:val="20"/>
                <w:lang w:val="fr-FR"/>
              </w:rPr>
              <w:t>1.2</w:t>
            </w:r>
          </w:p>
        </w:tc>
        <w:tc>
          <w:tcPr>
            <w:tcW w:w="5948" w:type="dxa"/>
          </w:tcPr>
          <w:p w14:paraId="213C76E9" w14:textId="77777777" w:rsidR="00145930" w:rsidRPr="000D5771" w:rsidRDefault="00145930" w:rsidP="004B4875">
            <w:pPr>
              <w:pStyle w:val="TableText0"/>
              <w:jc w:val="center"/>
              <w:rPr>
                <w:sz w:val="20"/>
                <w:lang w:val="fr-FR"/>
              </w:rPr>
            </w:pPr>
            <w:bookmarkStart w:id="28" w:name="lt_pId701"/>
            <w:r w:rsidRPr="000D5771">
              <w:rPr>
                <w:sz w:val="20"/>
                <w:lang w:val="fr-FR"/>
              </w:rPr>
              <w:t>Addendum 2</w:t>
            </w:r>
            <w:bookmarkEnd w:id="28"/>
          </w:p>
        </w:tc>
      </w:tr>
      <w:tr w:rsidR="00145930" w:rsidRPr="000D5771" w14:paraId="45AC8B2C" w14:textId="77777777" w:rsidTr="004B4875">
        <w:tc>
          <w:tcPr>
            <w:tcW w:w="3681" w:type="dxa"/>
          </w:tcPr>
          <w:p w14:paraId="53E6D1BB" w14:textId="77777777" w:rsidR="00145930" w:rsidRPr="000D5771" w:rsidRDefault="00145930" w:rsidP="004B4875">
            <w:pPr>
              <w:pStyle w:val="TableText0"/>
              <w:jc w:val="center"/>
              <w:rPr>
                <w:sz w:val="20"/>
                <w:lang w:val="fr-FR"/>
              </w:rPr>
            </w:pPr>
            <w:r w:rsidRPr="000D5771">
              <w:rPr>
                <w:sz w:val="20"/>
                <w:lang w:val="fr-FR"/>
              </w:rPr>
              <w:t>1.3</w:t>
            </w:r>
          </w:p>
        </w:tc>
        <w:tc>
          <w:tcPr>
            <w:tcW w:w="5948" w:type="dxa"/>
          </w:tcPr>
          <w:p w14:paraId="5908E7AC" w14:textId="77777777" w:rsidR="00145930" w:rsidRPr="000D5771" w:rsidRDefault="00145930" w:rsidP="004B4875">
            <w:pPr>
              <w:pStyle w:val="TableText0"/>
              <w:jc w:val="center"/>
              <w:rPr>
                <w:sz w:val="20"/>
                <w:lang w:val="fr-FR"/>
              </w:rPr>
            </w:pPr>
            <w:bookmarkStart w:id="29" w:name="lt_pId703"/>
            <w:r w:rsidRPr="000D5771">
              <w:rPr>
                <w:sz w:val="20"/>
                <w:lang w:val="fr-FR"/>
              </w:rPr>
              <w:t>Addendum 3</w:t>
            </w:r>
            <w:bookmarkEnd w:id="29"/>
          </w:p>
        </w:tc>
      </w:tr>
      <w:tr w:rsidR="00145930" w:rsidRPr="000D5771" w14:paraId="32352BD1" w14:textId="77777777" w:rsidTr="004B4875">
        <w:tc>
          <w:tcPr>
            <w:tcW w:w="3681" w:type="dxa"/>
          </w:tcPr>
          <w:p w14:paraId="07640116" w14:textId="77777777" w:rsidR="00145930" w:rsidRPr="000D5771" w:rsidRDefault="00145930" w:rsidP="004B4875">
            <w:pPr>
              <w:pStyle w:val="TableText0"/>
              <w:jc w:val="center"/>
              <w:rPr>
                <w:sz w:val="20"/>
                <w:lang w:val="fr-FR"/>
              </w:rPr>
            </w:pPr>
            <w:r w:rsidRPr="000D5771">
              <w:rPr>
                <w:sz w:val="20"/>
                <w:lang w:val="fr-FR"/>
              </w:rPr>
              <w:t>1.4</w:t>
            </w:r>
          </w:p>
        </w:tc>
        <w:tc>
          <w:tcPr>
            <w:tcW w:w="5948" w:type="dxa"/>
          </w:tcPr>
          <w:p w14:paraId="228A6443" w14:textId="77777777" w:rsidR="00145930" w:rsidRPr="000D5771" w:rsidRDefault="00145930" w:rsidP="004B4875">
            <w:pPr>
              <w:pStyle w:val="TableText0"/>
              <w:jc w:val="center"/>
              <w:rPr>
                <w:sz w:val="20"/>
                <w:lang w:val="fr-FR"/>
              </w:rPr>
            </w:pPr>
            <w:bookmarkStart w:id="30" w:name="lt_pId705"/>
            <w:r w:rsidRPr="000D5771">
              <w:rPr>
                <w:sz w:val="20"/>
                <w:lang w:val="fr-FR"/>
              </w:rPr>
              <w:t>Addendum 4</w:t>
            </w:r>
            <w:bookmarkEnd w:id="30"/>
          </w:p>
        </w:tc>
      </w:tr>
      <w:tr w:rsidR="00145930" w:rsidRPr="000D5771" w14:paraId="3AD5930B" w14:textId="77777777" w:rsidTr="004B4875">
        <w:tc>
          <w:tcPr>
            <w:tcW w:w="3681" w:type="dxa"/>
          </w:tcPr>
          <w:p w14:paraId="3CDEC3B9" w14:textId="77777777" w:rsidR="00145930" w:rsidRPr="000D5771" w:rsidRDefault="00145930" w:rsidP="004B4875">
            <w:pPr>
              <w:pStyle w:val="TableText0"/>
              <w:jc w:val="center"/>
              <w:rPr>
                <w:sz w:val="20"/>
                <w:lang w:val="fr-FR"/>
              </w:rPr>
            </w:pPr>
            <w:r w:rsidRPr="000D5771">
              <w:rPr>
                <w:sz w:val="20"/>
                <w:lang w:val="fr-FR"/>
              </w:rPr>
              <w:t>1.5</w:t>
            </w:r>
          </w:p>
        </w:tc>
        <w:tc>
          <w:tcPr>
            <w:tcW w:w="5948" w:type="dxa"/>
          </w:tcPr>
          <w:p w14:paraId="49075F08" w14:textId="77777777" w:rsidR="00145930" w:rsidRPr="000D5771" w:rsidRDefault="00145930" w:rsidP="004B4875">
            <w:pPr>
              <w:pStyle w:val="TableText0"/>
              <w:jc w:val="center"/>
              <w:rPr>
                <w:sz w:val="20"/>
                <w:lang w:val="fr-FR"/>
              </w:rPr>
            </w:pPr>
            <w:bookmarkStart w:id="31" w:name="lt_pId707"/>
            <w:r w:rsidRPr="000D5771">
              <w:rPr>
                <w:sz w:val="20"/>
                <w:lang w:val="fr-FR"/>
              </w:rPr>
              <w:t>Addendum 5</w:t>
            </w:r>
            <w:bookmarkEnd w:id="31"/>
          </w:p>
        </w:tc>
      </w:tr>
      <w:tr w:rsidR="00145930" w:rsidRPr="000D5771" w14:paraId="54310B40" w14:textId="77777777" w:rsidTr="004B4875">
        <w:tc>
          <w:tcPr>
            <w:tcW w:w="3681" w:type="dxa"/>
          </w:tcPr>
          <w:p w14:paraId="2E76DE5F" w14:textId="77777777" w:rsidR="00145930" w:rsidRPr="000D5771" w:rsidRDefault="00145930" w:rsidP="004B4875">
            <w:pPr>
              <w:pStyle w:val="TableText0"/>
              <w:jc w:val="center"/>
              <w:rPr>
                <w:sz w:val="20"/>
                <w:lang w:val="fr-FR"/>
              </w:rPr>
            </w:pPr>
            <w:r w:rsidRPr="000D5771">
              <w:rPr>
                <w:sz w:val="20"/>
                <w:lang w:val="fr-FR"/>
              </w:rPr>
              <w:t>1.6</w:t>
            </w:r>
          </w:p>
        </w:tc>
        <w:tc>
          <w:tcPr>
            <w:tcW w:w="5948" w:type="dxa"/>
          </w:tcPr>
          <w:p w14:paraId="213DA008" w14:textId="77777777" w:rsidR="00145930" w:rsidRPr="000D5771" w:rsidRDefault="00145930" w:rsidP="004B4875">
            <w:pPr>
              <w:pStyle w:val="TableText0"/>
              <w:jc w:val="center"/>
              <w:rPr>
                <w:sz w:val="20"/>
                <w:lang w:val="fr-FR"/>
              </w:rPr>
            </w:pPr>
            <w:bookmarkStart w:id="32" w:name="lt_pId709"/>
            <w:r w:rsidRPr="000D5771">
              <w:rPr>
                <w:sz w:val="20"/>
                <w:lang w:val="fr-FR"/>
              </w:rPr>
              <w:t>Addendum 6</w:t>
            </w:r>
            <w:bookmarkEnd w:id="32"/>
          </w:p>
        </w:tc>
      </w:tr>
      <w:tr w:rsidR="00145930" w:rsidRPr="000D5771" w14:paraId="794548D7" w14:textId="77777777" w:rsidTr="004B4875">
        <w:tc>
          <w:tcPr>
            <w:tcW w:w="3681" w:type="dxa"/>
          </w:tcPr>
          <w:p w14:paraId="788986DD" w14:textId="77777777" w:rsidR="00145930" w:rsidRPr="000D5771" w:rsidRDefault="00145930" w:rsidP="004B4875">
            <w:pPr>
              <w:pStyle w:val="TableText0"/>
              <w:jc w:val="center"/>
              <w:rPr>
                <w:sz w:val="20"/>
                <w:lang w:val="fr-FR"/>
              </w:rPr>
            </w:pPr>
            <w:r w:rsidRPr="000D5771">
              <w:rPr>
                <w:sz w:val="20"/>
                <w:lang w:val="fr-FR"/>
              </w:rPr>
              <w:t>1.7</w:t>
            </w:r>
          </w:p>
        </w:tc>
        <w:tc>
          <w:tcPr>
            <w:tcW w:w="5948" w:type="dxa"/>
          </w:tcPr>
          <w:p w14:paraId="4F07CCB6" w14:textId="77777777" w:rsidR="00145930" w:rsidRPr="000D5771" w:rsidRDefault="00145930" w:rsidP="004B4875">
            <w:pPr>
              <w:pStyle w:val="TableText0"/>
              <w:jc w:val="center"/>
              <w:rPr>
                <w:sz w:val="20"/>
                <w:lang w:val="fr-FR"/>
              </w:rPr>
            </w:pPr>
            <w:bookmarkStart w:id="33" w:name="lt_pId711"/>
            <w:r w:rsidRPr="000D5771">
              <w:rPr>
                <w:sz w:val="20"/>
                <w:lang w:val="fr-FR"/>
              </w:rPr>
              <w:t>Addendum 7</w:t>
            </w:r>
            <w:bookmarkEnd w:id="33"/>
          </w:p>
        </w:tc>
      </w:tr>
      <w:tr w:rsidR="00145930" w:rsidRPr="000D5771" w14:paraId="69997213" w14:textId="77777777" w:rsidTr="004B4875">
        <w:tc>
          <w:tcPr>
            <w:tcW w:w="3681" w:type="dxa"/>
          </w:tcPr>
          <w:p w14:paraId="7208616E" w14:textId="77777777" w:rsidR="00145930" w:rsidRPr="000D5771" w:rsidRDefault="00145930" w:rsidP="004B4875">
            <w:pPr>
              <w:pStyle w:val="TableText0"/>
              <w:jc w:val="center"/>
              <w:rPr>
                <w:sz w:val="20"/>
                <w:lang w:val="fr-FR"/>
              </w:rPr>
            </w:pPr>
            <w:r w:rsidRPr="000D5771">
              <w:rPr>
                <w:sz w:val="20"/>
                <w:lang w:val="fr-FR"/>
              </w:rPr>
              <w:t>1.8</w:t>
            </w:r>
          </w:p>
        </w:tc>
        <w:tc>
          <w:tcPr>
            <w:tcW w:w="5948" w:type="dxa"/>
          </w:tcPr>
          <w:p w14:paraId="468EA695" w14:textId="77777777" w:rsidR="00145930" w:rsidRPr="000D5771" w:rsidRDefault="00145930" w:rsidP="004B4875">
            <w:pPr>
              <w:pStyle w:val="TableText0"/>
              <w:jc w:val="center"/>
              <w:rPr>
                <w:sz w:val="20"/>
                <w:lang w:val="fr-FR"/>
              </w:rPr>
            </w:pPr>
            <w:bookmarkStart w:id="34" w:name="lt_pId713"/>
            <w:r w:rsidRPr="000D5771">
              <w:rPr>
                <w:sz w:val="20"/>
                <w:lang w:val="fr-FR"/>
              </w:rPr>
              <w:t>Addendum 8</w:t>
            </w:r>
            <w:bookmarkEnd w:id="34"/>
          </w:p>
        </w:tc>
      </w:tr>
      <w:tr w:rsidR="00145930" w:rsidRPr="000D5771" w14:paraId="69150CAD" w14:textId="77777777" w:rsidTr="004B4875">
        <w:tc>
          <w:tcPr>
            <w:tcW w:w="3681" w:type="dxa"/>
          </w:tcPr>
          <w:p w14:paraId="3EBA3BD6" w14:textId="77777777" w:rsidR="00145930" w:rsidRPr="000D5771" w:rsidRDefault="00145930" w:rsidP="004B4875">
            <w:pPr>
              <w:pStyle w:val="TableText0"/>
              <w:jc w:val="center"/>
              <w:rPr>
                <w:sz w:val="20"/>
                <w:lang w:val="fr-FR"/>
              </w:rPr>
            </w:pPr>
            <w:r w:rsidRPr="000D5771">
              <w:rPr>
                <w:sz w:val="20"/>
                <w:lang w:val="fr-FR"/>
              </w:rPr>
              <w:t>1.9</w:t>
            </w:r>
          </w:p>
        </w:tc>
        <w:tc>
          <w:tcPr>
            <w:tcW w:w="5948" w:type="dxa"/>
          </w:tcPr>
          <w:p w14:paraId="09966107" w14:textId="77777777" w:rsidR="00145930" w:rsidRPr="000D5771" w:rsidRDefault="00145930" w:rsidP="004B4875">
            <w:pPr>
              <w:pStyle w:val="TableText0"/>
              <w:jc w:val="center"/>
              <w:rPr>
                <w:sz w:val="20"/>
                <w:lang w:val="fr-FR"/>
              </w:rPr>
            </w:pPr>
            <w:bookmarkStart w:id="35" w:name="lt_pId715"/>
            <w:r w:rsidRPr="000D5771">
              <w:rPr>
                <w:sz w:val="20"/>
                <w:lang w:val="fr-FR"/>
              </w:rPr>
              <w:t>Addendum 9</w:t>
            </w:r>
            <w:bookmarkEnd w:id="35"/>
          </w:p>
        </w:tc>
      </w:tr>
      <w:tr w:rsidR="00145930" w:rsidRPr="000D5771" w14:paraId="41AE8F14" w14:textId="77777777" w:rsidTr="004B4875">
        <w:tc>
          <w:tcPr>
            <w:tcW w:w="3681" w:type="dxa"/>
          </w:tcPr>
          <w:p w14:paraId="67943F75" w14:textId="77777777" w:rsidR="00145930" w:rsidRPr="000D5771" w:rsidRDefault="00145930" w:rsidP="004B4875">
            <w:pPr>
              <w:pStyle w:val="TableText0"/>
              <w:jc w:val="center"/>
              <w:rPr>
                <w:sz w:val="20"/>
                <w:lang w:val="fr-FR"/>
              </w:rPr>
            </w:pPr>
            <w:r w:rsidRPr="000D5771">
              <w:rPr>
                <w:sz w:val="20"/>
                <w:lang w:val="fr-FR"/>
              </w:rPr>
              <w:t>1.10</w:t>
            </w:r>
          </w:p>
        </w:tc>
        <w:tc>
          <w:tcPr>
            <w:tcW w:w="5948" w:type="dxa"/>
          </w:tcPr>
          <w:p w14:paraId="3D5359F3" w14:textId="77777777" w:rsidR="00145930" w:rsidRPr="000D5771" w:rsidRDefault="00145930" w:rsidP="004B4875">
            <w:pPr>
              <w:pStyle w:val="TableText0"/>
              <w:jc w:val="center"/>
              <w:rPr>
                <w:sz w:val="20"/>
                <w:lang w:val="fr-FR"/>
              </w:rPr>
            </w:pPr>
            <w:bookmarkStart w:id="36" w:name="lt_pId717"/>
            <w:r w:rsidRPr="000D5771">
              <w:rPr>
                <w:sz w:val="20"/>
                <w:lang w:val="fr-FR"/>
              </w:rPr>
              <w:t>Addendum 10</w:t>
            </w:r>
            <w:bookmarkEnd w:id="36"/>
          </w:p>
        </w:tc>
      </w:tr>
      <w:tr w:rsidR="00145930" w:rsidRPr="000D5771" w14:paraId="67FDAE03" w14:textId="77777777" w:rsidTr="004B4875">
        <w:tc>
          <w:tcPr>
            <w:tcW w:w="3681" w:type="dxa"/>
          </w:tcPr>
          <w:p w14:paraId="60B3B6E6" w14:textId="77777777" w:rsidR="00145930" w:rsidRPr="000D5771" w:rsidRDefault="00145930" w:rsidP="004B4875">
            <w:pPr>
              <w:pStyle w:val="TableText0"/>
              <w:jc w:val="center"/>
              <w:rPr>
                <w:sz w:val="20"/>
                <w:lang w:val="fr-FR"/>
              </w:rPr>
            </w:pPr>
            <w:r w:rsidRPr="000D5771">
              <w:rPr>
                <w:sz w:val="20"/>
                <w:lang w:val="fr-FR"/>
              </w:rPr>
              <w:t>1.11</w:t>
            </w:r>
          </w:p>
        </w:tc>
        <w:tc>
          <w:tcPr>
            <w:tcW w:w="5948" w:type="dxa"/>
          </w:tcPr>
          <w:p w14:paraId="697C7E14" w14:textId="77777777" w:rsidR="00145930" w:rsidRPr="000D5771" w:rsidRDefault="00145930" w:rsidP="004B4875">
            <w:pPr>
              <w:pStyle w:val="TableText0"/>
              <w:jc w:val="center"/>
              <w:rPr>
                <w:sz w:val="20"/>
                <w:lang w:val="fr-FR"/>
              </w:rPr>
            </w:pPr>
            <w:bookmarkStart w:id="37" w:name="lt_pId719"/>
            <w:r w:rsidRPr="000D5771">
              <w:rPr>
                <w:sz w:val="20"/>
                <w:lang w:val="fr-FR"/>
              </w:rPr>
              <w:t>Addendum 11</w:t>
            </w:r>
            <w:bookmarkEnd w:id="37"/>
          </w:p>
        </w:tc>
      </w:tr>
      <w:tr w:rsidR="00145930" w:rsidRPr="000D5771" w14:paraId="7A01C77A" w14:textId="77777777" w:rsidTr="004B4875">
        <w:tc>
          <w:tcPr>
            <w:tcW w:w="3681" w:type="dxa"/>
          </w:tcPr>
          <w:p w14:paraId="0A09A6C0" w14:textId="77777777" w:rsidR="00145930" w:rsidRPr="000D5771" w:rsidRDefault="00145930" w:rsidP="004B4875">
            <w:pPr>
              <w:pStyle w:val="TableText0"/>
              <w:jc w:val="center"/>
              <w:rPr>
                <w:sz w:val="20"/>
                <w:lang w:val="fr-FR"/>
              </w:rPr>
            </w:pPr>
            <w:r w:rsidRPr="000D5771">
              <w:rPr>
                <w:sz w:val="20"/>
                <w:lang w:val="fr-FR"/>
              </w:rPr>
              <w:t>1.12</w:t>
            </w:r>
          </w:p>
        </w:tc>
        <w:tc>
          <w:tcPr>
            <w:tcW w:w="5948" w:type="dxa"/>
          </w:tcPr>
          <w:p w14:paraId="2F4EB851" w14:textId="77777777" w:rsidR="00145930" w:rsidRPr="000D5771" w:rsidRDefault="00145930" w:rsidP="004B4875">
            <w:pPr>
              <w:pStyle w:val="TableText0"/>
              <w:jc w:val="center"/>
              <w:rPr>
                <w:sz w:val="20"/>
                <w:lang w:val="fr-FR"/>
              </w:rPr>
            </w:pPr>
            <w:bookmarkStart w:id="38" w:name="lt_pId721"/>
            <w:r w:rsidRPr="000D5771">
              <w:rPr>
                <w:sz w:val="20"/>
                <w:lang w:val="fr-FR"/>
              </w:rPr>
              <w:t>Addendum 12</w:t>
            </w:r>
            <w:bookmarkEnd w:id="38"/>
          </w:p>
        </w:tc>
      </w:tr>
      <w:tr w:rsidR="00145930" w:rsidRPr="000D5771" w14:paraId="3F0BA05C" w14:textId="77777777" w:rsidTr="004B4875">
        <w:tc>
          <w:tcPr>
            <w:tcW w:w="3681" w:type="dxa"/>
          </w:tcPr>
          <w:p w14:paraId="314E7B2C" w14:textId="77777777" w:rsidR="00145930" w:rsidRPr="000D5771" w:rsidRDefault="00145930" w:rsidP="004B4875">
            <w:pPr>
              <w:pStyle w:val="TableText0"/>
              <w:jc w:val="center"/>
              <w:rPr>
                <w:sz w:val="20"/>
                <w:lang w:val="fr-FR"/>
              </w:rPr>
            </w:pPr>
            <w:r w:rsidRPr="000D5771">
              <w:rPr>
                <w:sz w:val="20"/>
                <w:lang w:val="fr-FR"/>
              </w:rPr>
              <w:t>1.13</w:t>
            </w:r>
          </w:p>
        </w:tc>
        <w:tc>
          <w:tcPr>
            <w:tcW w:w="5948" w:type="dxa"/>
          </w:tcPr>
          <w:p w14:paraId="2AD81789" w14:textId="77777777" w:rsidR="00145930" w:rsidRPr="000D5771" w:rsidRDefault="00145930" w:rsidP="004B4875">
            <w:pPr>
              <w:pStyle w:val="TableText0"/>
              <w:jc w:val="center"/>
              <w:rPr>
                <w:sz w:val="20"/>
                <w:lang w:val="fr-FR"/>
              </w:rPr>
            </w:pPr>
            <w:bookmarkStart w:id="39" w:name="lt_pId723"/>
            <w:r w:rsidRPr="000D5771">
              <w:rPr>
                <w:sz w:val="20"/>
                <w:lang w:val="fr-FR"/>
              </w:rPr>
              <w:t>Addendum 13</w:t>
            </w:r>
            <w:bookmarkEnd w:id="39"/>
          </w:p>
        </w:tc>
      </w:tr>
      <w:tr w:rsidR="00145930" w:rsidRPr="000D5771" w14:paraId="25F3AE35" w14:textId="77777777" w:rsidTr="004B4875">
        <w:tc>
          <w:tcPr>
            <w:tcW w:w="3681" w:type="dxa"/>
          </w:tcPr>
          <w:p w14:paraId="3C13CF1A" w14:textId="77777777" w:rsidR="00145930" w:rsidRPr="000D5771" w:rsidRDefault="00145930" w:rsidP="004B4875">
            <w:pPr>
              <w:pStyle w:val="TableText0"/>
              <w:jc w:val="center"/>
              <w:rPr>
                <w:sz w:val="20"/>
                <w:lang w:val="fr-FR"/>
              </w:rPr>
            </w:pPr>
            <w:r w:rsidRPr="000D5771">
              <w:rPr>
                <w:sz w:val="20"/>
                <w:lang w:val="fr-FR"/>
              </w:rPr>
              <w:t>1.14</w:t>
            </w:r>
          </w:p>
        </w:tc>
        <w:tc>
          <w:tcPr>
            <w:tcW w:w="5948" w:type="dxa"/>
          </w:tcPr>
          <w:p w14:paraId="5EFCDE94" w14:textId="77777777" w:rsidR="00145930" w:rsidRPr="000D5771" w:rsidRDefault="00145930" w:rsidP="004B4875">
            <w:pPr>
              <w:pStyle w:val="TableText0"/>
              <w:jc w:val="center"/>
              <w:rPr>
                <w:sz w:val="20"/>
                <w:lang w:val="fr-FR"/>
              </w:rPr>
            </w:pPr>
            <w:bookmarkStart w:id="40" w:name="lt_pId725"/>
            <w:r w:rsidRPr="000D5771">
              <w:rPr>
                <w:sz w:val="20"/>
                <w:lang w:val="fr-FR"/>
              </w:rPr>
              <w:t>Addendum 14</w:t>
            </w:r>
            <w:bookmarkEnd w:id="40"/>
          </w:p>
        </w:tc>
      </w:tr>
      <w:tr w:rsidR="00145930" w:rsidRPr="000D5771" w14:paraId="68B4393F" w14:textId="77777777" w:rsidTr="004B4875">
        <w:tc>
          <w:tcPr>
            <w:tcW w:w="3681" w:type="dxa"/>
          </w:tcPr>
          <w:p w14:paraId="106EE3F3" w14:textId="77777777" w:rsidR="00145930" w:rsidRPr="000D5771" w:rsidRDefault="00145930" w:rsidP="004B4875">
            <w:pPr>
              <w:pStyle w:val="TableText0"/>
              <w:jc w:val="center"/>
              <w:rPr>
                <w:sz w:val="20"/>
                <w:lang w:val="fr-FR"/>
              </w:rPr>
            </w:pPr>
            <w:r w:rsidRPr="000D5771">
              <w:rPr>
                <w:sz w:val="20"/>
                <w:lang w:val="fr-FR"/>
              </w:rPr>
              <w:t>1.15</w:t>
            </w:r>
          </w:p>
        </w:tc>
        <w:tc>
          <w:tcPr>
            <w:tcW w:w="5948" w:type="dxa"/>
          </w:tcPr>
          <w:p w14:paraId="092B99B4" w14:textId="77777777" w:rsidR="00145930" w:rsidRPr="000D5771" w:rsidRDefault="00145930" w:rsidP="004B4875">
            <w:pPr>
              <w:pStyle w:val="TableText0"/>
              <w:jc w:val="center"/>
              <w:rPr>
                <w:sz w:val="20"/>
                <w:lang w:val="fr-FR"/>
              </w:rPr>
            </w:pPr>
            <w:bookmarkStart w:id="41" w:name="lt_pId727"/>
            <w:r w:rsidRPr="000D5771">
              <w:rPr>
                <w:sz w:val="20"/>
                <w:lang w:val="fr-FR"/>
              </w:rPr>
              <w:t>Addendum 15</w:t>
            </w:r>
            <w:bookmarkEnd w:id="41"/>
          </w:p>
        </w:tc>
      </w:tr>
      <w:tr w:rsidR="00145930" w:rsidRPr="000D5771" w14:paraId="6BD9ED9E" w14:textId="77777777" w:rsidTr="004B4875">
        <w:tc>
          <w:tcPr>
            <w:tcW w:w="3681" w:type="dxa"/>
          </w:tcPr>
          <w:p w14:paraId="65052231" w14:textId="77777777" w:rsidR="00145930" w:rsidRPr="000D5771" w:rsidRDefault="00145930" w:rsidP="004B4875">
            <w:pPr>
              <w:pStyle w:val="TableText0"/>
              <w:jc w:val="center"/>
              <w:rPr>
                <w:sz w:val="20"/>
                <w:lang w:val="fr-FR"/>
              </w:rPr>
            </w:pPr>
            <w:r w:rsidRPr="000D5771">
              <w:rPr>
                <w:sz w:val="20"/>
                <w:lang w:val="fr-FR"/>
              </w:rPr>
              <w:t>1.16</w:t>
            </w:r>
          </w:p>
        </w:tc>
        <w:tc>
          <w:tcPr>
            <w:tcW w:w="5948" w:type="dxa"/>
          </w:tcPr>
          <w:p w14:paraId="10FD98C1" w14:textId="77777777" w:rsidR="00145930" w:rsidRPr="000D5771" w:rsidRDefault="00145930" w:rsidP="004B4875">
            <w:pPr>
              <w:pStyle w:val="TableText0"/>
              <w:jc w:val="center"/>
              <w:rPr>
                <w:sz w:val="20"/>
                <w:lang w:val="fr-FR"/>
              </w:rPr>
            </w:pPr>
            <w:bookmarkStart w:id="42" w:name="lt_pId729"/>
            <w:r w:rsidRPr="000D5771">
              <w:rPr>
                <w:sz w:val="20"/>
                <w:lang w:val="fr-FR"/>
              </w:rPr>
              <w:t>Addendum 16</w:t>
            </w:r>
            <w:bookmarkEnd w:id="42"/>
          </w:p>
        </w:tc>
      </w:tr>
      <w:tr w:rsidR="00145930" w:rsidRPr="000D5771" w14:paraId="30F5852A" w14:textId="77777777" w:rsidTr="004B4875">
        <w:tc>
          <w:tcPr>
            <w:tcW w:w="3681" w:type="dxa"/>
          </w:tcPr>
          <w:p w14:paraId="227DA782" w14:textId="77777777" w:rsidR="00145930" w:rsidRPr="000D5771" w:rsidRDefault="00145930" w:rsidP="004B4875">
            <w:pPr>
              <w:pStyle w:val="TableText0"/>
              <w:jc w:val="center"/>
              <w:rPr>
                <w:sz w:val="20"/>
                <w:lang w:val="fr-FR"/>
              </w:rPr>
            </w:pPr>
            <w:r w:rsidRPr="000D5771">
              <w:rPr>
                <w:sz w:val="20"/>
                <w:lang w:val="fr-FR"/>
              </w:rPr>
              <w:t>1.17</w:t>
            </w:r>
          </w:p>
        </w:tc>
        <w:tc>
          <w:tcPr>
            <w:tcW w:w="5948" w:type="dxa"/>
          </w:tcPr>
          <w:p w14:paraId="498FE94A" w14:textId="77777777" w:rsidR="00145930" w:rsidRPr="000D5771" w:rsidRDefault="00145930" w:rsidP="004B4875">
            <w:pPr>
              <w:pStyle w:val="TableText0"/>
              <w:jc w:val="center"/>
              <w:rPr>
                <w:sz w:val="20"/>
                <w:lang w:val="fr-FR"/>
              </w:rPr>
            </w:pPr>
            <w:bookmarkStart w:id="43" w:name="lt_pId731"/>
            <w:r w:rsidRPr="000D5771">
              <w:rPr>
                <w:sz w:val="20"/>
                <w:lang w:val="fr-FR"/>
              </w:rPr>
              <w:t>Addendum 17</w:t>
            </w:r>
            <w:bookmarkEnd w:id="43"/>
          </w:p>
        </w:tc>
      </w:tr>
      <w:tr w:rsidR="00145930" w:rsidRPr="000D5771" w14:paraId="628B7366" w14:textId="77777777" w:rsidTr="004B4875">
        <w:tc>
          <w:tcPr>
            <w:tcW w:w="3681" w:type="dxa"/>
          </w:tcPr>
          <w:p w14:paraId="56026875" w14:textId="77777777" w:rsidR="00145930" w:rsidRPr="000D5771" w:rsidRDefault="00145930" w:rsidP="004B4875">
            <w:pPr>
              <w:pStyle w:val="TableText0"/>
              <w:jc w:val="center"/>
              <w:rPr>
                <w:sz w:val="20"/>
                <w:lang w:val="fr-FR"/>
              </w:rPr>
            </w:pPr>
            <w:r w:rsidRPr="000D5771">
              <w:rPr>
                <w:sz w:val="20"/>
                <w:lang w:val="fr-FR"/>
              </w:rPr>
              <w:t>1.18</w:t>
            </w:r>
          </w:p>
        </w:tc>
        <w:tc>
          <w:tcPr>
            <w:tcW w:w="5948" w:type="dxa"/>
          </w:tcPr>
          <w:p w14:paraId="356E464B" w14:textId="77777777" w:rsidR="00145930" w:rsidRPr="000D5771" w:rsidRDefault="00145930" w:rsidP="004B4875">
            <w:pPr>
              <w:pStyle w:val="TableText0"/>
              <w:jc w:val="center"/>
              <w:rPr>
                <w:sz w:val="20"/>
                <w:lang w:val="fr-FR"/>
              </w:rPr>
            </w:pPr>
            <w:bookmarkStart w:id="44" w:name="lt_pId733"/>
            <w:r w:rsidRPr="000D5771">
              <w:rPr>
                <w:sz w:val="20"/>
                <w:lang w:val="fr-FR"/>
              </w:rPr>
              <w:t>Addendum 18</w:t>
            </w:r>
            <w:bookmarkEnd w:id="44"/>
          </w:p>
        </w:tc>
      </w:tr>
      <w:tr w:rsidR="00145930" w:rsidRPr="000D5771" w14:paraId="71A8152D" w14:textId="77777777" w:rsidTr="004B4875">
        <w:tc>
          <w:tcPr>
            <w:tcW w:w="3681" w:type="dxa"/>
          </w:tcPr>
          <w:p w14:paraId="1AD70D30" w14:textId="77777777" w:rsidR="00145930" w:rsidRPr="000D5771" w:rsidRDefault="00145930" w:rsidP="004B4875">
            <w:pPr>
              <w:pStyle w:val="TableText0"/>
              <w:jc w:val="center"/>
              <w:rPr>
                <w:sz w:val="20"/>
                <w:lang w:val="fr-FR"/>
              </w:rPr>
            </w:pPr>
            <w:r w:rsidRPr="000D5771">
              <w:rPr>
                <w:sz w:val="20"/>
                <w:lang w:val="fr-FR"/>
              </w:rPr>
              <w:t>1.19</w:t>
            </w:r>
          </w:p>
        </w:tc>
        <w:tc>
          <w:tcPr>
            <w:tcW w:w="5948" w:type="dxa"/>
          </w:tcPr>
          <w:p w14:paraId="4721AAF3" w14:textId="77777777" w:rsidR="00145930" w:rsidRPr="000D5771" w:rsidRDefault="00145930" w:rsidP="004B4875">
            <w:pPr>
              <w:pStyle w:val="TableText0"/>
              <w:jc w:val="center"/>
              <w:rPr>
                <w:sz w:val="20"/>
                <w:lang w:val="fr-FR"/>
              </w:rPr>
            </w:pPr>
            <w:bookmarkStart w:id="45" w:name="lt_pId735"/>
            <w:r w:rsidRPr="000D5771">
              <w:rPr>
                <w:sz w:val="20"/>
                <w:lang w:val="fr-FR"/>
              </w:rPr>
              <w:t>Addendum 19</w:t>
            </w:r>
            <w:bookmarkEnd w:id="45"/>
          </w:p>
        </w:tc>
      </w:tr>
      <w:tr w:rsidR="00145930" w:rsidRPr="000D5771" w14:paraId="5CE4A2D0" w14:textId="77777777" w:rsidTr="004B4875">
        <w:tc>
          <w:tcPr>
            <w:tcW w:w="3681" w:type="dxa"/>
          </w:tcPr>
          <w:p w14:paraId="58414493" w14:textId="77777777" w:rsidR="00145930" w:rsidRPr="000D5771" w:rsidRDefault="00145930" w:rsidP="004B4875">
            <w:pPr>
              <w:pStyle w:val="TableText0"/>
              <w:jc w:val="center"/>
              <w:rPr>
                <w:sz w:val="20"/>
                <w:lang w:val="fr-FR"/>
              </w:rPr>
            </w:pPr>
            <w:bookmarkStart w:id="46" w:name="lt_pId736"/>
            <w:r w:rsidRPr="000D5771">
              <w:rPr>
                <w:sz w:val="20"/>
                <w:lang w:val="fr-FR"/>
              </w:rPr>
              <w:t>2 (pas de proposition)</w:t>
            </w:r>
            <w:bookmarkEnd w:id="46"/>
          </w:p>
        </w:tc>
        <w:tc>
          <w:tcPr>
            <w:tcW w:w="5948" w:type="dxa"/>
          </w:tcPr>
          <w:p w14:paraId="5AF0A487" w14:textId="77777777" w:rsidR="00145930" w:rsidRPr="000D5771" w:rsidRDefault="00145930" w:rsidP="004B4875">
            <w:pPr>
              <w:pStyle w:val="TableText0"/>
              <w:jc w:val="center"/>
              <w:rPr>
                <w:sz w:val="20"/>
                <w:lang w:val="fr-FR"/>
              </w:rPr>
            </w:pPr>
            <w:bookmarkStart w:id="47" w:name="lt_pId737"/>
            <w:r w:rsidRPr="000D5771">
              <w:rPr>
                <w:sz w:val="20"/>
                <w:lang w:val="fr-FR"/>
              </w:rPr>
              <w:t>(L'Addendum 20 n'a pas été fourni, aucune proposition africaine commune n'ayant été élaborée étant donné que ce point de l'ordre du jour n'appelle pas de proposition commune)</w:t>
            </w:r>
            <w:bookmarkEnd w:id="47"/>
          </w:p>
        </w:tc>
      </w:tr>
      <w:tr w:rsidR="00145930" w:rsidRPr="000D5771" w14:paraId="09B5B798" w14:textId="77777777" w:rsidTr="004B4875">
        <w:tc>
          <w:tcPr>
            <w:tcW w:w="3681" w:type="dxa"/>
          </w:tcPr>
          <w:p w14:paraId="4A46E240" w14:textId="77777777" w:rsidR="00145930" w:rsidRPr="000D5771" w:rsidRDefault="00145930" w:rsidP="004B4875">
            <w:pPr>
              <w:pStyle w:val="TableText0"/>
              <w:jc w:val="center"/>
              <w:rPr>
                <w:sz w:val="20"/>
                <w:lang w:val="fr-FR"/>
              </w:rPr>
            </w:pPr>
            <w:bookmarkStart w:id="48" w:name="lt_pId738"/>
            <w:r w:rsidRPr="000D5771">
              <w:rPr>
                <w:sz w:val="20"/>
                <w:lang w:val="fr-FR"/>
              </w:rPr>
              <w:t>4 (pas de proposition)</w:t>
            </w:r>
            <w:bookmarkEnd w:id="48"/>
          </w:p>
        </w:tc>
        <w:tc>
          <w:tcPr>
            <w:tcW w:w="5948" w:type="dxa"/>
          </w:tcPr>
          <w:p w14:paraId="1C627F2E" w14:textId="77777777" w:rsidR="00145930" w:rsidRPr="000D5771" w:rsidRDefault="00145930" w:rsidP="004B4875">
            <w:pPr>
              <w:pStyle w:val="TableText0"/>
              <w:jc w:val="center"/>
              <w:rPr>
                <w:sz w:val="20"/>
                <w:lang w:val="fr-FR"/>
              </w:rPr>
            </w:pPr>
            <w:bookmarkStart w:id="49" w:name="lt_pId739"/>
            <w:r w:rsidRPr="000D5771">
              <w:rPr>
                <w:sz w:val="20"/>
                <w:lang w:val="fr-FR"/>
              </w:rPr>
              <w:t>(L'Addendum 21 n'a pas été fourni)</w:t>
            </w:r>
            <w:bookmarkEnd w:id="49"/>
          </w:p>
        </w:tc>
      </w:tr>
      <w:tr w:rsidR="00145930" w:rsidRPr="000D5771" w14:paraId="6B3859CD" w14:textId="77777777" w:rsidTr="004B4875">
        <w:tc>
          <w:tcPr>
            <w:tcW w:w="3681" w:type="dxa"/>
          </w:tcPr>
          <w:p w14:paraId="1B50F852" w14:textId="77777777" w:rsidR="00145930" w:rsidRPr="000D5771" w:rsidRDefault="00145930" w:rsidP="004B4875">
            <w:pPr>
              <w:pStyle w:val="TableText0"/>
              <w:jc w:val="center"/>
              <w:rPr>
                <w:sz w:val="20"/>
                <w:lang w:val="fr-FR"/>
              </w:rPr>
            </w:pPr>
            <w:r w:rsidRPr="000D5771">
              <w:rPr>
                <w:sz w:val="20"/>
                <w:lang w:val="fr-FR"/>
              </w:rPr>
              <w:t xml:space="preserve">7, </w:t>
            </w:r>
            <w:bookmarkStart w:id="50" w:name="lt_pId741"/>
            <w:r w:rsidRPr="000D5771">
              <w:rPr>
                <w:sz w:val="20"/>
                <w:lang w:val="fr-FR"/>
              </w:rPr>
              <w:t>Question A</w:t>
            </w:r>
            <w:bookmarkEnd w:id="50"/>
          </w:p>
        </w:tc>
        <w:tc>
          <w:tcPr>
            <w:tcW w:w="5948" w:type="dxa"/>
          </w:tcPr>
          <w:p w14:paraId="0C531AD0" w14:textId="77777777" w:rsidR="00145930" w:rsidRPr="000D5771" w:rsidRDefault="00145930" w:rsidP="004B4875">
            <w:pPr>
              <w:pStyle w:val="TableText0"/>
              <w:jc w:val="center"/>
              <w:rPr>
                <w:sz w:val="20"/>
                <w:lang w:val="fr-FR"/>
              </w:rPr>
            </w:pPr>
            <w:bookmarkStart w:id="51" w:name="lt_pId742"/>
            <w:r w:rsidRPr="000D5771">
              <w:rPr>
                <w:sz w:val="20"/>
                <w:lang w:val="fr-FR"/>
              </w:rPr>
              <w:t>Addendum 1 à l'Addendum 22</w:t>
            </w:r>
            <w:bookmarkEnd w:id="51"/>
          </w:p>
        </w:tc>
      </w:tr>
      <w:tr w:rsidR="00145930" w:rsidRPr="000D5771" w14:paraId="32B82877" w14:textId="77777777" w:rsidTr="004B4875">
        <w:tc>
          <w:tcPr>
            <w:tcW w:w="3681" w:type="dxa"/>
          </w:tcPr>
          <w:p w14:paraId="6BDA0F2C" w14:textId="77777777" w:rsidR="00145930" w:rsidRPr="000D5771" w:rsidRDefault="00145930" w:rsidP="004B4875">
            <w:pPr>
              <w:pStyle w:val="TableText0"/>
              <w:jc w:val="center"/>
              <w:rPr>
                <w:sz w:val="20"/>
                <w:lang w:val="fr-FR"/>
              </w:rPr>
            </w:pPr>
            <w:r w:rsidRPr="000D5771">
              <w:rPr>
                <w:sz w:val="20"/>
                <w:lang w:val="fr-FR"/>
              </w:rPr>
              <w:t xml:space="preserve">7 </w:t>
            </w:r>
            <w:bookmarkStart w:id="52" w:name="lt_pId744"/>
            <w:r w:rsidRPr="000D5771">
              <w:rPr>
                <w:sz w:val="20"/>
                <w:lang w:val="fr-FR"/>
              </w:rPr>
              <w:t>Question B (pas de proposition)</w:t>
            </w:r>
            <w:bookmarkEnd w:id="52"/>
          </w:p>
        </w:tc>
        <w:tc>
          <w:tcPr>
            <w:tcW w:w="5948" w:type="dxa"/>
          </w:tcPr>
          <w:p w14:paraId="2784F502" w14:textId="77777777" w:rsidR="00145930" w:rsidRPr="000D5771" w:rsidRDefault="00145930" w:rsidP="004B4875">
            <w:pPr>
              <w:pStyle w:val="TableText0"/>
              <w:jc w:val="center"/>
              <w:rPr>
                <w:sz w:val="20"/>
                <w:lang w:val="fr-FR"/>
              </w:rPr>
            </w:pPr>
            <w:bookmarkStart w:id="53" w:name="lt_pId745"/>
            <w:r w:rsidRPr="000D5771">
              <w:rPr>
                <w:sz w:val="20"/>
                <w:lang w:val="fr-FR"/>
              </w:rPr>
              <w:t>(L'Addendum 2 à l'Addendum 22 n'a pas été fourni, aucune proposition africaine commune n'ayant été élaborée étant donné que ce point de l'ordre du jour n'appelle pas de proposition commune)</w:t>
            </w:r>
            <w:bookmarkEnd w:id="53"/>
          </w:p>
        </w:tc>
      </w:tr>
      <w:tr w:rsidR="00145930" w:rsidRPr="000D5771" w14:paraId="42C60BDE" w14:textId="77777777" w:rsidTr="004B4875">
        <w:tc>
          <w:tcPr>
            <w:tcW w:w="3681" w:type="dxa"/>
          </w:tcPr>
          <w:p w14:paraId="5DF535CB" w14:textId="77777777" w:rsidR="00145930" w:rsidRPr="000D5771" w:rsidRDefault="00145930" w:rsidP="004B4875">
            <w:pPr>
              <w:pStyle w:val="TableText0"/>
              <w:jc w:val="center"/>
              <w:rPr>
                <w:sz w:val="20"/>
                <w:lang w:val="fr-FR"/>
              </w:rPr>
            </w:pPr>
            <w:r w:rsidRPr="000D5771">
              <w:rPr>
                <w:sz w:val="20"/>
                <w:lang w:val="fr-FR"/>
              </w:rPr>
              <w:t xml:space="preserve">7, </w:t>
            </w:r>
            <w:bookmarkStart w:id="54" w:name="lt_pId747"/>
            <w:r w:rsidRPr="000D5771">
              <w:rPr>
                <w:sz w:val="20"/>
                <w:lang w:val="fr-FR"/>
              </w:rPr>
              <w:t>Question C</w:t>
            </w:r>
            <w:bookmarkEnd w:id="54"/>
          </w:p>
        </w:tc>
        <w:tc>
          <w:tcPr>
            <w:tcW w:w="5948" w:type="dxa"/>
          </w:tcPr>
          <w:p w14:paraId="231DA169" w14:textId="77777777" w:rsidR="00145930" w:rsidRPr="000D5771" w:rsidRDefault="00145930" w:rsidP="004B4875">
            <w:pPr>
              <w:pStyle w:val="TableText0"/>
              <w:jc w:val="center"/>
              <w:rPr>
                <w:sz w:val="20"/>
                <w:lang w:val="fr-FR"/>
              </w:rPr>
            </w:pPr>
            <w:bookmarkStart w:id="55" w:name="lt_pId748"/>
            <w:r w:rsidRPr="000D5771">
              <w:rPr>
                <w:sz w:val="20"/>
                <w:lang w:val="fr-FR"/>
              </w:rPr>
              <w:t>Addendum 3 à l'Addendum 22</w:t>
            </w:r>
            <w:bookmarkEnd w:id="55"/>
          </w:p>
        </w:tc>
      </w:tr>
      <w:tr w:rsidR="00145930" w:rsidRPr="000D5771" w14:paraId="1F42B743" w14:textId="77777777" w:rsidTr="004B4875">
        <w:tc>
          <w:tcPr>
            <w:tcW w:w="3681" w:type="dxa"/>
          </w:tcPr>
          <w:p w14:paraId="42C20B81" w14:textId="77777777" w:rsidR="00145930" w:rsidRPr="000D5771" w:rsidRDefault="00145930" w:rsidP="004B4875">
            <w:pPr>
              <w:pStyle w:val="TableText0"/>
              <w:jc w:val="center"/>
              <w:rPr>
                <w:sz w:val="20"/>
                <w:lang w:val="fr-FR"/>
              </w:rPr>
            </w:pPr>
            <w:r w:rsidRPr="000D5771">
              <w:rPr>
                <w:sz w:val="20"/>
                <w:lang w:val="fr-FR"/>
              </w:rPr>
              <w:t xml:space="preserve">7, </w:t>
            </w:r>
            <w:bookmarkStart w:id="56" w:name="lt_pId750"/>
            <w:r w:rsidRPr="000D5771">
              <w:rPr>
                <w:sz w:val="20"/>
                <w:lang w:val="fr-FR"/>
              </w:rPr>
              <w:t>Question D1</w:t>
            </w:r>
            <w:bookmarkEnd w:id="56"/>
          </w:p>
        </w:tc>
        <w:tc>
          <w:tcPr>
            <w:tcW w:w="5948" w:type="dxa"/>
          </w:tcPr>
          <w:p w14:paraId="2940351F" w14:textId="77777777" w:rsidR="00145930" w:rsidRPr="000D5771" w:rsidRDefault="00145930" w:rsidP="004B4875">
            <w:pPr>
              <w:pStyle w:val="TableText0"/>
              <w:jc w:val="center"/>
              <w:rPr>
                <w:sz w:val="20"/>
                <w:lang w:val="fr-FR"/>
              </w:rPr>
            </w:pPr>
            <w:bookmarkStart w:id="57" w:name="lt_pId751"/>
            <w:r w:rsidRPr="000D5771">
              <w:rPr>
                <w:sz w:val="20"/>
                <w:lang w:val="fr-FR"/>
              </w:rPr>
              <w:t>Addendum 4 à l'Addendum 22</w:t>
            </w:r>
            <w:bookmarkEnd w:id="57"/>
          </w:p>
        </w:tc>
      </w:tr>
      <w:tr w:rsidR="00145930" w:rsidRPr="000D5771" w14:paraId="20D0542F" w14:textId="77777777" w:rsidTr="004B4875">
        <w:tc>
          <w:tcPr>
            <w:tcW w:w="3681" w:type="dxa"/>
          </w:tcPr>
          <w:p w14:paraId="5D7D4660" w14:textId="77777777" w:rsidR="00145930" w:rsidRPr="000D5771" w:rsidRDefault="00145930" w:rsidP="004B4875">
            <w:pPr>
              <w:pStyle w:val="TableText0"/>
              <w:jc w:val="center"/>
              <w:rPr>
                <w:sz w:val="20"/>
                <w:lang w:val="fr-FR"/>
              </w:rPr>
            </w:pPr>
            <w:r w:rsidRPr="000D5771">
              <w:rPr>
                <w:sz w:val="20"/>
                <w:lang w:val="fr-FR"/>
              </w:rPr>
              <w:t xml:space="preserve">7, </w:t>
            </w:r>
            <w:bookmarkStart w:id="58" w:name="lt_pId753"/>
            <w:r w:rsidRPr="000D5771">
              <w:rPr>
                <w:sz w:val="20"/>
                <w:lang w:val="fr-FR"/>
              </w:rPr>
              <w:t>Question D2</w:t>
            </w:r>
            <w:bookmarkEnd w:id="58"/>
          </w:p>
        </w:tc>
        <w:tc>
          <w:tcPr>
            <w:tcW w:w="5948" w:type="dxa"/>
          </w:tcPr>
          <w:p w14:paraId="2A01C431" w14:textId="77777777" w:rsidR="00145930" w:rsidRPr="000D5771" w:rsidRDefault="00145930" w:rsidP="004B4875">
            <w:pPr>
              <w:pStyle w:val="TableText0"/>
              <w:jc w:val="center"/>
              <w:rPr>
                <w:sz w:val="20"/>
                <w:lang w:val="fr-FR"/>
              </w:rPr>
            </w:pPr>
            <w:bookmarkStart w:id="59" w:name="lt_pId754"/>
            <w:r w:rsidRPr="000D5771">
              <w:rPr>
                <w:sz w:val="20"/>
                <w:lang w:val="fr-FR"/>
              </w:rPr>
              <w:t>Addendum 5 à l'Addendum 22</w:t>
            </w:r>
            <w:bookmarkEnd w:id="59"/>
          </w:p>
        </w:tc>
      </w:tr>
      <w:tr w:rsidR="00145930" w:rsidRPr="000D5771" w14:paraId="3F5E588F" w14:textId="77777777" w:rsidTr="004B4875">
        <w:tc>
          <w:tcPr>
            <w:tcW w:w="3681" w:type="dxa"/>
          </w:tcPr>
          <w:p w14:paraId="733A5461" w14:textId="77777777" w:rsidR="00145930" w:rsidRPr="000D5771" w:rsidRDefault="00145930" w:rsidP="004B4875">
            <w:pPr>
              <w:pStyle w:val="TableText0"/>
              <w:jc w:val="center"/>
              <w:rPr>
                <w:sz w:val="20"/>
                <w:lang w:val="fr-FR"/>
              </w:rPr>
            </w:pPr>
            <w:r w:rsidRPr="000D5771">
              <w:rPr>
                <w:sz w:val="20"/>
                <w:lang w:val="fr-FR"/>
              </w:rPr>
              <w:t xml:space="preserve">7, </w:t>
            </w:r>
            <w:bookmarkStart w:id="60" w:name="lt_pId756"/>
            <w:r w:rsidRPr="000D5771">
              <w:rPr>
                <w:sz w:val="20"/>
                <w:lang w:val="fr-FR"/>
              </w:rPr>
              <w:t>Question D3</w:t>
            </w:r>
            <w:bookmarkEnd w:id="60"/>
          </w:p>
        </w:tc>
        <w:tc>
          <w:tcPr>
            <w:tcW w:w="5948" w:type="dxa"/>
          </w:tcPr>
          <w:p w14:paraId="1FC40E1E" w14:textId="77777777" w:rsidR="00145930" w:rsidRPr="000D5771" w:rsidRDefault="00145930" w:rsidP="004B4875">
            <w:pPr>
              <w:pStyle w:val="TableText0"/>
              <w:jc w:val="center"/>
              <w:rPr>
                <w:sz w:val="20"/>
                <w:lang w:val="fr-FR"/>
              </w:rPr>
            </w:pPr>
            <w:bookmarkStart w:id="61" w:name="lt_pId757"/>
            <w:r w:rsidRPr="000D5771">
              <w:rPr>
                <w:sz w:val="20"/>
                <w:lang w:val="fr-FR"/>
              </w:rPr>
              <w:t>Addendum 6 à l'Addendum 22</w:t>
            </w:r>
            <w:bookmarkEnd w:id="61"/>
          </w:p>
        </w:tc>
      </w:tr>
      <w:tr w:rsidR="00145930" w:rsidRPr="000D5771" w14:paraId="2B135146" w14:textId="77777777" w:rsidTr="004B4875">
        <w:tc>
          <w:tcPr>
            <w:tcW w:w="3681" w:type="dxa"/>
          </w:tcPr>
          <w:p w14:paraId="2178409D" w14:textId="77777777" w:rsidR="00145930" w:rsidRPr="000D5771" w:rsidRDefault="00145930" w:rsidP="004B4875">
            <w:pPr>
              <w:pStyle w:val="TableText0"/>
              <w:jc w:val="center"/>
              <w:rPr>
                <w:sz w:val="20"/>
                <w:lang w:val="fr-FR"/>
              </w:rPr>
            </w:pPr>
            <w:r w:rsidRPr="000D5771">
              <w:rPr>
                <w:sz w:val="20"/>
                <w:lang w:val="fr-FR"/>
              </w:rPr>
              <w:t xml:space="preserve">7, </w:t>
            </w:r>
            <w:bookmarkStart w:id="62" w:name="lt_pId759"/>
            <w:r w:rsidRPr="000D5771">
              <w:rPr>
                <w:sz w:val="20"/>
                <w:lang w:val="fr-FR"/>
              </w:rPr>
              <w:t>Question E</w:t>
            </w:r>
            <w:bookmarkEnd w:id="62"/>
          </w:p>
        </w:tc>
        <w:tc>
          <w:tcPr>
            <w:tcW w:w="5948" w:type="dxa"/>
          </w:tcPr>
          <w:p w14:paraId="1D5398A2" w14:textId="77777777" w:rsidR="00145930" w:rsidRPr="000D5771" w:rsidRDefault="00145930" w:rsidP="004B4875">
            <w:pPr>
              <w:pStyle w:val="TableText0"/>
              <w:jc w:val="center"/>
              <w:rPr>
                <w:sz w:val="20"/>
                <w:lang w:val="fr-FR"/>
              </w:rPr>
            </w:pPr>
            <w:bookmarkStart w:id="63" w:name="lt_pId760"/>
            <w:r w:rsidRPr="000D5771">
              <w:rPr>
                <w:sz w:val="20"/>
                <w:lang w:val="fr-FR"/>
              </w:rPr>
              <w:t>Addendum 7 à l'Addendum 22</w:t>
            </w:r>
            <w:bookmarkEnd w:id="63"/>
          </w:p>
        </w:tc>
      </w:tr>
      <w:tr w:rsidR="00145930" w:rsidRPr="000D5771" w14:paraId="6A383AFB" w14:textId="77777777" w:rsidTr="004B4875">
        <w:tc>
          <w:tcPr>
            <w:tcW w:w="3681" w:type="dxa"/>
          </w:tcPr>
          <w:p w14:paraId="1F21BCC7" w14:textId="77777777" w:rsidR="00145930" w:rsidRPr="000D5771" w:rsidRDefault="00145930" w:rsidP="004B4875">
            <w:pPr>
              <w:pStyle w:val="TableText0"/>
              <w:jc w:val="center"/>
              <w:rPr>
                <w:sz w:val="20"/>
                <w:lang w:val="fr-FR"/>
              </w:rPr>
            </w:pPr>
            <w:r w:rsidRPr="000D5771">
              <w:rPr>
                <w:sz w:val="20"/>
                <w:lang w:val="fr-FR"/>
              </w:rPr>
              <w:t xml:space="preserve">7, </w:t>
            </w:r>
            <w:bookmarkStart w:id="64" w:name="lt_pId762"/>
            <w:r w:rsidRPr="000D5771">
              <w:rPr>
                <w:sz w:val="20"/>
                <w:lang w:val="fr-FR"/>
              </w:rPr>
              <w:t>Question F</w:t>
            </w:r>
            <w:bookmarkEnd w:id="64"/>
          </w:p>
        </w:tc>
        <w:tc>
          <w:tcPr>
            <w:tcW w:w="5948" w:type="dxa"/>
          </w:tcPr>
          <w:p w14:paraId="6C53E9AB" w14:textId="77777777" w:rsidR="00145930" w:rsidRPr="000D5771" w:rsidRDefault="00145930" w:rsidP="004B4875">
            <w:pPr>
              <w:pStyle w:val="TableText0"/>
              <w:jc w:val="center"/>
              <w:rPr>
                <w:sz w:val="20"/>
                <w:lang w:val="fr-FR"/>
              </w:rPr>
            </w:pPr>
            <w:bookmarkStart w:id="65" w:name="lt_pId763"/>
            <w:r w:rsidRPr="000D5771">
              <w:rPr>
                <w:sz w:val="20"/>
                <w:lang w:val="fr-FR"/>
              </w:rPr>
              <w:t>Addendum 8 à l'Addendum 22</w:t>
            </w:r>
            <w:bookmarkEnd w:id="65"/>
          </w:p>
        </w:tc>
      </w:tr>
      <w:tr w:rsidR="00145930" w:rsidRPr="000D5771" w14:paraId="0DFB9C22" w14:textId="77777777" w:rsidTr="004B4875">
        <w:tc>
          <w:tcPr>
            <w:tcW w:w="3681" w:type="dxa"/>
          </w:tcPr>
          <w:p w14:paraId="0A3BA4C0" w14:textId="77777777" w:rsidR="00145930" w:rsidRPr="000D5771" w:rsidRDefault="00145930" w:rsidP="004B4875">
            <w:pPr>
              <w:pStyle w:val="TableText0"/>
              <w:jc w:val="center"/>
              <w:rPr>
                <w:sz w:val="20"/>
                <w:lang w:val="fr-FR"/>
              </w:rPr>
            </w:pPr>
            <w:r w:rsidRPr="000D5771">
              <w:rPr>
                <w:sz w:val="20"/>
                <w:lang w:val="fr-FR"/>
              </w:rPr>
              <w:t xml:space="preserve">7, </w:t>
            </w:r>
            <w:bookmarkStart w:id="66" w:name="lt_pId765"/>
            <w:r w:rsidRPr="000D5771">
              <w:rPr>
                <w:sz w:val="20"/>
                <w:lang w:val="fr-FR"/>
              </w:rPr>
              <w:t>Question G</w:t>
            </w:r>
            <w:bookmarkEnd w:id="66"/>
          </w:p>
        </w:tc>
        <w:tc>
          <w:tcPr>
            <w:tcW w:w="5948" w:type="dxa"/>
          </w:tcPr>
          <w:p w14:paraId="2D2C0D01" w14:textId="77777777" w:rsidR="00145930" w:rsidRPr="000D5771" w:rsidRDefault="00145930" w:rsidP="004B4875">
            <w:pPr>
              <w:pStyle w:val="TableText0"/>
              <w:jc w:val="center"/>
              <w:rPr>
                <w:sz w:val="20"/>
                <w:lang w:val="fr-FR"/>
              </w:rPr>
            </w:pPr>
            <w:bookmarkStart w:id="67" w:name="lt_pId766"/>
            <w:r w:rsidRPr="000D5771">
              <w:rPr>
                <w:sz w:val="20"/>
                <w:lang w:val="fr-FR"/>
              </w:rPr>
              <w:t>Addendum 9 à l'Addendum 22</w:t>
            </w:r>
            <w:bookmarkEnd w:id="67"/>
          </w:p>
        </w:tc>
      </w:tr>
      <w:tr w:rsidR="00145930" w:rsidRPr="000D5771" w14:paraId="5AFAEAF1" w14:textId="77777777" w:rsidTr="004B4875">
        <w:tc>
          <w:tcPr>
            <w:tcW w:w="3681" w:type="dxa"/>
          </w:tcPr>
          <w:p w14:paraId="08A183BF" w14:textId="77777777" w:rsidR="00145930" w:rsidRPr="000D5771" w:rsidRDefault="00145930" w:rsidP="004B4875">
            <w:pPr>
              <w:pStyle w:val="TableText0"/>
              <w:jc w:val="center"/>
              <w:rPr>
                <w:sz w:val="20"/>
                <w:lang w:val="fr-FR"/>
              </w:rPr>
            </w:pPr>
            <w:r w:rsidRPr="000D5771">
              <w:rPr>
                <w:sz w:val="20"/>
                <w:lang w:val="fr-FR"/>
              </w:rPr>
              <w:t xml:space="preserve">7, </w:t>
            </w:r>
            <w:bookmarkStart w:id="68" w:name="lt_pId768"/>
            <w:r w:rsidRPr="000D5771">
              <w:rPr>
                <w:sz w:val="20"/>
                <w:lang w:val="fr-FR"/>
              </w:rPr>
              <w:t>Question H</w:t>
            </w:r>
            <w:bookmarkEnd w:id="68"/>
          </w:p>
        </w:tc>
        <w:tc>
          <w:tcPr>
            <w:tcW w:w="5948" w:type="dxa"/>
          </w:tcPr>
          <w:p w14:paraId="3747DD20" w14:textId="77777777" w:rsidR="00145930" w:rsidRPr="000D5771" w:rsidRDefault="00145930" w:rsidP="004B4875">
            <w:pPr>
              <w:pStyle w:val="TableText0"/>
              <w:jc w:val="center"/>
              <w:rPr>
                <w:sz w:val="20"/>
                <w:lang w:val="fr-FR"/>
              </w:rPr>
            </w:pPr>
            <w:bookmarkStart w:id="69" w:name="lt_pId769"/>
            <w:r w:rsidRPr="000D5771">
              <w:rPr>
                <w:sz w:val="20"/>
                <w:lang w:val="fr-FR"/>
              </w:rPr>
              <w:t>Addendum 10 à l'Addendum 22</w:t>
            </w:r>
            <w:bookmarkEnd w:id="69"/>
          </w:p>
        </w:tc>
      </w:tr>
      <w:tr w:rsidR="00145930" w:rsidRPr="000D5771" w14:paraId="2C732265" w14:textId="77777777" w:rsidTr="004B4875">
        <w:tc>
          <w:tcPr>
            <w:tcW w:w="3681" w:type="dxa"/>
          </w:tcPr>
          <w:p w14:paraId="671402FB" w14:textId="77777777" w:rsidR="00145930" w:rsidRPr="000D5771" w:rsidRDefault="00145930" w:rsidP="004B4875">
            <w:pPr>
              <w:pStyle w:val="TableText0"/>
              <w:jc w:val="center"/>
              <w:rPr>
                <w:sz w:val="20"/>
                <w:lang w:val="fr-FR"/>
              </w:rPr>
            </w:pPr>
            <w:r w:rsidRPr="000D5771">
              <w:rPr>
                <w:sz w:val="20"/>
                <w:lang w:val="fr-FR"/>
              </w:rPr>
              <w:t xml:space="preserve">7, </w:t>
            </w:r>
            <w:bookmarkStart w:id="70" w:name="lt_pId771"/>
            <w:r w:rsidRPr="000D5771">
              <w:rPr>
                <w:sz w:val="20"/>
                <w:lang w:val="fr-FR"/>
              </w:rPr>
              <w:t>Question I</w:t>
            </w:r>
            <w:bookmarkEnd w:id="70"/>
          </w:p>
        </w:tc>
        <w:tc>
          <w:tcPr>
            <w:tcW w:w="5948" w:type="dxa"/>
          </w:tcPr>
          <w:p w14:paraId="05C33273" w14:textId="77777777" w:rsidR="00145930" w:rsidRPr="000D5771" w:rsidRDefault="00145930" w:rsidP="004B4875">
            <w:pPr>
              <w:pStyle w:val="TableText0"/>
              <w:jc w:val="center"/>
              <w:rPr>
                <w:sz w:val="20"/>
                <w:lang w:val="fr-FR"/>
              </w:rPr>
            </w:pPr>
            <w:bookmarkStart w:id="71" w:name="lt_pId772"/>
            <w:r w:rsidRPr="000D5771">
              <w:rPr>
                <w:sz w:val="20"/>
                <w:lang w:val="fr-FR"/>
              </w:rPr>
              <w:t>Addendum 11 à l'Addendum 22</w:t>
            </w:r>
            <w:bookmarkEnd w:id="71"/>
          </w:p>
        </w:tc>
      </w:tr>
      <w:tr w:rsidR="00145930" w:rsidRPr="000D5771" w14:paraId="0F18BA9C" w14:textId="77777777" w:rsidTr="004B4875">
        <w:tc>
          <w:tcPr>
            <w:tcW w:w="3681" w:type="dxa"/>
          </w:tcPr>
          <w:p w14:paraId="57FB5482" w14:textId="77777777" w:rsidR="00145930" w:rsidRPr="000D5771" w:rsidRDefault="00145930" w:rsidP="004B4875">
            <w:pPr>
              <w:pStyle w:val="TableText0"/>
              <w:jc w:val="center"/>
              <w:rPr>
                <w:sz w:val="20"/>
                <w:lang w:val="fr-FR"/>
              </w:rPr>
            </w:pPr>
            <w:r w:rsidRPr="000D5771">
              <w:rPr>
                <w:sz w:val="20"/>
                <w:lang w:val="fr-FR"/>
              </w:rPr>
              <w:t xml:space="preserve">7, </w:t>
            </w:r>
            <w:bookmarkStart w:id="72" w:name="lt_pId774"/>
            <w:r w:rsidRPr="000D5771">
              <w:rPr>
                <w:sz w:val="20"/>
                <w:lang w:val="fr-FR"/>
              </w:rPr>
              <w:t>Question J</w:t>
            </w:r>
            <w:bookmarkEnd w:id="72"/>
          </w:p>
        </w:tc>
        <w:tc>
          <w:tcPr>
            <w:tcW w:w="5948" w:type="dxa"/>
          </w:tcPr>
          <w:p w14:paraId="5FE5D491" w14:textId="77777777" w:rsidR="00145930" w:rsidRPr="000D5771" w:rsidRDefault="00145930" w:rsidP="004B4875">
            <w:pPr>
              <w:pStyle w:val="TableText0"/>
              <w:jc w:val="center"/>
              <w:rPr>
                <w:sz w:val="20"/>
                <w:lang w:val="fr-FR"/>
              </w:rPr>
            </w:pPr>
            <w:bookmarkStart w:id="73" w:name="lt_pId775"/>
            <w:r w:rsidRPr="000D5771">
              <w:rPr>
                <w:sz w:val="20"/>
                <w:lang w:val="fr-FR"/>
              </w:rPr>
              <w:t>Addendum 12 à l'Addendum 22</w:t>
            </w:r>
            <w:bookmarkEnd w:id="73"/>
          </w:p>
        </w:tc>
      </w:tr>
      <w:tr w:rsidR="00145930" w:rsidRPr="000D5771" w14:paraId="1A3DE271" w14:textId="77777777" w:rsidTr="004B4875">
        <w:tc>
          <w:tcPr>
            <w:tcW w:w="3681" w:type="dxa"/>
          </w:tcPr>
          <w:p w14:paraId="42BBB6C8" w14:textId="77777777" w:rsidR="00145930" w:rsidRPr="000D5771" w:rsidRDefault="00145930" w:rsidP="004B4875">
            <w:pPr>
              <w:pStyle w:val="TableText0"/>
              <w:jc w:val="center"/>
              <w:rPr>
                <w:sz w:val="20"/>
                <w:lang w:val="fr-FR"/>
              </w:rPr>
            </w:pPr>
            <w:r w:rsidRPr="000D5771">
              <w:rPr>
                <w:sz w:val="20"/>
                <w:lang w:val="fr-FR"/>
              </w:rPr>
              <w:lastRenderedPageBreak/>
              <w:t xml:space="preserve">7, </w:t>
            </w:r>
            <w:bookmarkStart w:id="74" w:name="lt_pId777"/>
            <w:r w:rsidRPr="000D5771">
              <w:rPr>
                <w:sz w:val="20"/>
                <w:lang w:val="fr-FR"/>
              </w:rPr>
              <w:t>Question K</w:t>
            </w:r>
            <w:bookmarkEnd w:id="74"/>
          </w:p>
        </w:tc>
        <w:tc>
          <w:tcPr>
            <w:tcW w:w="5948" w:type="dxa"/>
          </w:tcPr>
          <w:p w14:paraId="365FF4C4" w14:textId="77777777" w:rsidR="00145930" w:rsidRPr="000D5771" w:rsidRDefault="00145930" w:rsidP="004B4875">
            <w:pPr>
              <w:pStyle w:val="TableText0"/>
              <w:jc w:val="center"/>
              <w:rPr>
                <w:sz w:val="20"/>
                <w:lang w:val="fr-FR"/>
              </w:rPr>
            </w:pPr>
            <w:bookmarkStart w:id="75" w:name="lt_pId778"/>
            <w:r w:rsidRPr="000D5771">
              <w:rPr>
                <w:sz w:val="20"/>
                <w:lang w:val="fr-FR"/>
              </w:rPr>
              <w:t>Addendum 13 à l'Addendum 22</w:t>
            </w:r>
            <w:bookmarkEnd w:id="75"/>
          </w:p>
        </w:tc>
      </w:tr>
      <w:tr w:rsidR="00145930" w:rsidRPr="000D5771" w14:paraId="4F9AB36A" w14:textId="77777777" w:rsidTr="004B4875">
        <w:tc>
          <w:tcPr>
            <w:tcW w:w="3681" w:type="dxa"/>
          </w:tcPr>
          <w:p w14:paraId="5324B75B" w14:textId="77777777" w:rsidR="00145930" w:rsidRPr="000D5771" w:rsidRDefault="00145930" w:rsidP="004B4875">
            <w:pPr>
              <w:pStyle w:val="TableText0"/>
              <w:jc w:val="center"/>
              <w:rPr>
                <w:sz w:val="20"/>
                <w:lang w:val="fr-FR"/>
              </w:rPr>
            </w:pPr>
            <w:bookmarkStart w:id="76" w:name="lt_pId779"/>
            <w:r w:rsidRPr="000D5771">
              <w:rPr>
                <w:sz w:val="20"/>
                <w:lang w:val="fr-FR"/>
              </w:rPr>
              <w:t>8 (pas de proposition)</w:t>
            </w:r>
            <w:bookmarkEnd w:id="76"/>
          </w:p>
        </w:tc>
        <w:tc>
          <w:tcPr>
            <w:tcW w:w="5948" w:type="dxa"/>
          </w:tcPr>
          <w:p w14:paraId="429B01A3" w14:textId="77777777" w:rsidR="00145930" w:rsidRPr="000D5771" w:rsidRDefault="00145930" w:rsidP="004B4875">
            <w:pPr>
              <w:pStyle w:val="TableText0"/>
              <w:jc w:val="center"/>
              <w:rPr>
                <w:sz w:val="20"/>
                <w:lang w:val="fr-FR"/>
              </w:rPr>
            </w:pPr>
            <w:bookmarkStart w:id="77" w:name="lt_pId780"/>
            <w:r w:rsidRPr="000D5771">
              <w:rPr>
                <w:sz w:val="20"/>
                <w:lang w:val="fr-FR"/>
              </w:rPr>
              <w:t>(L'Addendum 23 n'a pas été fourni, aucune proposition africaine commune n'ayant été élaborée étant donné que ce point de l'ordre du jour n'appelle pas de proposition commune)</w:t>
            </w:r>
            <w:bookmarkEnd w:id="77"/>
          </w:p>
        </w:tc>
      </w:tr>
      <w:tr w:rsidR="00145930" w:rsidRPr="000D5771" w14:paraId="38039997" w14:textId="77777777" w:rsidTr="004B4875">
        <w:tc>
          <w:tcPr>
            <w:tcW w:w="3681" w:type="dxa"/>
          </w:tcPr>
          <w:p w14:paraId="7CE1C43E" w14:textId="77777777" w:rsidR="00145930" w:rsidRPr="000D5771" w:rsidRDefault="00145930" w:rsidP="004B4875">
            <w:pPr>
              <w:pStyle w:val="TableText0"/>
              <w:jc w:val="center"/>
              <w:rPr>
                <w:sz w:val="20"/>
                <w:lang w:val="fr-FR"/>
              </w:rPr>
            </w:pPr>
            <w:r w:rsidRPr="000D5771">
              <w:rPr>
                <w:sz w:val="20"/>
                <w:lang w:val="fr-FR"/>
              </w:rPr>
              <w:t xml:space="preserve">9.1, </w:t>
            </w:r>
            <w:bookmarkStart w:id="78" w:name="lt_pId782"/>
            <w:r w:rsidRPr="000D5771">
              <w:rPr>
                <w:sz w:val="20"/>
                <w:lang w:val="fr-FR"/>
              </w:rPr>
              <w:t>Question A</w:t>
            </w:r>
            <w:bookmarkEnd w:id="78"/>
          </w:p>
        </w:tc>
        <w:tc>
          <w:tcPr>
            <w:tcW w:w="5948" w:type="dxa"/>
          </w:tcPr>
          <w:p w14:paraId="7C327D73" w14:textId="77777777" w:rsidR="00145930" w:rsidRPr="000D5771" w:rsidRDefault="00145930" w:rsidP="004B4875">
            <w:pPr>
              <w:pStyle w:val="TableText0"/>
              <w:jc w:val="center"/>
              <w:rPr>
                <w:sz w:val="20"/>
                <w:lang w:val="fr-FR"/>
              </w:rPr>
            </w:pPr>
            <w:bookmarkStart w:id="79" w:name="lt_pId783"/>
            <w:r w:rsidRPr="000D5771">
              <w:rPr>
                <w:sz w:val="20"/>
                <w:lang w:val="fr-FR"/>
              </w:rPr>
              <w:t>Addendum 1 à l'Addendum 24</w:t>
            </w:r>
            <w:bookmarkEnd w:id="79"/>
          </w:p>
        </w:tc>
      </w:tr>
      <w:tr w:rsidR="00145930" w:rsidRPr="000D5771" w14:paraId="7EFB57B8" w14:textId="77777777" w:rsidTr="004B4875">
        <w:tc>
          <w:tcPr>
            <w:tcW w:w="3681" w:type="dxa"/>
          </w:tcPr>
          <w:p w14:paraId="7D281696" w14:textId="77777777" w:rsidR="00145930" w:rsidRPr="000D5771" w:rsidRDefault="00145930" w:rsidP="004B4875">
            <w:pPr>
              <w:pStyle w:val="TableText0"/>
              <w:jc w:val="center"/>
              <w:rPr>
                <w:sz w:val="20"/>
                <w:lang w:val="fr-FR"/>
              </w:rPr>
            </w:pPr>
            <w:r w:rsidRPr="000D5771">
              <w:rPr>
                <w:sz w:val="20"/>
                <w:lang w:val="fr-FR"/>
              </w:rPr>
              <w:t xml:space="preserve">9.1, </w:t>
            </w:r>
            <w:bookmarkStart w:id="80" w:name="lt_pId785"/>
            <w:r w:rsidRPr="000D5771">
              <w:rPr>
                <w:sz w:val="20"/>
                <w:lang w:val="fr-FR"/>
              </w:rPr>
              <w:t>Question B</w:t>
            </w:r>
            <w:bookmarkEnd w:id="80"/>
          </w:p>
        </w:tc>
        <w:tc>
          <w:tcPr>
            <w:tcW w:w="5948" w:type="dxa"/>
          </w:tcPr>
          <w:p w14:paraId="05F76571" w14:textId="77777777" w:rsidR="00145930" w:rsidRPr="000D5771" w:rsidRDefault="00145930" w:rsidP="004B4875">
            <w:pPr>
              <w:pStyle w:val="TableText0"/>
              <w:jc w:val="center"/>
              <w:rPr>
                <w:sz w:val="20"/>
                <w:lang w:val="fr-FR"/>
              </w:rPr>
            </w:pPr>
            <w:bookmarkStart w:id="81" w:name="lt_pId786"/>
            <w:r w:rsidRPr="000D5771">
              <w:rPr>
                <w:sz w:val="20"/>
                <w:lang w:val="fr-FR"/>
              </w:rPr>
              <w:t>Addendum 2 à l'Addendum 24</w:t>
            </w:r>
            <w:bookmarkEnd w:id="81"/>
          </w:p>
        </w:tc>
      </w:tr>
      <w:tr w:rsidR="00145930" w:rsidRPr="000D5771" w14:paraId="0F53A056" w14:textId="77777777" w:rsidTr="004B4875">
        <w:tc>
          <w:tcPr>
            <w:tcW w:w="3681" w:type="dxa"/>
          </w:tcPr>
          <w:p w14:paraId="0B612C7A" w14:textId="77777777" w:rsidR="00145930" w:rsidRPr="000D5771" w:rsidRDefault="00145930" w:rsidP="004B4875">
            <w:pPr>
              <w:pStyle w:val="TableText0"/>
              <w:jc w:val="center"/>
              <w:rPr>
                <w:sz w:val="20"/>
                <w:lang w:val="fr-FR"/>
              </w:rPr>
            </w:pPr>
            <w:r w:rsidRPr="000D5771">
              <w:rPr>
                <w:sz w:val="20"/>
                <w:lang w:val="fr-FR"/>
              </w:rPr>
              <w:t xml:space="preserve">9.1, </w:t>
            </w:r>
            <w:bookmarkStart w:id="82" w:name="lt_pId788"/>
            <w:r w:rsidRPr="000D5771">
              <w:rPr>
                <w:sz w:val="20"/>
                <w:lang w:val="fr-FR"/>
              </w:rPr>
              <w:t>Question C</w:t>
            </w:r>
            <w:bookmarkEnd w:id="82"/>
          </w:p>
        </w:tc>
        <w:tc>
          <w:tcPr>
            <w:tcW w:w="5948" w:type="dxa"/>
          </w:tcPr>
          <w:p w14:paraId="29F3F6E6" w14:textId="77777777" w:rsidR="00145930" w:rsidRPr="000D5771" w:rsidRDefault="00145930" w:rsidP="004B4875">
            <w:pPr>
              <w:pStyle w:val="TableText0"/>
              <w:jc w:val="center"/>
              <w:rPr>
                <w:sz w:val="20"/>
                <w:lang w:val="fr-FR"/>
              </w:rPr>
            </w:pPr>
            <w:bookmarkStart w:id="83" w:name="lt_pId789"/>
            <w:r w:rsidRPr="000D5771">
              <w:rPr>
                <w:sz w:val="20"/>
                <w:lang w:val="fr-FR"/>
              </w:rPr>
              <w:t>Addendum 3 à l'Addendum 24</w:t>
            </w:r>
            <w:bookmarkEnd w:id="83"/>
          </w:p>
        </w:tc>
      </w:tr>
      <w:tr w:rsidR="00145930" w:rsidRPr="000D5771" w14:paraId="392A97D1" w14:textId="77777777" w:rsidTr="004B4875">
        <w:tc>
          <w:tcPr>
            <w:tcW w:w="3681" w:type="dxa"/>
          </w:tcPr>
          <w:p w14:paraId="163AC15C" w14:textId="77777777" w:rsidR="00145930" w:rsidRPr="000D5771" w:rsidRDefault="00145930" w:rsidP="004B4875">
            <w:pPr>
              <w:pStyle w:val="TableText0"/>
              <w:jc w:val="center"/>
              <w:rPr>
                <w:sz w:val="20"/>
                <w:lang w:val="fr-FR"/>
              </w:rPr>
            </w:pPr>
            <w:r w:rsidRPr="000D5771">
              <w:rPr>
                <w:sz w:val="20"/>
                <w:lang w:val="fr-FR"/>
              </w:rPr>
              <w:t xml:space="preserve">9.1, </w:t>
            </w:r>
            <w:bookmarkStart w:id="84" w:name="lt_pId791"/>
            <w:r w:rsidRPr="000D5771">
              <w:rPr>
                <w:sz w:val="20"/>
                <w:lang w:val="fr-FR"/>
              </w:rPr>
              <w:t>Question D</w:t>
            </w:r>
            <w:bookmarkEnd w:id="84"/>
          </w:p>
        </w:tc>
        <w:tc>
          <w:tcPr>
            <w:tcW w:w="5948" w:type="dxa"/>
          </w:tcPr>
          <w:p w14:paraId="6718B026" w14:textId="77777777" w:rsidR="00145930" w:rsidRPr="000D5771" w:rsidRDefault="00145930" w:rsidP="004B4875">
            <w:pPr>
              <w:pStyle w:val="TableText0"/>
              <w:jc w:val="center"/>
              <w:rPr>
                <w:sz w:val="20"/>
                <w:lang w:val="fr-FR"/>
              </w:rPr>
            </w:pPr>
            <w:bookmarkStart w:id="85" w:name="lt_pId792"/>
            <w:r w:rsidRPr="000D5771">
              <w:rPr>
                <w:sz w:val="20"/>
                <w:lang w:val="fr-FR"/>
              </w:rPr>
              <w:t>Addendum 4 à l'Addendum 24</w:t>
            </w:r>
            <w:bookmarkEnd w:id="85"/>
          </w:p>
        </w:tc>
      </w:tr>
      <w:tr w:rsidR="00145930" w:rsidRPr="000D5771" w14:paraId="21AF5A11" w14:textId="77777777" w:rsidTr="004B4875">
        <w:tc>
          <w:tcPr>
            <w:tcW w:w="3681" w:type="dxa"/>
          </w:tcPr>
          <w:p w14:paraId="320F09FD" w14:textId="77777777" w:rsidR="00145930" w:rsidRPr="000D5771" w:rsidRDefault="00145930" w:rsidP="004B4875">
            <w:pPr>
              <w:pStyle w:val="TableText0"/>
              <w:jc w:val="center"/>
              <w:rPr>
                <w:sz w:val="20"/>
                <w:lang w:val="fr-FR"/>
              </w:rPr>
            </w:pPr>
            <w:r w:rsidRPr="000D5771">
              <w:rPr>
                <w:sz w:val="20"/>
                <w:lang w:val="fr-FR"/>
              </w:rPr>
              <w:t>9.2</w:t>
            </w:r>
          </w:p>
        </w:tc>
        <w:tc>
          <w:tcPr>
            <w:tcW w:w="5948" w:type="dxa"/>
          </w:tcPr>
          <w:p w14:paraId="05FEF951" w14:textId="77777777" w:rsidR="00145930" w:rsidRPr="000D5771" w:rsidRDefault="00145930" w:rsidP="004B4875">
            <w:pPr>
              <w:pStyle w:val="TableText0"/>
              <w:jc w:val="center"/>
              <w:rPr>
                <w:sz w:val="20"/>
                <w:lang w:val="fr-FR"/>
              </w:rPr>
            </w:pPr>
            <w:bookmarkStart w:id="86" w:name="lt_pId794"/>
            <w:r w:rsidRPr="000D5771">
              <w:rPr>
                <w:sz w:val="20"/>
                <w:lang w:val="fr-FR"/>
              </w:rPr>
              <w:t>Addendum 25</w:t>
            </w:r>
            <w:bookmarkEnd w:id="86"/>
          </w:p>
        </w:tc>
      </w:tr>
      <w:tr w:rsidR="00145930" w:rsidRPr="000D5771" w14:paraId="44A2656F" w14:textId="77777777" w:rsidTr="004B4875">
        <w:tc>
          <w:tcPr>
            <w:tcW w:w="3681" w:type="dxa"/>
          </w:tcPr>
          <w:p w14:paraId="5F1EF625" w14:textId="77777777" w:rsidR="00145930" w:rsidRPr="000D5771" w:rsidRDefault="00145930" w:rsidP="004B4875">
            <w:pPr>
              <w:pStyle w:val="TableText0"/>
              <w:jc w:val="center"/>
              <w:rPr>
                <w:sz w:val="20"/>
                <w:lang w:val="fr-FR"/>
              </w:rPr>
            </w:pPr>
            <w:r w:rsidRPr="000D5771">
              <w:rPr>
                <w:sz w:val="20"/>
                <w:lang w:val="fr-FR"/>
              </w:rPr>
              <w:t>9.3</w:t>
            </w:r>
          </w:p>
        </w:tc>
        <w:tc>
          <w:tcPr>
            <w:tcW w:w="5948" w:type="dxa"/>
          </w:tcPr>
          <w:p w14:paraId="41D5DD95" w14:textId="77777777" w:rsidR="00145930" w:rsidRPr="000D5771" w:rsidRDefault="00145930" w:rsidP="004B4875">
            <w:pPr>
              <w:pStyle w:val="TableText0"/>
              <w:jc w:val="center"/>
              <w:rPr>
                <w:sz w:val="20"/>
                <w:lang w:val="fr-FR"/>
              </w:rPr>
            </w:pPr>
            <w:bookmarkStart w:id="87" w:name="lt_pId796"/>
            <w:r w:rsidRPr="000D5771">
              <w:rPr>
                <w:sz w:val="20"/>
                <w:lang w:val="fr-FR"/>
              </w:rPr>
              <w:t>Addendum 26</w:t>
            </w:r>
            <w:bookmarkEnd w:id="87"/>
          </w:p>
        </w:tc>
      </w:tr>
      <w:tr w:rsidR="00145930" w:rsidRPr="000D5771" w14:paraId="44F1FEFF" w14:textId="77777777" w:rsidTr="004B4875">
        <w:tc>
          <w:tcPr>
            <w:tcW w:w="3681" w:type="dxa"/>
          </w:tcPr>
          <w:p w14:paraId="251A3808" w14:textId="77777777" w:rsidR="00145930" w:rsidRPr="000D5771" w:rsidRDefault="00145930" w:rsidP="004B4875">
            <w:pPr>
              <w:pStyle w:val="TableText0"/>
              <w:jc w:val="center"/>
              <w:rPr>
                <w:sz w:val="20"/>
                <w:lang w:val="fr-FR"/>
              </w:rPr>
            </w:pPr>
            <w:r w:rsidRPr="000D5771">
              <w:rPr>
                <w:sz w:val="20"/>
                <w:lang w:val="fr-FR"/>
              </w:rPr>
              <w:t>10</w:t>
            </w:r>
          </w:p>
        </w:tc>
        <w:tc>
          <w:tcPr>
            <w:tcW w:w="5948" w:type="dxa"/>
          </w:tcPr>
          <w:p w14:paraId="79E4432D" w14:textId="77777777" w:rsidR="00145930" w:rsidRPr="000D5771" w:rsidRDefault="00145930" w:rsidP="004B4875">
            <w:pPr>
              <w:pStyle w:val="TableText0"/>
              <w:jc w:val="center"/>
              <w:rPr>
                <w:sz w:val="20"/>
                <w:lang w:val="fr-FR"/>
              </w:rPr>
            </w:pPr>
            <w:bookmarkStart w:id="88" w:name="lt_pId798"/>
            <w:r w:rsidRPr="000D5771">
              <w:rPr>
                <w:sz w:val="20"/>
                <w:lang w:val="fr-FR"/>
              </w:rPr>
              <w:t>Addendum 27</w:t>
            </w:r>
            <w:bookmarkEnd w:id="88"/>
          </w:p>
        </w:tc>
      </w:tr>
    </w:tbl>
    <w:p w14:paraId="12D05AF9" w14:textId="77777777" w:rsidR="00145930" w:rsidRPr="000D5771" w:rsidRDefault="00145930" w:rsidP="00145930">
      <w:pPr>
        <w:pStyle w:val="Tabletext"/>
      </w:pPr>
      <w:r w:rsidRPr="000D5771">
        <w:br w:type="page"/>
      </w:r>
    </w:p>
    <w:p w14:paraId="5E3ED03B" w14:textId="77777777" w:rsidR="00145930" w:rsidRPr="000D5771" w:rsidRDefault="00145930" w:rsidP="00145930">
      <w:pPr>
        <w:pStyle w:val="AnnexNo"/>
      </w:pPr>
      <w:r w:rsidRPr="000D5771">
        <w:lastRenderedPageBreak/>
        <w:t>Annexe 3</w:t>
      </w:r>
    </w:p>
    <w:p w14:paraId="2AC7561B" w14:textId="77777777" w:rsidR="00145930" w:rsidRPr="000D5771" w:rsidRDefault="00145930" w:rsidP="00145930">
      <w:pPr>
        <w:pStyle w:val="Annextitle"/>
      </w:pPr>
      <w:r w:rsidRPr="000D5771">
        <w:t>Liste des pays ayant indiqué qu'ils n'appuyaient pas certaines</w:t>
      </w:r>
      <w:r w:rsidRPr="000D5771">
        <w:br/>
        <w:t>propositions africaines communes</w:t>
      </w:r>
    </w:p>
    <w:p w14:paraId="3C3F0826" w14:textId="77777777" w:rsidR="00145930" w:rsidRPr="000D5771" w:rsidRDefault="00145930" w:rsidP="00145930">
      <w:pPr>
        <w:pStyle w:val="enumlev1"/>
      </w:pPr>
      <w:r w:rsidRPr="000D5771">
        <w:rPr>
          <w:b/>
        </w:rPr>
        <w:t>1)</w:t>
      </w:r>
      <w:r w:rsidRPr="000D5771">
        <w:rPr>
          <w:b/>
        </w:rPr>
        <w:tab/>
        <w:t>Égypte, Namibie, Nigéria et Tanzanie</w:t>
      </w:r>
      <w:r w:rsidRPr="000D5771">
        <w:t>: ces pays n'appuient pas la proposition africaine commune relative au point 1.5 de l'ordre du jour.</w:t>
      </w:r>
    </w:p>
    <w:p w14:paraId="59287870" w14:textId="77777777" w:rsidR="00145930" w:rsidRPr="000D5771" w:rsidRDefault="00145930" w:rsidP="00145930">
      <w:pPr>
        <w:pStyle w:val="enumlev1"/>
      </w:pPr>
      <w:r w:rsidRPr="000D5771">
        <w:rPr>
          <w:b/>
        </w:rPr>
        <w:t>2)</w:t>
      </w:r>
      <w:r w:rsidRPr="000D5771">
        <w:rPr>
          <w:b/>
        </w:rPr>
        <w:tab/>
        <w:t>Égypte</w:t>
      </w:r>
      <w:r w:rsidRPr="000D5771">
        <w:t>: ce pays n'appuie pas la proposition africaine commune relative au point 9.1, Question C, de l'ordre du jour.</w:t>
      </w:r>
    </w:p>
    <w:p w14:paraId="00A14A57" w14:textId="77777777" w:rsidR="00145930" w:rsidRPr="000D5771" w:rsidRDefault="00145930" w:rsidP="00145930">
      <w:pPr>
        <w:pStyle w:val="enumlev1"/>
      </w:pPr>
      <w:r w:rsidRPr="000D5771">
        <w:rPr>
          <w:b/>
        </w:rPr>
        <w:t>3)</w:t>
      </w:r>
      <w:r w:rsidRPr="000D5771">
        <w:rPr>
          <w:b/>
        </w:rPr>
        <w:tab/>
        <w:t>Tunisie</w:t>
      </w:r>
      <w:r w:rsidRPr="000D5771">
        <w:t>: ce pays n'appuie pas la proposition africaine commune relative aux points 1.12 et 1.13 de l'ordre du jour.</w:t>
      </w:r>
    </w:p>
    <w:p w14:paraId="46ADA36D" w14:textId="77777777" w:rsidR="00145930" w:rsidRPr="000D5771" w:rsidRDefault="00145930" w:rsidP="00145930">
      <w:pPr>
        <w:pStyle w:val="enumlev1"/>
      </w:pPr>
      <w:r w:rsidRPr="000D5771">
        <w:br w:type="page"/>
      </w:r>
    </w:p>
    <w:p w14:paraId="0E6372CE" w14:textId="77777777" w:rsidR="00145930" w:rsidRPr="000D5771" w:rsidRDefault="00145930" w:rsidP="00145930">
      <w:pPr>
        <w:pStyle w:val="AnnexNo"/>
      </w:pPr>
      <w:r w:rsidRPr="000D5771">
        <w:lastRenderedPageBreak/>
        <w:t>Annexe 4</w:t>
      </w:r>
    </w:p>
    <w:p w14:paraId="1837FE7D" w14:textId="77777777" w:rsidR="00145930" w:rsidRPr="000D5771" w:rsidRDefault="00145930" w:rsidP="00145930">
      <w:pPr>
        <w:pStyle w:val="Annextitle"/>
      </w:pPr>
      <w:r w:rsidRPr="000D5771">
        <w:t>Liste des propositions africaines communes appuyées par le Maroc</w:t>
      </w:r>
    </w:p>
    <w:tbl>
      <w:tblPr>
        <w:tblW w:w="100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1"/>
        <w:gridCol w:w="8789"/>
      </w:tblGrid>
      <w:tr w:rsidR="00145930" w:rsidRPr="000D5771" w14:paraId="7CBAB683" w14:textId="77777777" w:rsidTr="004B4875">
        <w:trPr>
          <w:cantSplit/>
          <w:tblHeader/>
        </w:trPr>
        <w:tc>
          <w:tcPr>
            <w:tcW w:w="10060" w:type="dxa"/>
            <w:gridSpan w:val="2"/>
            <w:tcBorders>
              <w:top w:val="single" w:sz="4" w:space="0" w:color="auto"/>
              <w:left w:val="single" w:sz="4" w:space="0" w:color="auto"/>
              <w:bottom w:val="single" w:sz="6" w:space="0" w:color="auto"/>
            </w:tcBorders>
            <w:shd w:val="pct25" w:color="auto" w:fill="auto"/>
            <w:vAlign w:val="center"/>
          </w:tcPr>
          <w:p w14:paraId="372AB6FC" w14:textId="77777777" w:rsidR="00145930" w:rsidRPr="000D5771" w:rsidRDefault="00145930" w:rsidP="004B4875">
            <w:pPr>
              <w:pStyle w:val="TableHead0"/>
              <w:rPr>
                <w:sz w:val="20"/>
                <w:lang w:val="fr-FR"/>
              </w:rPr>
            </w:pPr>
            <w:r w:rsidRPr="000D5771">
              <w:rPr>
                <w:sz w:val="20"/>
                <w:lang w:val="fr-FR"/>
              </w:rPr>
              <w:t>Adhésion du Maroc aux propositions africaines communes relatives</w:t>
            </w:r>
            <w:r w:rsidRPr="000D5771">
              <w:rPr>
                <w:sz w:val="20"/>
                <w:lang w:val="fr-FR"/>
              </w:rPr>
              <w:br/>
              <w:t>aux points ci-après de l'ordre du jour de la CMR-23</w:t>
            </w:r>
          </w:p>
        </w:tc>
      </w:tr>
      <w:tr w:rsidR="00145930" w:rsidRPr="000D5771" w14:paraId="6873BF39" w14:textId="77777777" w:rsidTr="004B4875">
        <w:trPr>
          <w:cantSplit/>
        </w:trPr>
        <w:tc>
          <w:tcPr>
            <w:tcW w:w="1271" w:type="dxa"/>
            <w:tcBorders>
              <w:top w:val="single" w:sz="6" w:space="0" w:color="auto"/>
              <w:left w:val="single" w:sz="4" w:space="0" w:color="auto"/>
              <w:bottom w:val="single" w:sz="6" w:space="0" w:color="auto"/>
            </w:tcBorders>
            <w:vAlign w:val="center"/>
          </w:tcPr>
          <w:p w14:paraId="21F8BF0C" w14:textId="77777777" w:rsidR="00145930" w:rsidRPr="000D5771" w:rsidRDefault="00145930" w:rsidP="004B4875">
            <w:pPr>
              <w:pStyle w:val="TableText0"/>
              <w:rPr>
                <w:sz w:val="20"/>
                <w:szCs w:val="20"/>
                <w:lang w:val="fr-FR"/>
              </w:rPr>
            </w:pPr>
            <w:r w:rsidRPr="000D5771">
              <w:rPr>
                <w:sz w:val="20"/>
                <w:szCs w:val="20"/>
                <w:lang w:val="fr-FR"/>
              </w:rPr>
              <w:t>1.1</w:t>
            </w:r>
          </w:p>
        </w:tc>
        <w:tc>
          <w:tcPr>
            <w:tcW w:w="8789" w:type="dxa"/>
            <w:tcBorders>
              <w:top w:val="single" w:sz="6" w:space="0" w:color="auto"/>
              <w:bottom w:val="single" w:sz="6" w:space="0" w:color="auto"/>
              <w:right w:val="single" w:sz="4" w:space="0" w:color="auto"/>
            </w:tcBorders>
            <w:vAlign w:val="center"/>
          </w:tcPr>
          <w:p w14:paraId="5EC5E1C9" w14:textId="77777777" w:rsidR="00145930" w:rsidRPr="000D5771" w:rsidRDefault="00145930" w:rsidP="004B4875">
            <w:pPr>
              <w:pStyle w:val="TableText0"/>
              <w:rPr>
                <w:sz w:val="20"/>
                <w:szCs w:val="20"/>
                <w:lang w:val="fr-FR"/>
              </w:rPr>
            </w:pPr>
            <w:r w:rsidRPr="000D5771">
              <w:rPr>
                <w:sz w:val="20"/>
                <w:szCs w:val="20"/>
                <w:lang w:val="fr-FR"/>
              </w:rPr>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0D5771">
              <w:rPr>
                <w:b/>
                <w:bCs/>
                <w:sz w:val="20"/>
                <w:szCs w:val="20"/>
                <w:lang w:val="fr-FR"/>
              </w:rPr>
              <w:t>5.441B</w:t>
            </w:r>
            <w:r w:rsidRPr="000D5771">
              <w:rPr>
                <w:sz w:val="20"/>
                <w:szCs w:val="20"/>
                <w:lang w:val="fr-FR"/>
              </w:rPr>
              <w:t xml:space="preserve"> conformément à la Résolution </w:t>
            </w:r>
            <w:r w:rsidRPr="000D5771">
              <w:rPr>
                <w:b/>
                <w:bCs/>
                <w:sz w:val="20"/>
                <w:szCs w:val="20"/>
                <w:lang w:val="fr-FR"/>
              </w:rPr>
              <w:t>223 (Rév.CMR-19)</w:t>
            </w:r>
            <w:r w:rsidRPr="000D5771">
              <w:rPr>
                <w:sz w:val="20"/>
                <w:szCs w:val="20"/>
                <w:lang w:val="fr-FR"/>
              </w:rPr>
              <w:t>;</w:t>
            </w:r>
          </w:p>
        </w:tc>
      </w:tr>
      <w:tr w:rsidR="00145930" w:rsidRPr="000D5771" w14:paraId="171AD23F" w14:textId="77777777" w:rsidTr="004B4875">
        <w:trPr>
          <w:cantSplit/>
        </w:trPr>
        <w:tc>
          <w:tcPr>
            <w:tcW w:w="1271" w:type="dxa"/>
            <w:tcBorders>
              <w:top w:val="single" w:sz="6" w:space="0" w:color="auto"/>
              <w:left w:val="single" w:sz="4" w:space="0" w:color="auto"/>
              <w:bottom w:val="single" w:sz="6" w:space="0" w:color="auto"/>
            </w:tcBorders>
            <w:vAlign w:val="center"/>
          </w:tcPr>
          <w:p w14:paraId="3B7BDA6E" w14:textId="77777777" w:rsidR="00145930" w:rsidRPr="000D5771" w:rsidRDefault="00145930" w:rsidP="004B4875">
            <w:pPr>
              <w:pStyle w:val="TableText0"/>
              <w:rPr>
                <w:sz w:val="20"/>
                <w:szCs w:val="20"/>
                <w:lang w:val="fr-FR"/>
              </w:rPr>
            </w:pPr>
            <w:r w:rsidRPr="000D5771">
              <w:rPr>
                <w:sz w:val="20"/>
                <w:szCs w:val="20"/>
                <w:lang w:val="fr-FR"/>
              </w:rPr>
              <w:t>1.3</w:t>
            </w:r>
          </w:p>
        </w:tc>
        <w:tc>
          <w:tcPr>
            <w:tcW w:w="8789" w:type="dxa"/>
            <w:tcBorders>
              <w:top w:val="single" w:sz="6" w:space="0" w:color="auto"/>
              <w:bottom w:val="single" w:sz="6" w:space="0" w:color="auto"/>
              <w:right w:val="single" w:sz="4" w:space="0" w:color="auto"/>
            </w:tcBorders>
            <w:vAlign w:val="center"/>
          </w:tcPr>
          <w:p w14:paraId="197776F2" w14:textId="77777777" w:rsidR="00145930" w:rsidRPr="000D5771" w:rsidRDefault="00145930" w:rsidP="004B4875">
            <w:pPr>
              <w:pStyle w:val="TableText0"/>
              <w:rPr>
                <w:sz w:val="20"/>
                <w:szCs w:val="20"/>
                <w:lang w:val="fr-FR"/>
              </w:rPr>
            </w:pPr>
            <w:r w:rsidRPr="000D5771">
              <w:rPr>
                <w:sz w:val="20"/>
                <w:szCs w:val="20"/>
                <w:lang w:val="fr-FR"/>
              </w:rPr>
              <w:t>envisager l'attribution à titre primaire de la bande de fréquences 3 600-3 800 MHz au service mobile en Région 1 et prendre les mesures réglementaires appropriées, conformément à la Résolution </w:t>
            </w:r>
            <w:r w:rsidRPr="000D5771">
              <w:rPr>
                <w:b/>
                <w:bCs/>
                <w:sz w:val="20"/>
                <w:szCs w:val="20"/>
                <w:lang w:val="fr-FR"/>
              </w:rPr>
              <w:t>246 (CMR</w:t>
            </w:r>
            <w:r w:rsidRPr="000D5771">
              <w:rPr>
                <w:b/>
                <w:bCs/>
                <w:sz w:val="20"/>
                <w:szCs w:val="20"/>
                <w:lang w:val="fr-FR"/>
              </w:rPr>
              <w:noBreakHyphen/>
              <w:t>19)</w:t>
            </w:r>
            <w:r w:rsidRPr="000D5771">
              <w:rPr>
                <w:sz w:val="20"/>
                <w:szCs w:val="20"/>
                <w:lang w:val="fr-FR"/>
              </w:rPr>
              <w:t>;</w:t>
            </w:r>
          </w:p>
        </w:tc>
      </w:tr>
      <w:tr w:rsidR="00145930" w:rsidRPr="000D5771" w14:paraId="47505E1D" w14:textId="77777777" w:rsidTr="004B4875">
        <w:trPr>
          <w:cantSplit/>
        </w:trPr>
        <w:tc>
          <w:tcPr>
            <w:tcW w:w="1271" w:type="dxa"/>
            <w:tcBorders>
              <w:top w:val="single" w:sz="6" w:space="0" w:color="auto"/>
              <w:left w:val="single" w:sz="4" w:space="0" w:color="auto"/>
              <w:bottom w:val="single" w:sz="6" w:space="0" w:color="auto"/>
            </w:tcBorders>
            <w:vAlign w:val="center"/>
          </w:tcPr>
          <w:p w14:paraId="7B00746E" w14:textId="77777777" w:rsidR="00145930" w:rsidRPr="000D5771" w:rsidRDefault="00145930" w:rsidP="004B4875">
            <w:pPr>
              <w:pStyle w:val="TableText0"/>
              <w:rPr>
                <w:sz w:val="20"/>
                <w:szCs w:val="20"/>
                <w:lang w:val="fr-FR"/>
              </w:rPr>
            </w:pPr>
            <w:r w:rsidRPr="000D5771">
              <w:rPr>
                <w:sz w:val="20"/>
                <w:szCs w:val="20"/>
                <w:lang w:val="fr-FR"/>
              </w:rPr>
              <w:t>1.4</w:t>
            </w:r>
          </w:p>
        </w:tc>
        <w:tc>
          <w:tcPr>
            <w:tcW w:w="8789" w:type="dxa"/>
            <w:tcBorders>
              <w:top w:val="single" w:sz="6" w:space="0" w:color="auto"/>
              <w:bottom w:val="single" w:sz="6" w:space="0" w:color="auto"/>
              <w:right w:val="single" w:sz="4" w:space="0" w:color="auto"/>
            </w:tcBorders>
            <w:vAlign w:val="center"/>
          </w:tcPr>
          <w:p w14:paraId="5B7F8CFB" w14:textId="77777777" w:rsidR="00145930" w:rsidRPr="000D5771" w:rsidRDefault="00145930" w:rsidP="004B4875">
            <w:pPr>
              <w:pStyle w:val="TableText0"/>
              <w:rPr>
                <w:sz w:val="20"/>
                <w:szCs w:val="20"/>
                <w:lang w:val="fr-FR"/>
              </w:rPr>
            </w:pPr>
            <w:r w:rsidRPr="000D5771">
              <w:rPr>
                <w:sz w:val="20"/>
                <w:szCs w:val="20"/>
                <w:lang w:val="fr-FR"/>
              </w:rPr>
              <w:t xml:space="preserve">examiner, conformément à la Résolution </w:t>
            </w:r>
            <w:r w:rsidRPr="000D5771">
              <w:rPr>
                <w:b/>
                <w:bCs/>
                <w:sz w:val="20"/>
                <w:szCs w:val="20"/>
                <w:lang w:val="fr-FR"/>
              </w:rPr>
              <w:t>247 (CMR-19)</w:t>
            </w:r>
            <w:r w:rsidRPr="000D5771">
              <w:rPr>
                <w:sz w:val="20"/>
                <w:szCs w:val="20"/>
                <w:lang w:val="fr-FR"/>
              </w:rPr>
              <w:t>, l'utilisation de stations placées sur des plates-formes à haute altitude en tant que stations de base IMT (HIBS) dans le service mobile dans certaines bandes au-dessous de 2,7 GHz qui sont déjà identifiées pour les IMT, à l'échelle mondiale ou régionale;</w:t>
            </w:r>
          </w:p>
        </w:tc>
      </w:tr>
      <w:tr w:rsidR="00145930" w:rsidRPr="000D5771" w14:paraId="19ABE8CE" w14:textId="77777777" w:rsidTr="004B4875">
        <w:trPr>
          <w:cantSplit/>
        </w:trPr>
        <w:tc>
          <w:tcPr>
            <w:tcW w:w="1271" w:type="dxa"/>
            <w:tcBorders>
              <w:top w:val="single" w:sz="6" w:space="0" w:color="auto"/>
              <w:left w:val="single" w:sz="4" w:space="0" w:color="auto"/>
              <w:bottom w:val="single" w:sz="6" w:space="0" w:color="auto"/>
            </w:tcBorders>
            <w:vAlign w:val="center"/>
          </w:tcPr>
          <w:p w14:paraId="71374BB5" w14:textId="77777777" w:rsidR="00145930" w:rsidRPr="000D5771" w:rsidRDefault="00145930" w:rsidP="004B4875">
            <w:pPr>
              <w:pStyle w:val="TableText0"/>
              <w:rPr>
                <w:sz w:val="20"/>
                <w:szCs w:val="20"/>
                <w:lang w:val="fr-FR"/>
              </w:rPr>
            </w:pPr>
            <w:r w:rsidRPr="000D5771">
              <w:rPr>
                <w:sz w:val="20"/>
                <w:szCs w:val="20"/>
                <w:lang w:val="fr-FR"/>
              </w:rPr>
              <w:t>1.5</w:t>
            </w:r>
          </w:p>
        </w:tc>
        <w:tc>
          <w:tcPr>
            <w:tcW w:w="8789" w:type="dxa"/>
            <w:tcBorders>
              <w:top w:val="single" w:sz="6" w:space="0" w:color="auto"/>
              <w:bottom w:val="single" w:sz="6" w:space="0" w:color="auto"/>
              <w:right w:val="single" w:sz="4" w:space="0" w:color="auto"/>
            </w:tcBorders>
            <w:vAlign w:val="center"/>
          </w:tcPr>
          <w:p w14:paraId="71606266" w14:textId="77777777" w:rsidR="00145930" w:rsidRPr="000D5771" w:rsidRDefault="00145930" w:rsidP="004B4875">
            <w:pPr>
              <w:pStyle w:val="TableText0"/>
              <w:rPr>
                <w:sz w:val="20"/>
                <w:szCs w:val="20"/>
                <w:lang w:val="fr-FR"/>
              </w:rPr>
            </w:pPr>
            <w:r w:rsidRPr="000D5771">
              <w:rPr>
                <w:sz w:val="20"/>
                <w:szCs w:val="20"/>
                <w:lang w:val="fr-FR"/>
              </w:rPr>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0D5771">
              <w:rPr>
                <w:b/>
                <w:bCs/>
                <w:sz w:val="20"/>
                <w:szCs w:val="20"/>
                <w:lang w:val="fr-FR"/>
              </w:rPr>
              <w:t>235 (CMR-15)</w:t>
            </w:r>
            <w:r w:rsidRPr="000D5771">
              <w:rPr>
                <w:sz w:val="20"/>
                <w:szCs w:val="20"/>
                <w:lang w:val="fr-FR"/>
              </w:rPr>
              <w:t>;</w:t>
            </w:r>
          </w:p>
        </w:tc>
      </w:tr>
      <w:tr w:rsidR="00145930" w:rsidRPr="000D5771" w14:paraId="69CFD4C8" w14:textId="77777777" w:rsidTr="004B4875">
        <w:trPr>
          <w:cantSplit/>
          <w:trHeight w:val="437"/>
        </w:trPr>
        <w:tc>
          <w:tcPr>
            <w:tcW w:w="1271" w:type="dxa"/>
            <w:tcBorders>
              <w:top w:val="single" w:sz="6" w:space="0" w:color="auto"/>
              <w:left w:val="single" w:sz="4" w:space="0" w:color="auto"/>
            </w:tcBorders>
            <w:vAlign w:val="center"/>
          </w:tcPr>
          <w:p w14:paraId="730EE327" w14:textId="77777777" w:rsidR="00145930" w:rsidRPr="000D5771" w:rsidRDefault="00145930" w:rsidP="004B4875">
            <w:pPr>
              <w:pStyle w:val="TableText0"/>
              <w:rPr>
                <w:sz w:val="20"/>
                <w:szCs w:val="20"/>
                <w:lang w:val="fr-FR"/>
              </w:rPr>
            </w:pPr>
            <w:r w:rsidRPr="000D5771">
              <w:rPr>
                <w:sz w:val="20"/>
                <w:szCs w:val="20"/>
                <w:lang w:val="fr-FR"/>
              </w:rPr>
              <w:t>1.6</w:t>
            </w:r>
          </w:p>
        </w:tc>
        <w:tc>
          <w:tcPr>
            <w:tcW w:w="8789" w:type="dxa"/>
            <w:tcBorders>
              <w:top w:val="single" w:sz="6" w:space="0" w:color="auto"/>
              <w:bottom w:val="single" w:sz="6" w:space="0" w:color="auto"/>
              <w:right w:val="single" w:sz="4" w:space="0" w:color="auto"/>
            </w:tcBorders>
            <w:vAlign w:val="center"/>
          </w:tcPr>
          <w:p w14:paraId="1D2D317A" w14:textId="77777777" w:rsidR="00145930" w:rsidRPr="000D5771" w:rsidRDefault="00145930" w:rsidP="004B4875">
            <w:pPr>
              <w:pStyle w:val="TableText0"/>
              <w:rPr>
                <w:sz w:val="20"/>
                <w:szCs w:val="20"/>
                <w:lang w:val="fr-FR"/>
              </w:rPr>
            </w:pPr>
            <w:r w:rsidRPr="000D5771">
              <w:rPr>
                <w:sz w:val="20"/>
                <w:szCs w:val="20"/>
                <w:lang w:val="fr-FR"/>
              </w:rPr>
              <w:t xml:space="preserve">étudier, conformément à la Résolution </w:t>
            </w:r>
            <w:r w:rsidRPr="000D5771">
              <w:rPr>
                <w:b/>
                <w:bCs/>
                <w:sz w:val="20"/>
                <w:szCs w:val="20"/>
                <w:lang w:val="fr-FR"/>
              </w:rPr>
              <w:t>772 (CMR</w:t>
            </w:r>
            <w:r w:rsidRPr="000D5771">
              <w:rPr>
                <w:b/>
                <w:bCs/>
                <w:sz w:val="20"/>
                <w:szCs w:val="20"/>
                <w:lang w:val="fr-FR"/>
              </w:rPr>
              <w:noBreakHyphen/>
              <w:t>19)</w:t>
            </w:r>
            <w:r w:rsidRPr="000D5771">
              <w:rPr>
                <w:sz w:val="20"/>
                <w:szCs w:val="20"/>
                <w:lang w:val="fr-FR"/>
              </w:rPr>
              <w:t>, les dispositions réglementaires propres à faciliter les radiocommunications pour les véhicules suborbitaux;</w:t>
            </w:r>
          </w:p>
        </w:tc>
      </w:tr>
      <w:tr w:rsidR="00145930" w:rsidRPr="000D5771" w14:paraId="5BF1A807" w14:textId="77777777" w:rsidTr="004B4875">
        <w:trPr>
          <w:cantSplit/>
        </w:trPr>
        <w:tc>
          <w:tcPr>
            <w:tcW w:w="1271" w:type="dxa"/>
            <w:tcBorders>
              <w:top w:val="single" w:sz="6" w:space="0" w:color="auto"/>
              <w:left w:val="single" w:sz="4" w:space="0" w:color="auto"/>
              <w:bottom w:val="single" w:sz="6" w:space="0" w:color="auto"/>
            </w:tcBorders>
            <w:vAlign w:val="center"/>
          </w:tcPr>
          <w:p w14:paraId="6522F716" w14:textId="77777777" w:rsidR="00145930" w:rsidRPr="000D5771" w:rsidRDefault="00145930" w:rsidP="004B4875">
            <w:pPr>
              <w:pStyle w:val="TableText0"/>
              <w:rPr>
                <w:sz w:val="20"/>
                <w:szCs w:val="20"/>
                <w:lang w:val="fr-FR"/>
              </w:rPr>
            </w:pPr>
            <w:r w:rsidRPr="000D5771">
              <w:rPr>
                <w:sz w:val="20"/>
                <w:szCs w:val="20"/>
                <w:lang w:val="fr-FR"/>
              </w:rPr>
              <w:t>1.7</w:t>
            </w:r>
          </w:p>
        </w:tc>
        <w:tc>
          <w:tcPr>
            <w:tcW w:w="8789" w:type="dxa"/>
            <w:tcBorders>
              <w:top w:val="single" w:sz="6" w:space="0" w:color="auto"/>
              <w:bottom w:val="single" w:sz="6" w:space="0" w:color="auto"/>
              <w:right w:val="single" w:sz="4" w:space="0" w:color="auto"/>
            </w:tcBorders>
            <w:vAlign w:val="center"/>
          </w:tcPr>
          <w:p w14:paraId="096DFF8E" w14:textId="77777777" w:rsidR="00145930" w:rsidRPr="000D5771" w:rsidRDefault="00145930" w:rsidP="004B4875">
            <w:pPr>
              <w:pStyle w:val="TableText0"/>
              <w:rPr>
                <w:sz w:val="20"/>
                <w:szCs w:val="20"/>
                <w:lang w:val="fr-FR"/>
              </w:rPr>
            </w:pPr>
            <w:r w:rsidRPr="000D5771">
              <w:rPr>
                <w:sz w:val="20"/>
                <w:szCs w:val="20"/>
                <w:lang w:val="fr-FR"/>
              </w:rPr>
              <w:t xml:space="preserve">envisager une nouvelle attribution au service mobile aéronautique (R) par satellite (SMA(R)S), conformément à la Résolution </w:t>
            </w:r>
            <w:r w:rsidRPr="000D5771">
              <w:rPr>
                <w:b/>
                <w:bCs/>
                <w:sz w:val="20"/>
                <w:szCs w:val="20"/>
                <w:lang w:val="fr-FR"/>
              </w:rPr>
              <w:t>428 (CMR-19)</w:t>
            </w:r>
            <w:r w:rsidRPr="000D5771">
              <w:rPr>
                <w:sz w:val="20"/>
                <w:szCs w:val="20"/>
                <w:lang w:val="fr-FR"/>
              </w:rPr>
              <w:t xml:space="preserve"> pour les communications aéronautiques en ondes métriques dans les sens Terre vers espace et espace vers Terre dans tout ou partie de la bande de fréquences 117,975-137 MHz, tout en évitant d'imposer des contraintes excessives aux systèmes existants en ondes métriques fonctionnant dans le service mobile aéronautique (R), le service de radionavigation aéronautique et dans les bandes de fréquences adjacentes;</w:t>
            </w:r>
          </w:p>
        </w:tc>
      </w:tr>
      <w:tr w:rsidR="00145930" w:rsidRPr="000D5771" w14:paraId="23377CE2" w14:textId="77777777" w:rsidTr="004B4875">
        <w:trPr>
          <w:cantSplit/>
          <w:trHeight w:val="95"/>
        </w:trPr>
        <w:tc>
          <w:tcPr>
            <w:tcW w:w="1271" w:type="dxa"/>
            <w:tcBorders>
              <w:top w:val="single" w:sz="6" w:space="0" w:color="auto"/>
              <w:left w:val="single" w:sz="4" w:space="0" w:color="auto"/>
              <w:bottom w:val="single" w:sz="4" w:space="0" w:color="auto"/>
            </w:tcBorders>
            <w:vAlign w:val="center"/>
          </w:tcPr>
          <w:p w14:paraId="60C7EC48" w14:textId="77777777" w:rsidR="00145930" w:rsidRPr="000D5771" w:rsidRDefault="00145930" w:rsidP="004B4875">
            <w:pPr>
              <w:pStyle w:val="TableText0"/>
              <w:rPr>
                <w:sz w:val="20"/>
                <w:szCs w:val="20"/>
                <w:lang w:val="fr-FR"/>
              </w:rPr>
            </w:pPr>
            <w:r w:rsidRPr="000D5771">
              <w:rPr>
                <w:sz w:val="20"/>
                <w:szCs w:val="20"/>
                <w:lang w:val="fr-FR"/>
              </w:rPr>
              <w:t>1.9</w:t>
            </w:r>
          </w:p>
        </w:tc>
        <w:tc>
          <w:tcPr>
            <w:tcW w:w="8789" w:type="dxa"/>
            <w:tcBorders>
              <w:top w:val="single" w:sz="6" w:space="0" w:color="auto"/>
              <w:bottom w:val="single" w:sz="6" w:space="0" w:color="auto"/>
              <w:right w:val="single" w:sz="4" w:space="0" w:color="auto"/>
            </w:tcBorders>
            <w:vAlign w:val="center"/>
          </w:tcPr>
          <w:p w14:paraId="70C07AE4" w14:textId="77777777" w:rsidR="00145930" w:rsidRPr="000D5771" w:rsidRDefault="00145930" w:rsidP="004B4875">
            <w:pPr>
              <w:pStyle w:val="TableText0"/>
              <w:rPr>
                <w:sz w:val="20"/>
                <w:szCs w:val="20"/>
                <w:lang w:val="fr-FR"/>
              </w:rPr>
            </w:pPr>
            <w:r w:rsidRPr="000D5771">
              <w:rPr>
                <w:sz w:val="20"/>
                <w:szCs w:val="20"/>
                <w:lang w:val="fr-FR"/>
              </w:rPr>
              <w:t xml:space="preserve">examiner l'Appendice </w:t>
            </w:r>
            <w:r w:rsidRPr="000D5771">
              <w:rPr>
                <w:b/>
                <w:bCs/>
                <w:sz w:val="20"/>
                <w:szCs w:val="20"/>
                <w:lang w:val="fr-FR"/>
              </w:rPr>
              <w:t>27</w:t>
            </w:r>
            <w:r w:rsidRPr="000D5771">
              <w:rPr>
                <w:sz w:val="20"/>
                <w:szCs w:val="20"/>
                <w:lang w:val="fr-FR"/>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 </w:t>
            </w:r>
            <w:r w:rsidRPr="000D5771">
              <w:rPr>
                <w:b/>
                <w:bCs/>
                <w:sz w:val="20"/>
                <w:szCs w:val="20"/>
                <w:lang w:val="fr-FR"/>
              </w:rPr>
              <w:t>429 (CMR-19)</w:t>
            </w:r>
            <w:r w:rsidRPr="000D5771">
              <w:rPr>
                <w:sz w:val="20"/>
                <w:szCs w:val="20"/>
                <w:lang w:val="fr-FR"/>
              </w:rPr>
              <w:t>;</w:t>
            </w:r>
          </w:p>
        </w:tc>
      </w:tr>
      <w:tr w:rsidR="00145930" w:rsidRPr="000D5771" w14:paraId="3536B63E" w14:textId="77777777" w:rsidTr="004B4875">
        <w:trPr>
          <w:cantSplit/>
        </w:trPr>
        <w:tc>
          <w:tcPr>
            <w:tcW w:w="1271" w:type="dxa"/>
            <w:tcBorders>
              <w:top w:val="single" w:sz="4" w:space="0" w:color="auto"/>
              <w:left w:val="single" w:sz="4" w:space="0" w:color="auto"/>
              <w:bottom w:val="single" w:sz="6" w:space="0" w:color="auto"/>
            </w:tcBorders>
            <w:vAlign w:val="center"/>
          </w:tcPr>
          <w:p w14:paraId="22BEADEA" w14:textId="77777777" w:rsidR="00145930" w:rsidRPr="000D5771" w:rsidRDefault="00145930" w:rsidP="004B4875">
            <w:pPr>
              <w:pStyle w:val="TableText0"/>
              <w:rPr>
                <w:sz w:val="20"/>
                <w:szCs w:val="20"/>
                <w:lang w:val="fr-FR"/>
              </w:rPr>
            </w:pPr>
            <w:r w:rsidRPr="000D5771">
              <w:rPr>
                <w:sz w:val="20"/>
                <w:szCs w:val="20"/>
                <w:lang w:val="fr-FR"/>
              </w:rPr>
              <w:t>1.10</w:t>
            </w:r>
          </w:p>
        </w:tc>
        <w:tc>
          <w:tcPr>
            <w:tcW w:w="8789" w:type="dxa"/>
            <w:tcBorders>
              <w:top w:val="single" w:sz="6" w:space="0" w:color="auto"/>
              <w:bottom w:val="single" w:sz="6" w:space="0" w:color="auto"/>
              <w:right w:val="single" w:sz="4" w:space="0" w:color="auto"/>
            </w:tcBorders>
            <w:vAlign w:val="center"/>
          </w:tcPr>
          <w:p w14:paraId="0822AC40" w14:textId="77777777" w:rsidR="00145930" w:rsidRPr="000D5771" w:rsidRDefault="00145930" w:rsidP="004B4875">
            <w:pPr>
              <w:pStyle w:val="TableText0"/>
              <w:rPr>
                <w:sz w:val="20"/>
                <w:szCs w:val="20"/>
                <w:lang w:val="fr-FR"/>
              </w:rPr>
            </w:pPr>
            <w:r w:rsidRPr="000D5771">
              <w:rPr>
                <w:sz w:val="20"/>
                <w:szCs w:val="20"/>
                <w:lang w:val="fr-FR"/>
              </w:rPr>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0D5771">
              <w:rPr>
                <w:b/>
                <w:bCs/>
                <w:sz w:val="20"/>
                <w:szCs w:val="20"/>
                <w:lang w:val="fr-FR"/>
              </w:rPr>
              <w:t>430 (CMR-19)</w:t>
            </w:r>
            <w:r w:rsidRPr="000D5771">
              <w:rPr>
                <w:sz w:val="20"/>
                <w:szCs w:val="20"/>
                <w:lang w:val="fr-FR"/>
              </w:rPr>
              <w:t>;</w:t>
            </w:r>
          </w:p>
        </w:tc>
      </w:tr>
      <w:tr w:rsidR="00145930" w:rsidRPr="000D5771" w14:paraId="593980A0" w14:textId="77777777" w:rsidTr="004B4875">
        <w:trPr>
          <w:cantSplit/>
        </w:trPr>
        <w:tc>
          <w:tcPr>
            <w:tcW w:w="1271" w:type="dxa"/>
            <w:tcBorders>
              <w:top w:val="single" w:sz="6" w:space="0" w:color="auto"/>
              <w:left w:val="single" w:sz="4" w:space="0" w:color="auto"/>
              <w:bottom w:val="single" w:sz="6" w:space="0" w:color="auto"/>
            </w:tcBorders>
            <w:vAlign w:val="center"/>
          </w:tcPr>
          <w:p w14:paraId="0EFA3BB2" w14:textId="77777777" w:rsidR="00145930" w:rsidRPr="000D5771" w:rsidRDefault="00145930" w:rsidP="004B4875">
            <w:pPr>
              <w:pStyle w:val="TableText0"/>
              <w:rPr>
                <w:sz w:val="20"/>
                <w:szCs w:val="20"/>
                <w:lang w:val="fr-FR"/>
              </w:rPr>
            </w:pPr>
            <w:r w:rsidRPr="000D5771">
              <w:rPr>
                <w:sz w:val="20"/>
                <w:szCs w:val="20"/>
                <w:lang w:val="fr-FR"/>
              </w:rPr>
              <w:t>1.11</w:t>
            </w:r>
          </w:p>
        </w:tc>
        <w:tc>
          <w:tcPr>
            <w:tcW w:w="8789" w:type="dxa"/>
            <w:tcBorders>
              <w:top w:val="single" w:sz="6" w:space="0" w:color="auto"/>
              <w:bottom w:val="single" w:sz="6" w:space="0" w:color="auto"/>
              <w:right w:val="single" w:sz="4" w:space="0" w:color="auto"/>
            </w:tcBorders>
            <w:vAlign w:val="center"/>
          </w:tcPr>
          <w:p w14:paraId="30D0E6F8" w14:textId="77777777" w:rsidR="00145930" w:rsidRPr="000D5771" w:rsidRDefault="00145930" w:rsidP="004B4875">
            <w:pPr>
              <w:pStyle w:val="TableText0"/>
              <w:rPr>
                <w:sz w:val="20"/>
                <w:szCs w:val="20"/>
                <w:lang w:val="fr-FR"/>
              </w:rPr>
            </w:pPr>
            <w:r w:rsidRPr="000D5771">
              <w:rPr>
                <w:sz w:val="20"/>
                <w:szCs w:val="20"/>
                <w:lang w:val="fr-FR"/>
              </w:rPr>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0D5771">
              <w:rPr>
                <w:b/>
                <w:bCs/>
                <w:sz w:val="20"/>
                <w:szCs w:val="20"/>
                <w:lang w:val="fr-FR"/>
              </w:rPr>
              <w:t>361 (Rév.CMR-19)</w:t>
            </w:r>
            <w:r w:rsidRPr="000D5771">
              <w:rPr>
                <w:sz w:val="20"/>
                <w:szCs w:val="20"/>
                <w:lang w:val="fr-FR"/>
              </w:rPr>
              <w:t>;</w:t>
            </w:r>
          </w:p>
        </w:tc>
      </w:tr>
      <w:tr w:rsidR="00145930" w:rsidRPr="000D5771" w14:paraId="10706E6F" w14:textId="77777777" w:rsidTr="004B4875">
        <w:trPr>
          <w:cantSplit/>
        </w:trPr>
        <w:tc>
          <w:tcPr>
            <w:tcW w:w="1271" w:type="dxa"/>
            <w:tcBorders>
              <w:top w:val="single" w:sz="6" w:space="0" w:color="auto"/>
              <w:left w:val="single" w:sz="4" w:space="0" w:color="auto"/>
              <w:bottom w:val="single" w:sz="6" w:space="0" w:color="auto"/>
            </w:tcBorders>
            <w:vAlign w:val="center"/>
          </w:tcPr>
          <w:p w14:paraId="0E084D60" w14:textId="77777777" w:rsidR="00145930" w:rsidRPr="000D5771" w:rsidRDefault="00145930" w:rsidP="004B4875">
            <w:pPr>
              <w:pStyle w:val="TableText0"/>
              <w:rPr>
                <w:sz w:val="20"/>
                <w:szCs w:val="20"/>
                <w:lang w:val="fr-FR"/>
              </w:rPr>
            </w:pPr>
            <w:r w:rsidRPr="000D5771">
              <w:rPr>
                <w:sz w:val="20"/>
                <w:szCs w:val="20"/>
                <w:lang w:val="fr-FR"/>
              </w:rPr>
              <w:t>1.13</w:t>
            </w:r>
          </w:p>
        </w:tc>
        <w:tc>
          <w:tcPr>
            <w:tcW w:w="8789" w:type="dxa"/>
            <w:tcBorders>
              <w:top w:val="single" w:sz="6" w:space="0" w:color="auto"/>
              <w:bottom w:val="single" w:sz="6" w:space="0" w:color="auto"/>
              <w:right w:val="single" w:sz="4" w:space="0" w:color="auto"/>
            </w:tcBorders>
            <w:vAlign w:val="center"/>
          </w:tcPr>
          <w:p w14:paraId="6F8D07C8" w14:textId="77777777" w:rsidR="00145930" w:rsidRPr="000D5771" w:rsidRDefault="00145930" w:rsidP="004B4875">
            <w:pPr>
              <w:pStyle w:val="TableText0"/>
              <w:rPr>
                <w:sz w:val="20"/>
                <w:szCs w:val="20"/>
                <w:lang w:val="fr-FR"/>
              </w:rPr>
            </w:pPr>
            <w:r w:rsidRPr="000D5771">
              <w:rPr>
                <w:sz w:val="20"/>
                <w:szCs w:val="20"/>
                <w:lang w:val="fr-FR"/>
              </w:rPr>
              <w:t>envisager la possibilité de relever le statut de l'attribution de la bande de fréquences 14,8</w:t>
            </w:r>
            <w:r w:rsidRPr="000D5771">
              <w:rPr>
                <w:sz w:val="20"/>
                <w:szCs w:val="20"/>
                <w:lang w:val="fr-FR"/>
              </w:rPr>
              <w:noBreakHyphen/>
              <w:t xml:space="preserve">15,35 GHz au service de recherche spatiale, conformément à la Résolution </w:t>
            </w:r>
            <w:r w:rsidRPr="000D5771">
              <w:rPr>
                <w:b/>
                <w:bCs/>
                <w:sz w:val="20"/>
                <w:szCs w:val="20"/>
                <w:lang w:val="fr-FR"/>
              </w:rPr>
              <w:t>661 (CMR</w:t>
            </w:r>
            <w:r w:rsidRPr="000D5771">
              <w:rPr>
                <w:b/>
                <w:bCs/>
                <w:sz w:val="20"/>
                <w:szCs w:val="20"/>
                <w:lang w:val="fr-FR"/>
              </w:rPr>
              <w:noBreakHyphen/>
              <w:t>19)</w:t>
            </w:r>
            <w:r w:rsidRPr="000D5771">
              <w:rPr>
                <w:sz w:val="20"/>
                <w:szCs w:val="20"/>
                <w:lang w:val="fr-FR"/>
              </w:rPr>
              <w:t>;</w:t>
            </w:r>
          </w:p>
        </w:tc>
      </w:tr>
      <w:tr w:rsidR="00145930" w:rsidRPr="000D5771" w14:paraId="4CBC7ECC" w14:textId="77777777" w:rsidTr="004B4875">
        <w:trPr>
          <w:cantSplit/>
        </w:trPr>
        <w:tc>
          <w:tcPr>
            <w:tcW w:w="1271" w:type="dxa"/>
            <w:tcBorders>
              <w:top w:val="single" w:sz="6" w:space="0" w:color="auto"/>
              <w:left w:val="single" w:sz="4" w:space="0" w:color="auto"/>
              <w:bottom w:val="single" w:sz="6" w:space="0" w:color="auto"/>
            </w:tcBorders>
            <w:vAlign w:val="center"/>
          </w:tcPr>
          <w:p w14:paraId="444945A8" w14:textId="77777777" w:rsidR="00145930" w:rsidRPr="000D5771" w:rsidRDefault="00145930" w:rsidP="004B4875">
            <w:pPr>
              <w:pStyle w:val="TableText0"/>
              <w:rPr>
                <w:sz w:val="20"/>
                <w:szCs w:val="20"/>
                <w:lang w:val="fr-FR"/>
              </w:rPr>
            </w:pPr>
            <w:r w:rsidRPr="000D5771">
              <w:rPr>
                <w:sz w:val="20"/>
                <w:szCs w:val="20"/>
                <w:lang w:val="fr-FR"/>
              </w:rPr>
              <w:t>1.14</w:t>
            </w:r>
          </w:p>
        </w:tc>
        <w:tc>
          <w:tcPr>
            <w:tcW w:w="8789" w:type="dxa"/>
            <w:tcBorders>
              <w:top w:val="single" w:sz="6" w:space="0" w:color="auto"/>
              <w:bottom w:val="single" w:sz="6" w:space="0" w:color="auto"/>
              <w:right w:val="single" w:sz="4" w:space="0" w:color="auto"/>
            </w:tcBorders>
            <w:vAlign w:val="center"/>
          </w:tcPr>
          <w:p w14:paraId="4A0213C0" w14:textId="77777777" w:rsidR="00145930" w:rsidRPr="000D5771" w:rsidRDefault="00145930" w:rsidP="004B4875">
            <w:pPr>
              <w:pStyle w:val="TableText0"/>
              <w:rPr>
                <w:sz w:val="20"/>
                <w:szCs w:val="20"/>
                <w:lang w:val="fr-FR"/>
              </w:rPr>
            </w:pPr>
            <w:r w:rsidRPr="000D5771">
              <w:rPr>
                <w:sz w:val="20"/>
                <w:szCs w:val="20"/>
                <w:lang w:val="fr-FR"/>
              </w:rPr>
              <w:t xml:space="preserve">examiner et envisager la possibilité d'apporter des ajustements aux attributions de fréquences existantes ou de faire de nouvelles attributions de fréquences à titre primaire au service d'exploration de la Terre par satellite (passive) dans la gamme de fréquences 231,5-252 GHz, pour s'assurer qu'elles correspondent aux besoins récents en matière d'observation des systèmes de télédétection, conformément à la Résolution </w:t>
            </w:r>
            <w:r w:rsidRPr="000D5771">
              <w:rPr>
                <w:b/>
                <w:bCs/>
                <w:sz w:val="20"/>
                <w:szCs w:val="20"/>
                <w:lang w:val="fr-FR"/>
              </w:rPr>
              <w:t>662 (CMR-19)</w:t>
            </w:r>
            <w:r w:rsidRPr="000D5771">
              <w:rPr>
                <w:sz w:val="20"/>
                <w:szCs w:val="20"/>
                <w:lang w:val="fr-FR"/>
              </w:rPr>
              <w:t>;</w:t>
            </w:r>
          </w:p>
        </w:tc>
      </w:tr>
      <w:tr w:rsidR="00145930" w:rsidRPr="000D5771" w14:paraId="4A763F89" w14:textId="77777777" w:rsidTr="004B4875">
        <w:trPr>
          <w:cantSplit/>
        </w:trPr>
        <w:tc>
          <w:tcPr>
            <w:tcW w:w="1271" w:type="dxa"/>
            <w:tcBorders>
              <w:top w:val="single" w:sz="6" w:space="0" w:color="auto"/>
              <w:left w:val="single" w:sz="4" w:space="0" w:color="auto"/>
              <w:bottom w:val="single" w:sz="6" w:space="0" w:color="auto"/>
            </w:tcBorders>
            <w:vAlign w:val="center"/>
          </w:tcPr>
          <w:p w14:paraId="76592DF9" w14:textId="77777777" w:rsidR="00145930" w:rsidRPr="000D5771" w:rsidRDefault="00145930" w:rsidP="004B4875">
            <w:pPr>
              <w:pStyle w:val="TableText0"/>
              <w:rPr>
                <w:sz w:val="20"/>
                <w:szCs w:val="20"/>
                <w:lang w:val="fr-FR"/>
              </w:rPr>
            </w:pPr>
            <w:r w:rsidRPr="000D5771">
              <w:rPr>
                <w:sz w:val="20"/>
                <w:szCs w:val="20"/>
                <w:lang w:val="fr-FR"/>
              </w:rPr>
              <w:t>1.15</w:t>
            </w:r>
          </w:p>
        </w:tc>
        <w:tc>
          <w:tcPr>
            <w:tcW w:w="8789" w:type="dxa"/>
            <w:tcBorders>
              <w:top w:val="single" w:sz="6" w:space="0" w:color="auto"/>
              <w:bottom w:val="single" w:sz="6" w:space="0" w:color="auto"/>
              <w:right w:val="single" w:sz="4" w:space="0" w:color="auto"/>
            </w:tcBorders>
            <w:vAlign w:val="center"/>
          </w:tcPr>
          <w:p w14:paraId="5645AFCD" w14:textId="77777777" w:rsidR="00145930" w:rsidRPr="000D5771" w:rsidRDefault="00145930" w:rsidP="004B4875">
            <w:pPr>
              <w:pStyle w:val="TableText0"/>
              <w:rPr>
                <w:sz w:val="20"/>
                <w:szCs w:val="20"/>
                <w:lang w:val="fr-FR"/>
              </w:rPr>
            </w:pPr>
            <w:r w:rsidRPr="000D5771">
              <w:rPr>
                <w:sz w:val="20"/>
                <w:szCs w:val="20"/>
                <w:lang w:val="fr-FR"/>
              </w:rPr>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0D5771">
              <w:rPr>
                <w:b/>
                <w:bCs/>
                <w:sz w:val="20"/>
                <w:szCs w:val="20"/>
                <w:lang w:val="fr-FR"/>
              </w:rPr>
              <w:t>172 (CMR-19)</w:t>
            </w:r>
            <w:r w:rsidRPr="000D5771">
              <w:rPr>
                <w:sz w:val="20"/>
                <w:szCs w:val="20"/>
                <w:lang w:val="fr-FR"/>
              </w:rPr>
              <w:t>;</w:t>
            </w:r>
          </w:p>
        </w:tc>
      </w:tr>
      <w:tr w:rsidR="00145930" w:rsidRPr="000D5771" w14:paraId="1AE81D22" w14:textId="77777777" w:rsidTr="004B4875">
        <w:trPr>
          <w:cantSplit/>
        </w:trPr>
        <w:tc>
          <w:tcPr>
            <w:tcW w:w="1271" w:type="dxa"/>
            <w:tcBorders>
              <w:top w:val="single" w:sz="6" w:space="0" w:color="auto"/>
              <w:left w:val="single" w:sz="4" w:space="0" w:color="auto"/>
              <w:bottom w:val="single" w:sz="6" w:space="0" w:color="auto"/>
            </w:tcBorders>
            <w:vAlign w:val="center"/>
          </w:tcPr>
          <w:p w14:paraId="35705279" w14:textId="77777777" w:rsidR="00145930" w:rsidRPr="000D5771" w:rsidRDefault="00145930" w:rsidP="004B4875">
            <w:pPr>
              <w:pStyle w:val="TableText0"/>
              <w:rPr>
                <w:sz w:val="20"/>
                <w:szCs w:val="20"/>
                <w:lang w:val="fr-FR"/>
              </w:rPr>
            </w:pPr>
            <w:r w:rsidRPr="000D5771">
              <w:rPr>
                <w:sz w:val="20"/>
                <w:szCs w:val="20"/>
                <w:lang w:val="fr-FR"/>
              </w:rPr>
              <w:lastRenderedPageBreak/>
              <w:t>1.16</w:t>
            </w:r>
          </w:p>
        </w:tc>
        <w:tc>
          <w:tcPr>
            <w:tcW w:w="8789" w:type="dxa"/>
            <w:tcBorders>
              <w:top w:val="single" w:sz="6" w:space="0" w:color="auto"/>
              <w:bottom w:val="single" w:sz="6" w:space="0" w:color="auto"/>
              <w:right w:val="single" w:sz="4" w:space="0" w:color="auto"/>
            </w:tcBorders>
            <w:vAlign w:val="center"/>
          </w:tcPr>
          <w:p w14:paraId="3118AE6B" w14:textId="77777777" w:rsidR="00145930" w:rsidRPr="000D5771" w:rsidRDefault="00145930" w:rsidP="004B4875">
            <w:pPr>
              <w:pStyle w:val="TableText0"/>
              <w:rPr>
                <w:sz w:val="20"/>
                <w:szCs w:val="20"/>
                <w:lang w:val="fr-FR"/>
              </w:rPr>
            </w:pPr>
            <w:r w:rsidRPr="000D5771">
              <w:rPr>
                <w:sz w:val="20"/>
                <w:szCs w:val="20"/>
                <w:lang w:val="fr-FR"/>
              </w:rPr>
              <w:t>étudier et définir les mesures d'ordre technique, opérationnel et réglementaire, selon le cas, à prendre pour faciliter l'utilisation des bandes de fréquences 17,7-18,6 GHz, 18,8-19,3 GHz et 19,7</w:t>
            </w:r>
            <w:r w:rsidRPr="000D5771">
              <w:rPr>
                <w:sz w:val="20"/>
                <w:szCs w:val="20"/>
                <w:lang w:val="fr-FR"/>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0D5771">
              <w:rPr>
                <w:b/>
                <w:bCs/>
                <w:sz w:val="20"/>
                <w:szCs w:val="20"/>
                <w:lang w:val="fr-FR"/>
              </w:rPr>
              <w:t>173 (CMR-19)</w:t>
            </w:r>
            <w:r w:rsidRPr="000D5771">
              <w:rPr>
                <w:sz w:val="20"/>
                <w:szCs w:val="20"/>
                <w:lang w:val="fr-FR"/>
              </w:rPr>
              <w:t>;</w:t>
            </w:r>
          </w:p>
        </w:tc>
      </w:tr>
      <w:tr w:rsidR="00145930" w:rsidRPr="000D5771" w14:paraId="589C631E" w14:textId="77777777" w:rsidTr="004B4875">
        <w:trPr>
          <w:cantSplit/>
        </w:trPr>
        <w:tc>
          <w:tcPr>
            <w:tcW w:w="1271" w:type="dxa"/>
            <w:tcBorders>
              <w:top w:val="single" w:sz="6" w:space="0" w:color="auto"/>
              <w:left w:val="single" w:sz="4" w:space="0" w:color="auto"/>
              <w:bottom w:val="single" w:sz="6" w:space="0" w:color="auto"/>
            </w:tcBorders>
            <w:vAlign w:val="center"/>
          </w:tcPr>
          <w:p w14:paraId="55B26828" w14:textId="77777777" w:rsidR="00145930" w:rsidRPr="000D5771" w:rsidRDefault="00145930" w:rsidP="004B4875">
            <w:pPr>
              <w:pStyle w:val="TableText0"/>
              <w:rPr>
                <w:sz w:val="20"/>
                <w:szCs w:val="20"/>
                <w:lang w:val="fr-FR"/>
              </w:rPr>
            </w:pPr>
            <w:r w:rsidRPr="000D5771">
              <w:rPr>
                <w:sz w:val="20"/>
                <w:szCs w:val="20"/>
                <w:lang w:val="fr-FR"/>
              </w:rPr>
              <w:t>1.17</w:t>
            </w:r>
          </w:p>
        </w:tc>
        <w:tc>
          <w:tcPr>
            <w:tcW w:w="8789" w:type="dxa"/>
            <w:tcBorders>
              <w:top w:val="single" w:sz="6" w:space="0" w:color="auto"/>
              <w:bottom w:val="single" w:sz="6" w:space="0" w:color="auto"/>
              <w:right w:val="single" w:sz="4" w:space="0" w:color="auto"/>
            </w:tcBorders>
            <w:vAlign w:val="center"/>
          </w:tcPr>
          <w:p w14:paraId="3852B952" w14:textId="77777777" w:rsidR="00145930" w:rsidRPr="000D5771" w:rsidRDefault="00145930" w:rsidP="004B4875">
            <w:pPr>
              <w:pStyle w:val="TableText0"/>
              <w:rPr>
                <w:sz w:val="20"/>
                <w:szCs w:val="20"/>
                <w:lang w:val="fr-FR"/>
              </w:rPr>
            </w:pPr>
            <w:r w:rsidRPr="000D5771">
              <w:rPr>
                <w:sz w:val="20"/>
                <w:szCs w:val="20"/>
                <w:lang w:val="fr-FR"/>
              </w:rPr>
              <w:t xml:space="preserve">déterminer et prendre, sur la base des études menées par l'UIT-R conformément à la Résolution </w:t>
            </w:r>
            <w:r w:rsidRPr="000D5771">
              <w:rPr>
                <w:b/>
                <w:bCs/>
                <w:sz w:val="20"/>
                <w:szCs w:val="20"/>
                <w:lang w:val="fr-FR"/>
              </w:rPr>
              <w:t>773 (CMR-19)</w:t>
            </w:r>
            <w:r w:rsidRPr="000D5771">
              <w:rPr>
                <w:sz w:val="20"/>
                <w:szCs w:val="20"/>
                <w:lang w:val="fr-FR"/>
              </w:rPr>
              <w:t>, les mesures réglementaires qui conviennent concernant l'établissement de liaisons inter-satellites dans certaines bandes de fréquences, ou dans des parties de ces bandes, en ajoutant une attribution au service inter-satellites, s'il y a lieu;</w:t>
            </w:r>
          </w:p>
        </w:tc>
      </w:tr>
      <w:tr w:rsidR="00145930" w:rsidRPr="000D5771" w14:paraId="1CE79B23" w14:textId="77777777" w:rsidTr="004B4875">
        <w:trPr>
          <w:cantSplit/>
        </w:trPr>
        <w:tc>
          <w:tcPr>
            <w:tcW w:w="1271" w:type="dxa"/>
            <w:tcBorders>
              <w:top w:val="single" w:sz="6" w:space="0" w:color="auto"/>
              <w:left w:val="single" w:sz="4" w:space="0" w:color="auto"/>
              <w:bottom w:val="single" w:sz="6" w:space="0" w:color="auto"/>
            </w:tcBorders>
            <w:vAlign w:val="center"/>
          </w:tcPr>
          <w:p w14:paraId="0293580F" w14:textId="77777777" w:rsidR="00145930" w:rsidRPr="000D5771" w:rsidRDefault="00145930" w:rsidP="004B4875">
            <w:pPr>
              <w:pStyle w:val="TableText0"/>
              <w:rPr>
                <w:sz w:val="20"/>
                <w:szCs w:val="20"/>
                <w:lang w:val="fr-FR"/>
              </w:rPr>
            </w:pPr>
            <w:r w:rsidRPr="000D5771">
              <w:rPr>
                <w:sz w:val="20"/>
                <w:szCs w:val="20"/>
                <w:lang w:val="fr-FR"/>
              </w:rPr>
              <w:t>1.18</w:t>
            </w:r>
          </w:p>
        </w:tc>
        <w:tc>
          <w:tcPr>
            <w:tcW w:w="8789" w:type="dxa"/>
            <w:tcBorders>
              <w:top w:val="single" w:sz="6" w:space="0" w:color="auto"/>
              <w:bottom w:val="single" w:sz="6" w:space="0" w:color="auto"/>
              <w:right w:val="single" w:sz="4" w:space="0" w:color="auto"/>
            </w:tcBorders>
            <w:vAlign w:val="center"/>
          </w:tcPr>
          <w:p w14:paraId="69A5E8F9" w14:textId="77777777" w:rsidR="00145930" w:rsidRPr="000D5771" w:rsidRDefault="00145930" w:rsidP="004B4875">
            <w:pPr>
              <w:pStyle w:val="TableText0"/>
              <w:rPr>
                <w:sz w:val="20"/>
                <w:szCs w:val="20"/>
                <w:lang w:val="fr-FR"/>
              </w:rPr>
            </w:pPr>
            <w:r w:rsidRPr="000D5771">
              <w:rPr>
                <w:sz w:val="20"/>
                <w:szCs w:val="20"/>
                <w:lang w:val="fr-FR"/>
              </w:rPr>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0D5771">
              <w:rPr>
                <w:b/>
                <w:bCs/>
                <w:sz w:val="20"/>
                <w:szCs w:val="20"/>
                <w:lang w:val="fr-FR"/>
              </w:rPr>
              <w:t>248 (CMR-19)</w:t>
            </w:r>
            <w:r w:rsidRPr="000D5771">
              <w:rPr>
                <w:sz w:val="20"/>
                <w:szCs w:val="20"/>
                <w:lang w:val="fr-FR"/>
              </w:rPr>
              <w:t>;</w:t>
            </w:r>
          </w:p>
        </w:tc>
      </w:tr>
      <w:tr w:rsidR="00145930" w:rsidRPr="000D5771" w14:paraId="4089921A" w14:textId="77777777" w:rsidTr="004B4875">
        <w:trPr>
          <w:cantSplit/>
        </w:trPr>
        <w:tc>
          <w:tcPr>
            <w:tcW w:w="1271" w:type="dxa"/>
            <w:tcBorders>
              <w:top w:val="single" w:sz="6" w:space="0" w:color="auto"/>
              <w:left w:val="single" w:sz="4" w:space="0" w:color="auto"/>
              <w:bottom w:val="single" w:sz="4" w:space="0" w:color="auto"/>
            </w:tcBorders>
            <w:vAlign w:val="center"/>
          </w:tcPr>
          <w:p w14:paraId="7C374FCC" w14:textId="77777777" w:rsidR="00145930" w:rsidRPr="000D5771" w:rsidRDefault="00145930" w:rsidP="004B4875">
            <w:pPr>
              <w:pStyle w:val="TableText0"/>
              <w:rPr>
                <w:sz w:val="20"/>
                <w:szCs w:val="20"/>
                <w:lang w:val="fr-FR"/>
              </w:rPr>
            </w:pPr>
            <w:r w:rsidRPr="000D5771">
              <w:rPr>
                <w:sz w:val="20"/>
                <w:szCs w:val="20"/>
                <w:lang w:val="fr-FR"/>
              </w:rPr>
              <w:t>1.19</w:t>
            </w:r>
          </w:p>
        </w:tc>
        <w:tc>
          <w:tcPr>
            <w:tcW w:w="8789" w:type="dxa"/>
            <w:tcBorders>
              <w:top w:val="single" w:sz="6" w:space="0" w:color="auto"/>
              <w:bottom w:val="single" w:sz="6" w:space="0" w:color="auto"/>
              <w:right w:val="single" w:sz="4" w:space="0" w:color="auto"/>
            </w:tcBorders>
            <w:vAlign w:val="center"/>
          </w:tcPr>
          <w:p w14:paraId="70FD4D40" w14:textId="77777777" w:rsidR="00145930" w:rsidRPr="000D5771" w:rsidRDefault="00145930" w:rsidP="004B4875">
            <w:pPr>
              <w:pStyle w:val="TableText0"/>
              <w:rPr>
                <w:sz w:val="20"/>
                <w:szCs w:val="20"/>
                <w:lang w:val="fr-FR"/>
              </w:rPr>
            </w:pPr>
            <w:r w:rsidRPr="000D5771">
              <w:rPr>
                <w:sz w:val="20"/>
                <w:szCs w:val="20"/>
                <w:lang w:val="fr-FR"/>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0D5771">
              <w:rPr>
                <w:b/>
                <w:bCs/>
                <w:sz w:val="20"/>
                <w:szCs w:val="20"/>
                <w:lang w:val="fr-FR"/>
              </w:rPr>
              <w:t>174 (CMR-19)</w:t>
            </w:r>
            <w:r w:rsidRPr="000D5771">
              <w:rPr>
                <w:sz w:val="20"/>
                <w:szCs w:val="20"/>
                <w:lang w:val="fr-FR"/>
              </w:rPr>
              <w:t>;</w:t>
            </w:r>
          </w:p>
        </w:tc>
      </w:tr>
      <w:tr w:rsidR="00145930" w:rsidRPr="000D5771" w14:paraId="4828FC38" w14:textId="77777777" w:rsidTr="004B4875">
        <w:trPr>
          <w:cantSplit/>
        </w:trPr>
        <w:tc>
          <w:tcPr>
            <w:tcW w:w="1271" w:type="dxa"/>
            <w:tcBorders>
              <w:top w:val="single" w:sz="4" w:space="0" w:color="auto"/>
              <w:left w:val="single" w:sz="4" w:space="0" w:color="auto"/>
              <w:bottom w:val="nil"/>
              <w:right w:val="single" w:sz="4" w:space="0" w:color="auto"/>
            </w:tcBorders>
            <w:vAlign w:val="center"/>
          </w:tcPr>
          <w:p w14:paraId="78B6C10A" w14:textId="77777777" w:rsidR="00145930" w:rsidRPr="000D5771" w:rsidRDefault="00145930" w:rsidP="004B4875">
            <w:pPr>
              <w:pStyle w:val="TableText0"/>
              <w:rPr>
                <w:sz w:val="20"/>
                <w:szCs w:val="20"/>
                <w:lang w:val="fr-FR"/>
              </w:rPr>
            </w:pPr>
            <w:r w:rsidRPr="000D5771">
              <w:rPr>
                <w:sz w:val="20"/>
                <w:szCs w:val="20"/>
                <w:lang w:val="fr-FR"/>
              </w:rPr>
              <w:t>7</w:t>
            </w:r>
          </w:p>
        </w:tc>
        <w:tc>
          <w:tcPr>
            <w:tcW w:w="8789" w:type="dxa"/>
            <w:tcBorders>
              <w:top w:val="single" w:sz="6" w:space="0" w:color="auto"/>
              <w:left w:val="single" w:sz="4" w:space="0" w:color="auto"/>
              <w:bottom w:val="single" w:sz="6" w:space="0" w:color="auto"/>
              <w:right w:val="single" w:sz="4" w:space="0" w:color="auto"/>
            </w:tcBorders>
            <w:vAlign w:val="center"/>
          </w:tcPr>
          <w:p w14:paraId="1618956C" w14:textId="77777777" w:rsidR="00145930" w:rsidRPr="000D5771" w:rsidRDefault="00145930" w:rsidP="004B4875">
            <w:pPr>
              <w:pStyle w:val="TableText0"/>
              <w:rPr>
                <w:sz w:val="20"/>
                <w:szCs w:val="20"/>
                <w:lang w:val="fr-FR"/>
              </w:rPr>
            </w:pPr>
            <w:r w:rsidRPr="000D5771">
              <w:rPr>
                <w:sz w:val="20"/>
                <w:szCs w:val="20"/>
                <w:lang w:val="fr-FR"/>
              </w:rPr>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0D5771">
              <w:rPr>
                <w:b/>
                <w:bCs/>
                <w:sz w:val="20"/>
                <w:szCs w:val="20"/>
                <w:lang w:val="fr-FR"/>
              </w:rPr>
              <w:t>86 (Rév.CMR</w:t>
            </w:r>
            <w:r w:rsidRPr="000D5771">
              <w:rPr>
                <w:b/>
                <w:bCs/>
                <w:sz w:val="20"/>
                <w:szCs w:val="20"/>
                <w:lang w:val="fr-FR"/>
              </w:rPr>
              <w:noBreakHyphen/>
              <w:t>07)</w:t>
            </w:r>
            <w:r w:rsidRPr="000D5771">
              <w:rPr>
                <w:sz w:val="20"/>
                <w:szCs w:val="20"/>
                <w:lang w:val="fr-FR"/>
              </w:rPr>
              <w:t>, afin de faciliter l'utilisation rationnelle, efficace et économique des fréquences radioélectriques et des orbites associées, y compris de l'orbite des satellites géostationnaires;</w:t>
            </w:r>
          </w:p>
        </w:tc>
      </w:tr>
      <w:tr w:rsidR="00145930" w:rsidRPr="000D5771" w14:paraId="171329E2" w14:textId="77777777" w:rsidTr="004B4875">
        <w:trPr>
          <w:cantSplit/>
        </w:trPr>
        <w:tc>
          <w:tcPr>
            <w:tcW w:w="1271" w:type="dxa"/>
            <w:tcBorders>
              <w:top w:val="nil"/>
              <w:left w:val="single" w:sz="4" w:space="0" w:color="auto"/>
              <w:bottom w:val="nil"/>
              <w:right w:val="single" w:sz="4" w:space="0" w:color="auto"/>
            </w:tcBorders>
            <w:vAlign w:val="center"/>
          </w:tcPr>
          <w:p w14:paraId="6760BBB8" w14:textId="77777777" w:rsidR="00145930" w:rsidRPr="000D5771" w:rsidRDefault="00145930" w:rsidP="004B4875">
            <w:pPr>
              <w:pStyle w:val="TableText0"/>
              <w:rPr>
                <w:sz w:val="20"/>
                <w:szCs w:val="20"/>
                <w:lang w:val="fr-FR"/>
              </w:rPr>
            </w:pPr>
            <w:r w:rsidRPr="000D5771">
              <w:rPr>
                <w:sz w:val="20"/>
                <w:szCs w:val="20"/>
                <w:lang w:val="fr-FR"/>
              </w:rPr>
              <w:t>Question A</w:t>
            </w:r>
          </w:p>
        </w:tc>
        <w:tc>
          <w:tcPr>
            <w:tcW w:w="8789" w:type="dxa"/>
            <w:tcBorders>
              <w:top w:val="single" w:sz="6" w:space="0" w:color="auto"/>
              <w:left w:val="single" w:sz="4" w:space="0" w:color="auto"/>
              <w:bottom w:val="single" w:sz="6" w:space="0" w:color="auto"/>
              <w:right w:val="single" w:sz="4" w:space="0" w:color="auto"/>
            </w:tcBorders>
            <w:vAlign w:val="center"/>
          </w:tcPr>
          <w:p w14:paraId="050E77B6" w14:textId="77777777" w:rsidR="00145930" w:rsidRPr="000D5771" w:rsidRDefault="00145930" w:rsidP="004B4875">
            <w:pPr>
              <w:pStyle w:val="TableText0"/>
              <w:rPr>
                <w:sz w:val="20"/>
                <w:szCs w:val="20"/>
                <w:lang w:val="fr-FR"/>
              </w:rPr>
            </w:pPr>
            <w:r w:rsidRPr="000D5771">
              <w:rPr>
                <w:sz w:val="20"/>
                <w:szCs w:val="20"/>
                <w:lang w:val="fr-FR"/>
              </w:rPr>
              <w:t>Tolérances pour certaines caractéristiques orbitales des stations spatiales non OSG du SFS, du SRS ou du SMS</w:t>
            </w:r>
          </w:p>
        </w:tc>
      </w:tr>
      <w:tr w:rsidR="00145930" w:rsidRPr="000D5771" w14:paraId="6C4B3592" w14:textId="77777777" w:rsidTr="004B4875">
        <w:trPr>
          <w:cantSplit/>
        </w:trPr>
        <w:tc>
          <w:tcPr>
            <w:tcW w:w="1271" w:type="dxa"/>
            <w:tcBorders>
              <w:top w:val="nil"/>
              <w:left w:val="single" w:sz="4" w:space="0" w:color="auto"/>
              <w:bottom w:val="nil"/>
              <w:right w:val="single" w:sz="4" w:space="0" w:color="auto"/>
            </w:tcBorders>
            <w:vAlign w:val="center"/>
          </w:tcPr>
          <w:p w14:paraId="553A6F62" w14:textId="77777777" w:rsidR="00145930" w:rsidRPr="000D5771" w:rsidRDefault="00145930" w:rsidP="004B4875">
            <w:pPr>
              <w:pStyle w:val="TableText0"/>
              <w:rPr>
                <w:sz w:val="20"/>
                <w:szCs w:val="20"/>
                <w:lang w:val="fr-FR"/>
              </w:rPr>
            </w:pPr>
            <w:r w:rsidRPr="000D5771">
              <w:rPr>
                <w:sz w:val="20"/>
                <w:szCs w:val="20"/>
                <w:lang w:val="fr-FR"/>
              </w:rPr>
              <w:t>Question D</w:t>
            </w:r>
          </w:p>
        </w:tc>
        <w:tc>
          <w:tcPr>
            <w:tcW w:w="8789" w:type="dxa"/>
            <w:tcBorders>
              <w:top w:val="single" w:sz="6" w:space="0" w:color="auto"/>
              <w:left w:val="single" w:sz="4" w:space="0" w:color="auto"/>
              <w:bottom w:val="single" w:sz="6" w:space="0" w:color="auto"/>
              <w:right w:val="single" w:sz="4" w:space="0" w:color="auto"/>
            </w:tcBorders>
            <w:vAlign w:val="center"/>
          </w:tcPr>
          <w:p w14:paraId="3DCFE9DA" w14:textId="77777777" w:rsidR="00145930" w:rsidRPr="000D5771" w:rsidRDefault="00145930" w:rsidP="004B4875">
            <w:pPr>
              <w:pStyle w:val="TableText0"/>
              <w:rPr>
                <w:sz w:val="20"/>
                <w:szCs w:val="20"/>
                <w:lang w:val="fr-FR"/>
              </w:rPr>
            </w:pPr>
            <w:r w:rsidRPr="000D5771">
              <w:rPr>
                <w:sz w:val="20"/>
                <w:szCs w:val="20"/>
                <w:lang w:val="fr-FR"/>
              </w:rPr>
              <w:t xml:space="preserve">Modifications apportées à l'Appendice 1 de l'Annexe </w:t>
            </w:r>
            <w:r w:rsidRPr="000D5771">
              <w:rPr>
                <w:b/>
                <w:bCs/>
                <w:sz w:val="20"/>
                <w:szCs w:val="20"/>
                <w:lang w:val="fr-FR"/>
              </w:rPr>
              <w:t>4</w:t>
            </w:r>
            <w:r w:rsidRPr="000D5771">
              <w:rPr>
                <w:sz w:val="20"/>
                <w:szCs w:val="20"/>
                <w:lang w:val="fr-FR"/>
              </w:rPr>
              <w:t xml:space="preserve"> de l'Appendice </w:t>
            </w:r>
            <w:r w:rsidRPr="000D5771">
              <w:rPr>
                <w:b/>
                <w:bCs/>
                <w:sz w:val="20"/>
                <w:szCs w:val="20"/>
                <w:lang w:val="fr-FR"/>
              </w:rPr>
              <w:t>30B</w:t>
            </w:r>
            <w:r w:rsidRPr="000D5771">
              <w:rPr>
                <w:sz w:val="20"/>
                <w:szCs w:val="20"/>
                <w:lang w:val="fr-FR"/>
              </w:rPr>
              <w:t xml:space="preserve"> du RR</w:t>
            </w:r>
          </w:p>
        </w:tc>
      </w:tr>
      <w:tr w:rsidR="00145930" w:rsidRPr="000D5771" w14:paraId="39CF5501" w14:textId="77777777" w:rsidTr="004B4875">
        <w:trPr>
          <w:cantSplit/>
        </w:trPr>
        <w:tc>
          <w:tcPr>
            <w:tcW w:w="1271" w:type="dxa"/>
            <w:tcBorders>
              <w:top w:val="nil"/>
              <w:left w:val="single" w:sz="4" w:space="0" w:color="auto"/>
              <w:bottom w:val="nil"/>
              <w:right w:val="single" w:sz="4" w:space="0" w:color="auto"/>
            </w:tcBorders>
            <w:vAlign w:val="center"/>
          </w:tcPr>
          <w:p w14:paraId="1C531907" w14:textId="77777777" w:rsidR="00145930" w:rsidRPr="000D5771" w:rsidRDefault="00145930" w:rsidP="004B4875">
            <w:pPr>
              <w:pStyle w:val="TableText0"/>
              <w:rPr>
                <w:sz w:val="20"/>
                <w:szCs w:val="20"/>
                <w:lang w:val="fr-FR"/>
              </w:rPr>
            </w:pPr>
            <w:r w:rsidRPr="000D5771">
              <w:rPr>
                <w:sz w:val="20"/>
                <w:szCs w:val="20"/>
                <w:lang w:val="fr-FR"/>
              </w:rPr>
              <w:t>Question E</w:t>
            </w:r>
          </w:p>
        </w:tc>
        <w:tc>
          <w:tcPr>
            <w:tcW w:w="8789" w:type="dxa"/>
            <w:tcBorders>
              <w:top w:val="single" w:sz="6" w:space="0" w:color="auto"/>
              <w:left w:val="single" w:sz="4" w:space="0" w:color="auto"/>
              <w:bottom w:val="single" w:sz="6" w:space="0" w:color="auto"/>
              <w:right w:val="single" w:sz="4" w:space="0" w:color="auto"/>
            </w:tcBorders>
            <w:vAlign w:val="center"/>
          </w:tcPr>
          <w:p w14:paraId="3AF3E61A" w14:textId="77777777" w:rsidR="00145930" w:rsidRPr="000D5771" w:rsidRDefault="00145930" w:rsidP="004B4875">
            <w:pPr>
              <w:pStyle w:val="TableText0"/>
              <w:rPr>
                <w:sz w:val="20"/>
                <w:szCs w:val="20"/>
                <w:lang w:val="fr-FR"/>
              </w:rPr>
            </w:pPr>
            <w:r w:rsidRPr="000D5771">
              <w:rPr>
                <w:sz w:val="20"/>
                <w:szCs w:val="20"/>
                <w:lang w:val="fr-FR"/>
              </w:rPr>
              <w:t xml:space="preserve">Amélioration des procédures de l'Appendice </w:t>
            </w:r>
            <w:r w:rsidRPr="000D5771">
              <w:rPr>
                <w:b/>
                <w:bCs/>
                <w:sz w:val="20"/>
                <w:szCs w:val="20"/>
                <w:lang w:val="fr-FR"/>
              </w:rPr>
              <w:t>30B</w:t>
            </w:r>
            <w:r w:rsidRPr="000D5771">
              <w:rPr>
                <w:sz w:val="20"/>
                <w:szCs w:val="20"/>
                <w:lang w:val="fr-FR"/>
              </w:rPr>
              <w:t xml:space="preserve"> du RR pour les nouveaux États Membres de l'UIT</w:t>
            </w:r>
          </w:p>
        </w:tc>
      </w:tr>
      <w:tr w:rsidR="00145930" w:rsidRPr="000D5771" w14:paraId="5E7A0AE9" w14:textId="77777777" w:rsidTr="004B4875">
        <w:trPr>
          <w:cantSplit/>
        </w:trPr>
        <w:tc>
          <w:tcPr>
            <w:tcW w:w="1271" w:type="dxa"/>
            <w:tcBorders>
              <w:top w:val="nil"/>
              <w:left w:val="single" w:sz="4" w:space="0" w:color="auto"/>
              <w:bottom w:val="nil"/>
              <w:right w:val="single" w:sz="4" w:space="0" w:color="auto"/>
            </w:tcBorders>
            <w:vAlign w:val="center"/>
          </w:tcPr>
          <w:p w14:paraId="61FCCDDE" w14:textId="77777777" w:rsidR="00145930" w:rsidRPr="000D5771" w:rsidRDefault="00145930" w:rsidP="004B4875">
            <w:pPr>
              <w:pStyle w:val="TableText0"/>
              <w:rPr>
                <w:sz w:val="20"/>
                <w:szCs w:val="20"/>
                <w:lang w:val="fr-FR"/>
              </w:rPr>
            </w:pPr>
            <w:r w:rsidRPr="000D5771">
              <w:rPr>
                <w:sz w:val="20"/>
                <w:szCs w:val="20"/>
                <w:lang w:val="fr-FR"/>
              </w:rPr>
              <w:t>Question G</w:t>
            </w:r>
          </w:p>
        </w:tc>
        <w:tc>
          <w:tcPr>
            <w:tcW w:w="8789" w:type="dxa"/>
            <w:tcBorders>
              <w:top w:val="single" w:sz="6" w:space="0" w:color="auto"/>
              <w:left w:val="single" w:sz="4" w:space="0" w:color="auto"/>
              <w:bottom w:val="single" w:sz="6" w:space="0" w:color="auto"/>
              <w:right w:val="single" w:sz="4" w:space="0" w:color="auto"/>
            </w:tcBorders>
            <w:vAlign w:val="center"/>
          </w:tcPr>
          <w:p w14:paraId="3A72BAEE" w14:textId="77777777" w:rsidR="00145930" w:rsidRPr="000D5771" w:rsidRDefault="00145930" w:rsidP="004B4875">
            <w:pPr>
              <w:pStyle w:val="TableText0"/>
              <w:rPr>
                <w:sz w:val="20"/>
                <w:szCs w:val="20"/>
                <w:lang w:val="fr-FR"/>
              </w:rPr>
            </w:pPr>
            <w:r w:rsidRPr="000D5771">
              <w:rPr>
                <w:sz w:val="20"/>
                <w:szCs w:val="20"/>
                <w:lang w:val="fr-FR"/>
              </w:rPr>
              <w:t xml:space="preserve">Révision de la Résolution </w:t>
            </w:r>
            <w:r w:rsidRPr="000D5771">
              <w:rPr>
                <w:b/>
                <w:bCs/>
                <w:sz w:val="20"/>
                <w:szCs w:val="20"/>
                <w:lang w:val="fr-FR"/>
              </w:rPr>
              <w:t>770 (CMR-19)</w:t>
            </w:r>
            <w:r w:rsidRPr="000D5771">
              <w:rPr>
                <w:sz w:val="20"/>
                <w:szCs w:val="20"/>
                <w:lang w:val="fr-FR"/>
              </w:rPr>
              <w:t xml:space="preserve"> pour permettre sa mise en œuvre</w:t>
            </w:r>
          </w:p>
        </w:tc>
      </w:tr>
      <w:tr w:rsidR="00145930" w:rsidRPr="000D5771" w14:paraId="18233449" w14:textId="77777777" w:rsidTr="004B4875">
        <w:trPr>
          <w:cantSplit/>
        </w:trPr>
        <w:tc>
          <w:tcPr>
            <w:tcW w:w="1271" w:type="dxa"/>
            <w:tcBorders>
              <w:top w:val="nil"/>
              <w:left w:val="single" w:sz="4" w:space="0" w:color="auto"/>
              <w:bottom w:val="nil"/>
              <w:right w:val="single" w:sz="4" w:space="0" w:color="auto"/>
            </w:tcBorders>
            <w:vAlign w:val="center"/>
          </w:tcPr>
          <w:p w14:paraId="0B016D4E" w14:textId="77777777" w:rsidR="00145930" w:rsidRPr="000D5771" w:rsidRDefault="00145930" w:rsidP="004B4875">
            <w:pPr>
              <w:pStyle w:val="TableText0"/>
              <w:rPr>
                <w:sz w:val="20"/>
                <w:szCs w:val="20"/>
                <w:lang w:val="fr-FR"/>
              </w:rPr>
            </w:pPr>
            <w:r w:rsidRPr="000D5771">
              <w:rPr>
                <w:sz w:val="20"/>
                <w:szCs w:val="20"/>
                <w:lang w:val="fr-FR"/>
              </w:rPr>
              <w:t>Question H</w:t>
            </w:r>
          </w:p>
        </w:tc>
        <w:tc>
          <w:tcPr>
            <w:tcW w:w="8789" w:type="dxa"/>
            <w:tcBorders>
              <w:top w:val="single" w:sz="6" w:space="0" w:color="auto"/>
              <w:left w:val="single" w:sz="4" w:space="0" w:color="auto"/>
              <w:bottom w:val="single" w:sz="6" w:space="0" w:color="auto"/>
              <w:right w:val="single" w:sz="4" w:space="0" w:color="auto"/>
            </w:tcBorders>
            <w:vAlign w:val="center"/>
          </w:tcPr>
          <w:p w14:paraId="50CB08F3" w14:textId="77777777" w:rsidR="00145930" w:rsidRPr="000D5771" w:rsidRDefault="00145930" w:rsidP="004B4875">
            <w:pPr>
              <w:pStyle w:val="TableText0"/>
              <w:rPr>
                <w:sz w:val="20"/>
                <w:szCs w:val="20"/>
                <w:lang w:val="fr-FR"/>
              </w:rPr>
            </w:pPr>
            <w:r w:rsidRPr="000D5771">
              <w:rPr>
                <w:sz w:val="20"/>
                <w:szCs w:val="20"/>
                <w:lang w:val="fr-FR"/>
              </w:rPr>
              <w:t xml:space="preserve">Amélioration de la protection des Appendices </w:t>
            </w:r>
            <w:r w:rsidRPr="000D5771">
              <w:rPr>
                <w:b/>
                <w:bCs/>
                <w:sz w:val="20"/>
                <w:szCs w:val="20"/>
                <w:lang w:val="fr-FR"/>
              </w:rPr>
              <w:t>30</w:t>
            </w:r>
            <w:r w:rsidRPr="000D5771">
              <w:rPr>
                <w:sz w:val="20"/>
                <w:szCs w:val="20"/>
                <w:lang w:val="fr-FR"/>
              </w:rPr>
              <w:t>/</w:t>
            </w:r>
            <w:r w:rsidRPr="000D5771">
              <w:rPr>
                <w:b/>
                <w:bCs/>
                <w:sz w:val="20"/>
                <w:szCs w:val="20"/>
                <w:lang w:val="fr-FR"/>
              </w:rPr>
              <w:t>30A</w:t>
            </w:r>
            <w:r w:rsidRPr="000D5771">
              <w:rPr>
                <w:sz w:val="20"/>
                <w:szCs w:val="20"/>
                <w:lang w:val="fr-FR"/>
              </w:rPr>
              <w:t xml:space="preserve"> du RR dans les Régions 1 et 3 et de l'Appendice </w:t>
            </w:r>
            <w:r w:rsidRPr="000D5771">
              <w:rPr>
                <w:b/>
                <w:bCs/>
                <w:sz w:val="20"/>
                <w:szCs w:val="20"/>
                <w:lang w:val="fr-FR"/>
              </w:rPr>
              <w:t>30B</w:t>
            </w:r>
            <w:r w:rsidRPr="000D5771">
              <w:rPr>
                <w:sz w:val="20"/>
                <w:szCs w:val="20"/>
                <w:lang w:val="fr-FR"/>
              </w:rPr>
              <w:t xml:space="preserve"> du RR</w:t>
            </w:r>
          </w:p>
        </w:tc>
      </w:tr>
      <w:tr w:rsidR="00145930" w:rsidRPr="000D5771" w14:paraId="758CAE49" w14:textId="77777777" w:rsidTr="004B4875">
        <w:trPr>
          <w:cantSplit/>
        </w:trPr>
        <w:tc>
          <w:tcPr>
            <w:tcW w:w="1271" w:type="dxa"/>
            <w:tcBorders>
              <w:top w:val="nil"/>
              <w:left w:val="single" w:sz="4" w:space="0" w:color="auto"/>
              <w:bottom w:val="nil"/>
              <w:right w:val="single" w:sz="4" w:space="0" w:color="auto"/>
            </w:tcBorders>
            <w:vAlign w:val="center"/>
          </w:tcPr>
          <w:p w14:paraId="19999E7A" w14:textId="77777777" w:rsidR="00145930" w:rsidRPr="000D5771" w:rsidRDefault="00145930" w:rsidP="004B4875">
            <w:pPr>
              <w:pStyle w:val="TableText0"/>
              <w:rPr>
                <w:sz w:val="20"/>
                <w:szCs w:val="20"/>
                <w:lang w:val="fr-FR"/>
              </w:rPr>
            </w:pPr>
            <w:r w:rsidRPr="000D5771">
              <w:rPr>
                <w:sz w:val="20"/>
                <w:szCs w:val="20"/>
                <w:lang w:val="fr-FR"/>
              </w:rPr>
              <w:t>Question I</w:t>
            </w:r>
          </w:p>
        </w:tc>
        <w:tc>
          <w:tcPr>
            <w:tcW w:w="8789" w:type="dxa"/>
            <w:tcBorders>
              <w:top w:val="single" w:sz="6" w:space="0" w:color="auto"/>
              <w:left w:val="single" w:sz="4" w:space="0" w:color="auto"/>
              <w:bottom w:val="single" w:sz="6" w:space="0" w:color="auto"/>
              <w:right w:val="single" w:sz="4" w:space="0" w:color="auto"/>
            </w:tcBorders>
            <w:vAlign w:val="center"/>
          </w:tcPr>
          <w:p w14:paraId="35616C83" w14:textId="77777777" w:rsidR="00145930" w:rsidRPr="000D5771" w:rsidRDefault="00145930" w:rsidP="004B4875">
            <w:pPr>
              <w:pStyle w:val="TableText0"/>
              <w:rPr>
                <w:sz w:val="20"/>
                <w:szCs w:val="20"/>
                <w:lang w:val="fr-FR"/>
              </w:rPr>
            </w:pPr>
            <w:r w:rsidRPr="000D5771">
              <w:rPr>
                <w:sz w:val="20"/>
                <w:szCs w:val="20"/>
                <w:lang w:val="fr-FR"/>
              </w:rPr>
              <w:t xml:space="preserve">Accords spéciaux en vertu de l'Appendice </w:t>
            </w:r>
            <w:r w:rsidRPr="000D5771">
              <w:rPr>
                <w:b/>
                <w:bCs/>
                <w:sz w:val="20"/>
                <w:szCs w:val="20"/>
                <w:lang w:val="fr-FR"/>
              </w:rPr>
              <w:t>30B</w:t>
            </w:r>
            <w:r w:rsidRPr="000D5771">
              <w:rPr>
                <w:sz w:val="20"/>
                <w:szCs w:val="20"/>
                <w:lang w:val="fr-FR"/>
              </w:rPr>
              <w:t xml:space="preserve"> du RR</w:t>
            </w:r>
          </w:p>
        </w:tc>
      </w:tr>
      <w:tr w:rsidR="00145930" w:rsidRPr="000D5771" w14:paraId="56868803" w14:textId="77777777" w:rsidTr="004B4875">
        <w:trPr>
          <w:cantSplit/>
        </w:trPr>
        <w:tc>
          <w:tcPr>
            <w:tcW w:w="1271" w:type="dxa"/>
            <w:tcBorders>
              <w:top w:val="nil"/>
              <w:left w:val="single" w:sz="4" w:space="0" w:color="auto"/>
              <w:bottom w:val="nil"/>
              <w:right w:val="single" w:sz="4" w:space="0" w:color="auto"/>
            </w:tcBorders>
            <w:vAlign w:val="center"/>
          </w:tcPr>
          <w:p w14:paraId="31071869" w14:textId="77777777" w:rsidR="00145930" w:rsidRPr="000D5771" w:rsidRDefault="00145930" w:rsidP="004B4875">
            <w:pPr>
              <w:pStyle w:val="TableText0"/>
              <w:rPr>
                <w:sz w:val="20"/>
                <w:szCs w:val="20"/>
                <w:lang w:val="fr-FR"/>
              </w:rPr>
            </w:pPr>
            <w:r w:rsidRPr="000D5771">
              <w:rPr>
                <w:sz w:val="20"/>
                <w:szCs w:val="20"/>
                <w:lang w:val="fr-FR"/>
              </w:rPr>
              <w:t>Question J</w:t>
            </w:r>
          </w:p>
        </w:tc>
        <w:tc>
          <w:tcPr>
            <w:tcW w:w="8789" w:type="dxa"/>
            <w:tcBorders>
              <w:top w:val="single" w:sz="6" w:space="0" w:color="auto"/>
              <w:left w:val="single" w:sz="4" w:space="0" w:color="auto"/>
              <w:bottom w:val="single" w:sz="6" w:space="0" w:color="auto"/>
              <w:right w:val="single" w:sz="4" w:space="0" w:color="auto"/>
            </w:tcBorders>
            <w:vAlign w:val="center"/>
          </w:tcPr>
          <w:p w14:paraId="78405194" w14:textId="77777777" w:rsidR="00145930" w:rsidRPr="000D5771" w:rsidRDefault="00145930" w:rsidP="004B4875">
            <w:pPr>
              <w:pStyle w:val="TableText0"/>
              <w:rPr>
                <w:sz w:val="20"/>
                <w:szCs w:val="20"/>
                <w:lang w:val="fr-FR"/>
              </w:rPr>
            </w:pPr>
            <w:r w:rsidRPr="000D5771">
              <w:rPr>
                <w:sz w:val="20"/>
                <w:szCs w:val="20"/>
                <w:lang w:val="fr-FR"/>
              </w:rPr>
              <w:t xml:space="preserve">Modifications apportées à la Résolution </w:t>
            </w:r>
            <w:r w:rsidRPr="000D5771">
              <w:rPr>
                <w:b/>
                <w:bCs/>
                <w:sz w:val="20"/>
                <w:szCs w:val="20"/>
                <w:lang w:val="fr-FR"/>
              </w:rPr>
              <w:t>76 (Rév.CMR-15)</w:t>
            </w:r>
          </w:p>
        </w:tc>
      </w:tr>
      <w:tr w:rsidR="00145930" w:rsidRPr="000D5771" w14:paraId="246992EE" w14:textId="77777777" w:rsidTr="004B4875">
        <w:trPr>
          <w:cantSplit/>
        </w:trPr>
        <w:tc>
          <w:tcPr>
            <w:tcW w:w="1271" w:type="dxa"/>
            <w:tcBorders>
              <w:top w:val="nil"/>
              <w:left w:val="single" w:sz="4" w:space="0" w:color="auto"/>
              <w:bottom w:val="single" w:sz="4" w:space="0" w:color="auto"/>
              <w:right w:val="single" w:sz="4" w:space="0" w:color="auto"/>
            </w:tcBorders>
            <w:vAlign w:val="center"/>
          </w:tcPr>
          <w:p w14:paraId="021CAEA4" w14:textId="77777777" w:rsidR="00145930" w:rsidRPr="000D5771" w:rsidRDefault="00145930" w:rsidP="004B4875">
            <w:pPr>
              <w:pStyle w:val="TableText0"/>
              <w:rPr>
                <w:sz w:val="20"/>
                <w:szCs w:val="20"/>
                <w:lang w:val="fr-FR"/>
              </w:rPr>
            </w:pPr>
            <w:r w:rsidRPr="000D5771">
              <w:rPr>
                <w:sz w:val="20"/>
                <w:szCs w:val="20"/>
                <w:lang w:val="fr-FR"/>
              </w:rPr>
              <w:t>Question K</w:t>
            </w:r>
          </w:p>
        </w:tc>
        <w:tc>
          <w:tcPr>
            <w:tcW w:w="8789" w:type="dxa"/>
            <w:tcBorders>
              <w:top w:val="single" w:sz="6" w:space="0" w:color="auto"/>
              <w:left w:val="single" w:sz="4" w:space="0" w:color="auto"/>
              <w:bottom w:val="single" w:sz="6" w:space="0" w:color="auto"/>
              <w:right w:val="single" w:sz="4" w:space="0" w:color="auto"/>
            </w:tcBorders>
            <w:vAlign w:val="center"/>
          </w:tcPr>
          <w:p w14:paraId="21646B00" w14:textId="77777777" w:rsidR="00145930" w:rsidRPr="000D5771" w:rsidRDefault="00145930" w:rsidP="004B4875">
            <w:pPr>
              <w:pStyle w:val="TableText0"/>
              <w:rPr>
                <w:sz w:val="20"/>
                <w:szCs w:val="20"/>
                <w:lang w:val="fr-FR"/>
              </w:rPr>
            </w:pPr>
            <w:r w:rsidRPr="000D5771">
              <w:rPr>
                <w:sz w:val="20"/>
                <w:szCs w:val="20"/>
                <w:lang w:val="fr-FR"/>
              </w:rPr>
              <w:t xml:space="preserve">Modification de la Résolution </w:t>
            </w:r>
            <w:r w:rsidRPr="000D5771">
              <w:rPr>
                <w:b/>
                <w:bCs/>
                <w:sz w:val="20"/>
                <w:szCs w:val="20"/>
                <w:lang w:val="fr-FR"/>
              </w:rPr>
              <w:t>553 (Rév.CMR-15)</w:t>
            </w:r>
            <w:r w:rsidRPr="000D5771">
              <w:rPr>
                <w:sz w:val="20"/>
                <w:szCs w:val="20"/>
                <w:lang w:val="fr-FR"/>
              </w:rPr>
              <w:t xml:space="preserve"> en vue d'assurer un accès équitable à la bande de fréquences 21,4-22 GHz</w:t>
            </w:r>
          </w:p>
        </w:tc>
      </w:tr>
      <w:tr w:rsidR="00145930" w:rsidRPr="000D5771" w14:paraId="4B7545A2" w14:textId="77777777" w:rsidTr="004B4875">
        <w:trPr>
          <w:cantSplit/>
          <w:trHeight w:val="43"/>
        </w:trPr>
        <w:tc>
          <w:tcPr>
            <w:tcW w:w="1271" w:type="dxa"/>
            <w:tcBorders>
              <w:top w:val="single" w:sz="4" w:space="0" w:color="auto"/>
              <w:left w:val="single" w:sz="4" w:space="0" w:color="auto"/>
              <w:bottom w:val="single" w:sz="4" w:space="0" w:color="auto"/>
            </w:tcBorders>
            <w:vAlign w:val="center"/>
          </w:tcPr>
          <w:p w14:paraId="01367A39" w14:textId="77777777" w:rsidR="00145930" w:rsidRPr="000D5771" w:rsidRDefault="00145930" w:rsidP="004B4875">
            <w:pPr>
              <w:pStyle w:val="TableText0"/>
              <w:rPr>
                <w:sz w:val="20"/>
                <w:szCs w:val="20"/>
                <w:lang w:val="fr-FR"/>
              </w:rPr>
            </w:pPr>
            <w:r w:rsidRPr="000D5771">
              <w:rPr>
                <w:sz w:val="20"/>
                <w:szCs w:val="20"/>
                <w:lang w:val="fr-FR"/>
              </w:rPr>
              <w:t>9</w:t>
            </w:r>
          </w:p>
        </w:tc>
        <w:tc>
          <w:tcPr>
            <w:tcW w:w="8789" w:type="dxa"/>
            <w:tcBorders>
              <w:top w:val="single" w:sz="6" w:space="0" w:color="auto"/>
              <w:bottom w:val="single" w:sz="6" w:space="0" w:color="auto"/>
              <w:right w:val="single" w:sz="4" w:space="0" w:color="auto"/>
            </w:tcBorders>
            <w:vAlign w:val="center"/>
          </w:tcPr>
          <w:p w14:paraId="21FB944E" w14:textId="77777777" w:rsidR="00145930" w:rsidRPr="000D5771" w:rsidRDefault="00145930" w:rsidP="004B4875">
            <w:pPr>
              <w:pStyle w:val="TableText0"/>
              <w:rPr>
                <w:sz w:val="20"/>
                <w:szCs w:val="20"/>
                <w:lang w:val="fr-FR"/>
              </w:rPr>
            </w:pPr>
            <w:r w:rsidRPr="000D5771">
              <w:rPr>
                <w:sz w:val="20"/>
                <w:szCs w:val="20"/>
                <w:lang w:val="fr-FR"/>
              </w:rPr>
              <w:t>examiner et approuver le rapport du Directeur du Bureau des radiocommunications, conformément à l'article 7 de la Convention de l'UIT:</w:t>
            </w:r>
          </w:p>
        </w:tc>
      </w:tr>
      <w:tr w:rsidR="00145930" w:rsidRPr="000D5771" w14:paraId="26DD41CC" w14:textId="77777777" w:rsidTr="004B4875">
        <w:trPr>
          <w:cantSplit/>
        </w:trPr>
        <w:tc>
          <w:tcPr>
            <w:tcW w:w="1271" w:type="dxa"/>
            <w:tcBorders>
              <w:top w:val="single" w:sz="4" w:space="0" w:color="auto"/>
              <w:left w:val="single" w:sz="4" w:space="0" w:color="auto"/>
              <w:bottom w:val="single" w:sz="4" w:space="0" w:color="auto"/>
            </w:tcBorders>
            <w:vAlign w:val="center"/>
          </w:tcPr>
          <w:p w14:paraId="6CFD4043" w14:textId="77777777" w:rsidR="00145930" w:rsidRPr="000D5771" w:rsidRDefault="00145930" w:rsidP="004B4875">
            <w:pPr>
              <w:pStyle w:val="TableText0"/>
              <w:rPr>
                <w:sz w:val="20"/>
                <w:szCs w:val="20"/>
                <w:lang w:val="fr-FR"/>
              </w:rPr>
            </w:pPr>
            <w:r w:rsidRPr="000D5771">
              <w:rPr>
                <w:sz w:val="20"/>
                <w:szCs w:val="20"/>
                <w:lang w:val="fr-FR"/>
              </w:rPr>
              <w:t>9.1</w:t>
            </w:r>
          </w:p>
        </w:tc>
        <w:tc>
          <w:tcPr>
            <w:tcW w:w="8789" w:type="dxa"/>
            <w:tcBorders>
              <w:top w:val="single" w:sz="6" w:space="0" w:color="auto"/>
              <w:bottom w:val="single" w:sz="6" w:space="0" w:color="auto"/>
              <w:right w:val="single" w:sz="4" w:space="0" w:color="auto"/>
            </w:tcBorders>
            <w:vAlign w:val="center"/>
          </w:tcPr>
          <w:p w14:paraId="4A973BC8" w14:textId="77777777" w:rsidR="00145930" w:rsidRPr="000D5771" w:rsidRDefault="00145930" w:rsidP="004B4875">
            <w:pPr>
              <w:pStyle w:val="TableText0"/>
              <w:rPr>
                <w:sz w:val="20"/>
                <w:szCs w:val="20"/>
                <w:lang w:val="fr-FR"/>
              </w:rPr>
            </w:pPr>
            <w:r w:rsidRPr="000D5771">
              <w:rPr>
                <w:sz w:val="20"/>
                <w:szCs w:val="20"/>
                <w:lang w:val="fr-FR"/>
              </w:rPr>
              <w:t>sur les activités du Secteur des radiocommunications de l'UIT depuis la CMR</w:t>
            </w:r>
            <w:r w:rsidRPr="000D5771">
              <w:rPr>
                <w:sz w:val="20"/>
                <w:szCs w:val="20"/>
                <w:lang w:val="fr-FR"/>
              </w:rPr>
              <w:noBreakHyphen/>
              <w:t>19;</w:t>
            </w:r>
          </w:p>
        </w:tc>
      </w:tr>
      <w:tr w:rsidR="00145930" w:rsidRPr="000D5771" w14:paraId="7088FBE4" w14:textId="77777777" w:rsidTr="004B4875">
        <w:trPr>
          <w:cantSplit/>
        </w:trPr>
        <w:tc>
          <w:tcPr>
            <w:tcW w:w="1271" w:type="dxa"/>
            <w:tcBorders>
              <w:top w:val="single" w:sz="4" w:space="0" w:color="auto"/>
              <w:left w:val="single" w:sz="4" w:space="0" w:color="auto"/>
              <w:bottom w:val="single" w:sz="6" w:space="0" w:color="auto"/>
            </w:tcBorders>
            <w:vAlign w:val="center"/>
          </w:tcPr>
          <w:p w14:paraId="1131F64B" w14:textId="77777777" w:rsidR="00145930" w:rsidRPr="000D5771" w:rsidRDefault="00145930" w:rsidP="004B4875">
            <w:pPr>
              <w:pStyle w:val="TableText0"/>
              <w:rPr>
                <w:sz w:val="20"/>
                <w:szCs w:val="20"/>
                <w:lang w:val="fr-FR"/>
              </w:rPr>
            </w:pPr>
            <w:r w:rsidRPr="000D5771">
              <w:rPr>
                <w:sz w:val="20"/>
                <w:szCs w:val="20"/>
                <w:lang w:val="fr-FR"/>
              </w:rPr>
              <w:t>9.1-a)</w:t>
            </w:r>
          </w:p>
        </w:tc>
        <w:tc>
          <w:tcPr>
            <w:tcW w:w="8789" w:type="dxa"/>
            <w:tcBorders>
              <w:top w:val="single" w:sz="6" w:space="0" w:color="auto"/>
              <w:bottom w:val="single" w:sz="6" w:space="0" w:color="auto"/>
              <w:right w:val="single" w:sz="4" w:space="0" w:color="auto"/>
            </w:tcBorders>
            <w:vAlign w:val="center"/>
          </w:tcPr>
          <w:p w14:paraId="44C26427" w14:textId="77777777" w:rsidR="00145930" w:rsidRPr="000D5771" w:rsidRDefault="00145930" w:rsidP="004B4875">
            <w:pPr>
              <w:pStyle w:val="TableText0"/>
              <w:ind w:left="284" w:hanging="284"/>
              <w:rPr>
                <w:sz w:val="20"/>
                <w:szCs w:val="20"/>
                <w:lang w:val="fr-FR"/>
              </w:rPr>
            </w:pPr>
            <w:r w:rsidRPr="000D5771">
              <w:rPr>
                <w:sz w:val="20"/>
                <w:szCs w:val="20"/>
                <w:lang w:val="fr-FR"/>
              </w:rPr>
              <w:t>–</w:t>
            </w:r>
            <w:r w:rsidRPr="000D5771">
              <w:rPr>
                <w:sz w:val="20"/>
                <w:szCs w:val="20"/>
                <w:lang w:val="fr-FR"/>
              </w:rPr>
              <w:tab/>
              <w:t xml:space="preserve">Conformément à la Résolution </w:t>
            </w:r>
            <w:r w:rsidRPr="000D5771">
              <w:rPr>
                <w:b/>
                <w:bCs/>
                <w:sz w:val="20"/>
                <w:szCs w:val="20"/>
                <w:lang w:val="fr-FR"/>
              </w:rPr>
              <w:t>657 (Rév.CMR-19)</w:t>
            </w:r>
            <w:r w:rsidRPr="000D5771">
              <w:rPr>
                <w:sz w:val="20"/>
                <w:szCs w:val="20"/>
                <w:lang w:val="fr-FR"/>
              </w:rPr>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additionnelles aux services existants;</w:t>
            </w:r>
          </w:p>
        </w:tc>
      </w:tr>
      <w:tr w:rsidR="00145930" w:rsidRPr="000D5771" w14:paraId="63F67E22" w14:textId="77777777" w:rsidTr="004B4875">
        <w:trPr>
          <w:cantSplit/>
        </w:trPr>
        <w:tc>
          <w:tcPr>
            <w:tcW w:w="1271" w:type="dxa"/>
            <w:tcBorders>
              <w:top w:val="single" w:sz="6" w:space="0" w:color="auto"/>
              <w:left w:val="single" w:sz="4" w:space="0" w:color="auto"/>
              <w:bottom w:val="single" w:sz="6" w:space="0" w:color="auto"/>
            </w:tcBorders>
            <w:vAlign w:val="center"/>
          </w:tcPr>
          <w:p w14:paraId="52343DDB" w14:textId="77777777" w:rsidR="00145930" w:rsidRPr="000D5771" w:rsidRDefault="00145930" w:rsidP="004B4875">
            <w:pPr>
              <w:pStyle w:val="TableText0"/>
              <w:rPr>
                <w:sz w:val="20"/>
                <w:szCs w:val="20"/>
                <w:lang w:val="fr-FR"/>
              </w:rPr>
            </w:pPr>
            <w:r w:rsidRPr="000D5771">
              <w:rPr>
                <w:sz w:val="20"/>
                <w:szCs w:val="20"/>
                <w:lang w:val="fr-FR"/>
              </w:rPr>
              <w:t>9.1-b)</w:t>
            </w:r>
          </w:p>
        </w:tc>
        <w:tc>
          <w:tcPr>
            <w:tcW w:w="8789" w:type="dxa"/>
            <w:tcBorders>
              <w:top w:val="single" w:sz="6" w:space="0" w:color="auto"/>
              <w:bottom w:val="single" w:sz="6" w:space="0" w:color="auto"/>
              <w:right w:val="single" w:sz="4" w:space="0" w:color="auto"/>
            </w:tcBorders>
            <w:vAlign w:val="center"/>
          </w:tcPr>
          <w:p w14:paraId="3935E748" w14:textId="77777777" w:rsidR="00145930" w:rsidRPr="000D5771" w:rsidRDefault="00145930" w:rsidP="004B4875">
            <w:pPr>
              <w:pStyle w:val="TableText0"/>
              <w:ind w:left="284" w:hanging="284"/>
              <w:rPr>
                <w:sz w:val="20"/>
                <w:szCs w:val="20"/>
                <w:lang w:val="fr-FR"/>
              </w:rPr>
            </w:pPr>
            <w:r w:rsidRPr="000D5771">
              <w:rPr>
                <w:sz w:val="20"/>
                <w:szCs w:val="20"/>
                <w:lang w:val="fr-FR"/>
              </w:rPr>
              <w:t>–</w:t>
            </w:r>
            <w:r w:rsidRPr="000D5771">
              <w:rPr>
                <w:sz w:val="20"/>
                <w:szCs w:val="20"/>
                <w:lang w:val="fr-FR"/>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0D5771">
              <w:rPr>
                <w:b/>
                <w:bCs/>
                <w:sz w:val="20"/>
                <w:szCs w:val="20"/>
                <w:lang w:val="fr-FR"/>
              </w:rPr>
              <w:t>774 (CMR-19)</w:t>
            </w:r>
            <w:r w:rsidRPr="000D5771">
              <w:rPr>
                <w:sz w:val="20"/>
                <w:szCs w:val="20"/>
                <w:lang w:val="fr-FR"/>
              </w:rPr>
              <w:t>;</w:t>
            </w:r>
          </w:p>
        </w:tc>
      </w:tr>
      <w:tr w:rsidR="00145930" w:rsidRPr="000D5771" w14:paraId="53CFC0F6" w14:textId="77777777" w:rsidTr="004B4875">
        <w:trPr>
          <w:cantSplit/>
        </w:trPr>
        <w:tc>
          <w:tcPr>
            <w:tcW w:w="1271" w:type="dxa"/>
            <w:tcBorders>
              <w:top w:val="single" w:sz="6" w:space="0" w:color="auto"/>
              <w:left w:val="single" w:sz="4" w:space="0" w:color="auto"/>
              <w:bottom w:val="single" w:sz="4" w:space="0" w:color="auto"/>
            </w:tcBorders>
            <w:vAlign w:val="center"/>
          </w:tcPr>
          <w:p w14:paraId="0251DB69" w14:textId="77777777" w:rsidR="00145930" w:rsidRPr="000D5771" w:rsidRDefault="00145930" w:rsidP="004B4875">
            <w:pPr>
              <w:pStyle w:val="TableText0"/>
              <w:rPr>
                <w:sz w:val="20"/>
                <w:szCs w:val="20"/>
                <w:lang w:val="fr-FR"/>
              </w:rPr>
            </w:pPr>
            <w:r w:rsidRPr="000D5771">
              <w:rPr>
                <w:sz w:val="20"/>
                <w:szCs w:val="20"/>
                <w:lang w:val="fr-FR"/>
              </w:rPr>
              <w:t>9.1-d)</w:t>
            </w:r>
          </w:p>
        </w:tc>
        <w:tc>
          <w:tcPr>
            <w:tcW w:w="8789" w:type="dxa"/>
            <w:tcBorders>
              <w:top w:val="single" w:sz="6" w:space="0" w:color="auto"/>
              <w:bottom w:val="single" w:sz="6" w:space="0" w:color="auto"/>
              <w:right w:val="single" w:sz="4" w:space="0" w:color="auto"/>
            </w:tcBorders>
            <w:vAlign w:val="center"/>
          </w:tcPr>
          <w:p w14:paraId="195B04B1" w14:textId="77777777" w:rsidR="00145930" w:rsidRPr="000D5771" w:rsidRDefault="00145930" w:rsidP="004B4875">
            <w:pPr>
              <w:pStyle w:val="TableText0"/>
              <w:ind w:left="284" w:hanging="284"/>
              <w:rPr>
                <w:sz w:val="20"/>
                <w:szCs w:val="20"/>
                <w:lang w:val="fr-FR"/>
              </w:rPr>
            </w:pPr>
            <w:r w:rsidRPr="000D5771">
              <w:rPr>
                <w:sz w:val="20"/>
                <w:szCs w:val="20"/>
                <w:lang w:val="fr-FR"/>
              </w:rPr>
              <w:t>–</w:t>
            </w:r>
            <w:r w:rsidRPr="000D5771">
              <w:rPr>
                <w:sz w:val="20"/>
                <w:szCs w:val="20"/>
                <w:lang w:val="fr-FR"/>
              </w:rPr>
              <w:tab/>
              <w:t>Protection du SETS (passive) dans la bande de fréquences 36-37 GHz vis-à-vis des stations spatiales du SFS non OSG;</w:t>
            </w:r>
          </w:p>
        </w:tc>
      </w:tr>
      <w:tr w:rsidR="00145930" w:rsidRPr="000D5771" w14:paraId="52C548D4" w14:textId="77777777" w:rsidTr="004B4875">
        <w:trPr>
          <w:cantSplit/>
        </w:trPr>
        <w:tc>
          <w:tcPr>
            <w:tcW w:w="1271" w:type="dxa"/>
            <w:tcBorders>
              <w:top w:val="single" w:sz="4" w:space="0" w:color="auto"/>
              <w:left w:val="single" w:sz="4" w:space="0" w:color="auto"/>
              <w:bottom w:val="single" w:sz="4" w:space="0" w:color="auto"/>
              <w:right w:val="single" w:sz="4" w:space="0" w:color="auto"/>
            </w:tcBorders>
            <w:vAlign w:val="center"/>
          </w:tcPr>
          <w:p w14:paraId="642A72DC" w14:textId="77777777" w:rsidR="00145930" w:rsidRPr="000D5771" w:rsidRDefault="00145930" w:rsidP="004B4875">
            <w:pPr>
              <w:pStyle w:val="TableText0"/>
              <w:rPr>
                <w:sz w:val="20"/>
                <w:szCs w:val="20"/>
                <w:lang w:val="fr-FR"/>
              </w:rPr>
            </w:pPr>
            <w:r w:rsidRPr="000D5771">
              <w:rPr>
                <w:sz w:val="20"/>
                <w:szCs w:val="20"/>
                <w:lang w:val="fr-FR"/>
              </w:rPr>
              <w:t>10</w:t>
            </w:r>
          </w:p>
        </w:tc>
        <w:tc>
          <w:tcPr>
            <w:tcW w:w="8789" w:type="dxa"/>
            <w:tcBorders>
              <w:top w:val="single" w:sz="6" w:space="0" w:color="auto"/>
              <w:left w:val="single" w:sz="4" w:space="0" w:color="auto"/>
              <w:bottom w:val="single" w:sz="6" w:space="0" w:color="auto"/>
              <w:right w:val="single" w:sz="4" w:space="0" w:color="auto"/>
            </w:tcBorders>
            <w:vAlign w:val="center"/>
          </w:tcPr>
          <w:p w14:paraId="4B85456D" w14:textId="77777777" w:rsidR="00145930" w:rsidRPr="000D5771" w:rsidRDefault="00145930" w:rsidP="004B4875">
            <w:pPr>
              <w:pStyle w:val="TableText0"/>
              <w:rPr>
                <w:sz w:val="20"/>
                <w:szCs w:val="20"/>
                <w:lang w:val="fr-FR"/>
              </w:rPr>
            </w:pPr>
            <w:r w:rsidRPr="000D5771">
              <w:rPr>
                <w:sz w:val="20"/>
                <w:szCs w:val="20"/>
                <w:lang w:val="fr-FR"/>
              </w:rPr>
              <w:t>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0D5771">
              <w:rPr>
                <w:b/>
                <w:bCs/>
                <w:sz w:val="20"/>
                <w:szCs w:val="20"/>
                <w:lang w:val="fr-FR"/>
              </w:rPr>
              <w:t>804 (Rév.CMR-19)</w:t>
            </w:r>
            <w:r w:rsidRPr="000D5771">
              <w:rPr>
                <w:sz w:val="20"/>
                <w:szCs w:val="20"/>
                <w:lang w:val="fr-FR"/>
              </w:rPr>
              <w:t>;</w:t>
            </w:r>
          </w:p>
        </w:tc>
      </w:tr>
      <w:tr w:rsidR="00145930" w:rsidRPr="000D5771" w14:paraId="5C121492" w14:textId="77777777" w:rsidTr="004B4875">
        <w:trPr>
          <w:cantSplit/>
        </w:trPr>
        <w:tc>
          <w:tcPr>
            <w:tcW w:w="1271" w:type="dxa"/>
            <w:tcBorders>
              <w:top w:val="single" w:sz="4" w:space="0" w:color="auto"/>
              <w:left w:val="single" w:sz="4" w:space="0" w:color="auto"/>
              <w:bottom w:val="single" w:sz="4" w:space="0" w:color="auto"/>
              <w:right w:val="single" w:sz="4" w:space="0" w:color="auto"/>
            </w:tcBorders>
            <w:vAlign w:val="center"/>
          </w:tcPr>
          <w:p w14:paraId="7587CBDF" w14:textId="77777777" w:rsidR="00145930" w:rsidRPr="000D5771" w:rsidRDefault="00145930" w:rsidP="004B4875">
            <w:pPr>
              <w:pStyle w:val="TableText0"/>
              <w:rPr>
                <w:sz w:val="20"/>
                <w:szCs w:val="20"/>
                <w:lang w:val="fr-FR"/>
              </w:rPr>
            </w:pPr>
            <w:r w:rsidRPr="000D5771">
              <w:rPr>
                <w:sz w:val="20"/>
                <w:szCs w:val="20"/>
                <w:lang w:val="fr-FR"/>
              </w:rPr>
              <w:lastRenderedPageBreak/>
              <w:t>Question 2</w:t>
            </w:r>
          </w:p>
        </w:tc>
        <w:tc>
          <w:tcPr>
            <w:tcW w:w="8789" w:type="dxa"/>
            <w:tcBorders>
              <w:top w:val="single" w:sz="6" w:space="0" w:color="auto"/>
              <w:left w:val="single" w:sz="4" w:space="0" w:color="auto"/>
              <w:bottom w:val="single" w:sz="6" w:space="0" w:color="auto"/>
              <w:right w:val="single" w:sz="4" w:space="0" w:color="auto"/>
            </w:tcBorders>
            <w:vAlign w:val="center"/>
          </w:tcPr>
          <w:p w14:paraId="75A52890" w14:textId="77777777" w:rsidR="00145930" w:rsidRPr="000D5771" w:rsidRDefault="00145930" w:rsidP="004B4875">
            <w:pPr>
              <w:pStyle w:val="TableText0"/>
              <w:rPr>
                <w:sz w:val="20"/>
                <w:szCs w:val="20"/>
                <w:lang w:val="fr-FR"/>
              </w:rPr>
            </w:pPr>
            <w:r w:rsidRPr="000D5771">
              <w:rPr>
                <w:sz w:val="20"/>
                <w:szCs w:val="20"/>
                <w:lang w:val="fr-FR"/>
              </w:rPr>
              <w:t>Attribution de fréquences et dispositions réglementaires connexes à l'appui de l'utilisation de la bande de fréquences 51,4-52,4 GHz du service fixe par satellite (Terre vers espace) pour les stations terriennes passerelles fonctionnant avec des systèmes non géostationnaires du service fixe par satellite.</w:t>
            </w:r>
          </w:p>
        </w:tc>
      </w:tr>
      <w:tr w:rsidR="00145930" w:rsidRPr="000D5771" w14:paraId="0A481E94" w14:textId="77777777" w:rsidTr="004B4875">
        <w:trPr>
          <w:cantSplit/>
        </w:trPr>
        <w:tc>
          <w:tcPr>
            <w:tcW w:w="1271" w:type="dxa"/>
            <w:tcBorders>
              <w:top w:val="single" w:sz="4" w:space="0" w:color="auto"/>
              <w:left w:val="single" w:sz="4" w:space="0" w:color="auto"/>
              <w:bottom w:val="single" w:sz="4" w:space="0" w:color="auto"/>
              <w:right w:val="single" w:sz="4" w:space="0" w:color="auto"/>
            </w:tcBorders>
            <w:vAlign w:val="center"/>
          </w:tcPr>
          <w:p w14:paraId="3CAC1369" w14:textId="77777777" w:rsidR="00145930" w:rsidRPr="000D5771" w:rsidRDefault="00145930" w:rsidP="004B4875">
            <w:pPr>
              <w:pStyle w:val="TableText0"/>
              <w:rPr>
                <w:sz w:val="20"/>
                <w:szCs w:val="20"/>
                <w:lang w:val="fr-FR"/>
              </w:rPr>
            </w:pPr>
            <w:r w:rsidRPr="000D5771">
              <w:rPr>
                <w:sz w:val="20"/>
                <w:szCs w:val="20"/>
                <w:lang w:val="fr-FR"/>
              </w:rPr>
              <w:t>Question 5</w:t>
            </w:r>
          </w:p>
        </w:tc>
        <w:tc>
          <w:tcPr>
            <w:tcW w:w="8789" w:type="dxa"/>
            <w:tcBorders>
              <w:top w:val="single" w:sz="6" w:space="0" w:color="auto"/>
              <w:left w:val="single" w:sz="4" w:space="0" w:color="auto"/>
              <w:bottom w:val="single" w:sz="6" w:space="0" w:color="auto"/>
              <w:right w:val="single" w:sz="4" w:space="0" w:color="auto"/>
            </w:tcBorders>
            <w:vAlign w:val="center"/>
          </w:tcPr>
          <w:p w14:paraId="30716BFA" w14:textId="77777777" w:rsidR="00145930" w:rsidRPr="000D5771" w:rsidRDefault="00145930" w:rsidP="004B4875">
            <w:pPr>
              <w:pStyle w:val="TableText0"/>
              <w:rPr>
                <w:sz w:val="20"/>
                <w:szCs w:val="20"/>
                <w:lang w:val="fr-FR"/>
              </w:rPr>
            </w:pPr>
            <w:r w:rsidRPr="000D5771">
              <w:rPr>
                <w:sz w:val="20"/>
                <w:szCs w:val="20"/>
                <w:lang w:val="fr-FR"/>
              </w:rPr>
              <w:t>Nouvelles attributions éventuelles au service mobile par satellite dans les bandes de fréquences suivantes proposées:</w:t>
            </w:r>
            <w:r w:rsidRPr="000D5771">
              <w:rPr>
                <w:lang w:val="fr-FR"/>
              </w:rPr>
              <w:t xml:space="preserve"> </w:t>
            </w:r>
            <w:r w:rsidRPr="000D5771">
              <w:rPr>
                <w:sz w:val="20"/>
                <w:szCs w:val="20"/>
                <w:lang w:val="fr-FR"/>
              </w:rPr>
              <w:t>2 010-2 025 MHz (Terre vers espace) et 2 200-2 215 MHz (espace vers Terre).</w:t>
            </w:r>
          </w:p>
        </w:tc>
      </w:tr>
    </w:tbl>
    <w:p w14:paraId="0BC9D58E" w14:textId="77777777" w:rsidR="00145930" w:rsidRPr="000D5771" w:rsidRDefault="00145930" w:rsidP="00145930">
      <w:pPr>
        <w:jc w:val="center"/>
      </w:pPr>
      <w:r w:rsidRPr="000D5771">
        <w:t>______________</w:t>
      </w:r>
    </w:p>
    <w:sectPr w:rsidR="00145930" w:rsidRPr="000D5771">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7AB7" w14:textId="77777777" w:rsidR="00615D20" w:rsidRDefault="00615D20">
      <w:r>
        <w:separator/>
      </w:r>
    </w:p>
  </w:endnote>
  <w:endnote w:type="continuationSeparator" w:id="0">
    <w:p w14:paraId="72263117" w14:textId="77777777" w:rsidR="00615D20" w:rsidRDefault="0061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704A" w14:textId="5A64E812" w:rsidR="00615D20" w:rsidRPr="004E7333" w:rsidRDefault="00615D20">
    <w:pPr>
      <w:rPr>
        <w:lang w:val="es-ES_tradnl"/>
      </w:rPr>
    </w:pPr>
    <w:r>
      <w:fldChar w:fldCharType="begin"/>
    </w:r>
    <w:r w:rsidRPr="004E7333">
      <w:rPr>
        <w:lang w:val="es-ES_tradnl"/>
      </w:rPr>
      <w:instrText xml:space="preserve"> FILENAME \p  \* MERGEFORMAT </w:instrText>
    </w:r>
    <w:r>
      <w:fldChar w:fldCharType="separate"/>
    </w:r>
    <w:r w:rsidR="004E7333" w:rsidRPr="004E7333">
      <w:rPr>
        <w:noProof/>
        <w:lang w:val="es-ES_tradnl"/>
      </w:rPr>
      <w:t>P:\FRA\ITU-R\CONF-R\CMR23\000\087F.docx</w:t>
    </w:r>
    <w:r>
      <w:fldChar w:fldCharType="end"/>
    </w:r>
    <w:r w:rsidRPr="004E7333">
      <w:rPr>
        <w:lang w:val="es-ES_tradnl"/>
      </w:rPr>
      <w:tab/>
    </w:r>
    <w:r>
      <w:fldChar w:fldCharType="begin"/>
    </w:r>
    <w:r>
      <w:instrText xml:space="preserve"> SAVEDATE \@ DD.MM.YY </w:instrText>
    </w:r>
    <w:r>
      <w:fldChar w:fldCharType="separate"/>
    </w:r>
    <w:r w:rsidR="00E77C58">
      <w:rPr>
        <w:noProof/>
      </w:rPr>
      <w:t>11.11.23</w:t>
    </w:r>
    <w:r>
      <w:fldChar w:fldCharType="end"/>
    </w:r>
    <w:r w:rsidRPr="004E7333">
      <w:rPr>
        <w:lang w:val="es-ES_tradnl"/>
      </w:rPr>
      <w:tab/>
    </w:r>
    <w:r>
      <w:fldChar w:fldCharType="begin"/>
    </w:r>
    <w:r>
      <w:instrText xml:space="preserve"> PRINTDATE \@ DD.MM.YY </w:instrText>
    </w:r>
    <w:r>
      <w:fldChar w:fldCharType="separate"/>
    </w:r>
    <w:r w:rsidR="004E7333">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37D0" w14:textId="2EF0C5E6" w:rsidR="00615D20" w:rsidRPr="003C435D" w:rsidRDefault="00615D20" w:rsidP="003E5E3D">
    <w:pPr>
      <w:pStyle w:val="Footer"/>
      <w:rPr>
        <w:lang w:val="es-ES_tradnl"/>
      </w:rPr>
    </w:pPr>
    <w:r>
      <w:fldChar w:fldCharType="begin"/>
    </w:r>
    <w:r w:rsidRPr="003C435D">
      <w:rPr>
        <w:lang w:val="es-ES_tradnl"/>
      </w:rPr>
      <w:instrText xml:space="preserve"> FILENAME \p  \* MERGEFORMAT </w:instrText>
    </w:r>
    <w:r>
      <w:fldChar w:fldCharType="separate"/>
    </w:r>
    <w:r w:rsidR="00145930">
      <w:rPr>
        <w:lang w:val="es-ES_tradnl"/>
      </w:rPr>
      <w:t>P:\FRA\ITU-R\CONF-R\CMR23\000\087F.docx</w:t>
    </w:r>
    <w:r>
      <w:fldChar w:fldCharType="end"/>
    </w:r>
    <w:r w:rsidRPr="003C435D">
      <w:rPr>
        <w:lang w:val="es-ES_tradnl"/>
      </w:rPr>
      <w:t xml:space="preserve"> (529961)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92F0" w14:textId="73E004E6" w:rsidR="00615D20" w:rsidRPr="003C435D" w:rsidRDefault="00615D20" w:rsidP="00800F6A">
    <w:pPr>
      <w:pStyle w:val="Footer"/>
      <w:rPr>
        <w:lang w:val="es-ES_tradnl"/>
      </w:rPr>
    </w:pPr>
    <w:r>
      <w:fldChar w:fldCharType="begin"/>
    </w:r>
    <w:r w:rsidRPr="003C435D">
      <w:rPr>
        <w:lang w:val="es-ES_tradnl"/>
      </w:rPr>
      <w:instrText xml:space="preserve"> FILENAME \p  \* MERGEFORMAT </w:instrText>
    </w:r>
    <w:r>
      <w:fldChar w:fldCharType="separate"/>
    </w:r>
    <w:r w:rsidR="004E7333">
      <w:rPr>
        <w:lang w:val="es-ES_tradnl"/>
      </w:rPr>
      <w:t>P:\FRA\ITU-R\CONF-R\CMR23\000\087F.docx</w:t>
    </w:r>
    <w:r>
      <w:fldChar w:fldCharType="end"/>
    </w:r>
    <w:r w:rsidRPr="003C435D">
      <w:rPr>
        <w:lang w:val="es-ES_tradnl"/>
      </w:rPr>
      <w:t xml:space="preserve"> (529961)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B2CB" w14:textId="77777777" w:rsidR="00615D20" w:rsidRDefault="00615D20">
      <w:r>
        <w:rPr>
          <w:b/>
        </w:rPr>
        <w:t>_______________</w:t>
      </w:r>
    </w:p>
  </w:footnote>
  <w:footnote w:type="continuationSeparator" w:id="0">
    <w:p w14:paraId="519D32D2" w14:textId="77777777" w:rsidR="00615D20" w:rsidRDefault="00615D20">
      <w:r>
        <w:continuationSeparator/>
      </w:r>
    </w:p>
  </w:footnote>
  <w:footnote w:id="1">
    <w:p w14:paraId="6B76F63C" w14:textId="4A4EC6A5" w:rsidR="003C435D" w:rsidRDefault="003C435D">
      <w:pPr>
        <w:pStyle w:val="FootnoteText"/>
      </w:pPr>
      <w:r>
        <w:rPr>
          <w:rStyle w:val="FootnoteReference"/>
        </w:rPr>
        <w:t>1</w:t>
      </w:r>
      <w:r>
        <w:tab/>
        <w:t>Union africaine des télécommunications (</w:t>
      </w:r>
      <w:hyperlink r:id="rId1" w:history="1">
        <w:r w:rsidRPr="00042979">
          <w:rPr>
            <w:rStyle w:val="Hyperlink"/>
          </w:rPr>
          <w:t>https://atuuat.africa/</w:t>
        </w:r>
      </w:hyperlink>
      <w:r w:rsidRPr="00042979">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3EC3" w14:textId="7F84506B" w:rsidR="00615D20" w:rsidRDefault="00615D20" w:rsidP="004F1F8E">
    <w:pPr>
      <w:pStyle w:val="Header"/>
    </w:pPr>
    <w:r>
      <w:fldChar w:fldCharType="begin"/>
    </w:r>
    <w:r>
      <w:instrText xml:space="preserve"> PAGE </w:instrText>
    </w:r>
    <w:r>
      <w:fldChar w:fldCharType="separate"/>
    </w:r>
    <w:r w:rsidR="00744CEA">
      <w:rPr>
        <w:noProof/>
      </w:rPr>
      <w:t>2</w:t>
    </w:r>
    <w:r>
      <w:fldChar w:fldCharType="end"/>
    </w:r>
  </w:p>
  <w:p w14:paraId="4C969981" w14:textId="09130F3A" w:rsidR="00615D20" w:rsidRDefault="00615D20" w:rsidP="00587A4E">
    <w:pPr>
      <w:pStyle w:val="Header"/>
    </w:pPr>
    <w:r>
      <w:t>WRC23/87-F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61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8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14D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E044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1075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C9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C4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FAAA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1082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EE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5935DB8"/>
    <w:multiLevelType w:val="hybridMultilevel"/>
    <w:tmpl w:val="336C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047E6"/>
    <w:multiLevelType w:val="multilevel"/>
    <w:tmpl w:val="072EC516"/>
    <w:lvl w:ilvl="0">
      <w:numFmt w:val="bullet"/>
      <w:lvlText w:val="❑"/>
      <w:lvlJc w:val="left"/>
      <w:pPr>
        <w:ind w:left="828" w:hanging="360"/>
      </w:pPr>
      <w:rPr>
        <w:rFonts w:ascii="Noto Sans Symbols" w:eastAsia="Noto Sans Symbols" w:hAnsi="Noto Sans Symbols" w:cs="Noto Sans Symbols"/>
        <w:sz w:val="20"/>
        <w:szCs w:val="20"/>
      </w:rPr>
    </w:lvl>
    <w:lvl w:ilvl="1">
      <w:numFmt w:val="bullet"/>
      <w:lvlText w:val="•"/>
      <w:lvlJc w:val="left"/>
      <w:pPr>
        <w:ind w:left="1548" w:hanging="360"/>
      </w:pPr>
      <w:rPr>
        <w:rFonts w:ascii="Arial" w:eastAsia="Arial" w:hAnsi="Arial" w:cs="Arial"/>
        <w:sz w:val="20"/>
        <w:szCs w:val="20"/>
      </w:rPr>
    </w:lvl>
    <w:lvl w:ilvl="2">
      <w:numFmt w:val="bullet"/>
      <w:lvlText w:val="•"/>
      <w:lvlJc w:val="left"/>
      <w:pPr>
        <w:ind w:left="2186" w:hanging="360"/>
      </w:pPr>
    </w:lvl>
    <w:lvl w:ilvl="3">
      <w:numFmt w:val="bullet"/>
      <w:lvlText w:val="•"/>
      <w:lvlJc w:val="left"/>
      <w:pPr>
        <w:ind w:left="2833" w:hanging="360"/>
      </w:pPr>
    </w:lvl>
    <w:lvl w:ilvl="4">
      <w:numFmt w:val="bullet"/>
      <w:lvlText w:val="•"/>
      <w:lvlJc w:val="left"/>
      <w:pPr>
        <w:ind w:left="3480" w:hanging="360"/>
      </w:pPr>
    </w:lvl>
    <w:lvl w:ilvl="5">
      <w:numFmt w:val="bullet"/>
      <w:lvlText w:val="•"/>
      <w:lvlJc w:val="left"/>
      <w:pPr>
        <w:ind w:left="4127" w:hanging="360"/>
      </w:pPr>
    </w:lvl>
    <w:lvl w:ilvl="6">
      <w:numFmt w:val="bullet"/>
      <w:lvlText w:val="•"/>
      <w:lvlJc w:val="left"/>
      <w:pPr>
        <w:ind w:left="4773" w:hanging="360"/>
      </w:pPr>
    </w:lvl>
    <w:lvl w:ilvl="7">
      <w:numFmt w:val="bullet"/>
      <w:lvlText w:val="•"/>
      <w:lvlJc w:val="left"/>
      <w:pPr>
        <w:ind w:left="5420" w:hanging="360"/>
      </w:pPr>
    </w:lvl>
    <w:lvl w:ilvl="8">
      <w:numFmt w:val="bullet"/>
      <w:lvlText w:val="•"/>
      <w:lvlJc w:val="left"/>
      <w:pPr>
        <w:ind w:left="6067" w:hanging="360"/>
      </w:pPr>
    </w:lvl>
  </w:abstractNum>
  <w:num w:numId="1" w16cid:durableId="297036837">
    <w:abstractNumId w:val="8"/>
  </w:num>
  <w:num w:numId="2" w16cid:durableId="1449784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3391430">
    <w:abstractNumId w:val="12"/>
  </w:num>
  <w:num w:numId="4" w16cid:durableId="543176302">
    <w:abstractNumId w:val="11"/>
  </w:num>
  <w:num w:numId="5" w16cid:durableId="436366563">
    <w:abstractNumId w:val="9"/>
  </w:num>
  <w:num w:numId="6" w16cid:durableId="1275751125">
    <w:abstractNumId w:val="7"/>
  </w:num>
  <w:num w:numId="7" w16cid:durableId="293220316">
    <w:abstractNumId w:val="6"/>
  </w:num>
  <w:num w:numId="8" w16cid:durableId="256328753">
    <w:abstractNumId w:val="5"/>
  </w:num>
  <w:num w:numId="9" w16cid:durableId="440298008">
    <w:abstractNumId w:val="4"/>
  </w:num>
  <w:num w:numId="10" w16cid:durableId="1969629659">
    <w:abstractNumId w:val="8"/>
  </w:num>
  <w:num w:numId="11" w16cid:durableId="820194552">
    <w:abstractNumId w:val="3"/>
  </w:num>
  <w:num w:numId="12" w16cid:durableId="799566737">
    <w:abstractNumId w:val="2"/>
  </w:num>
  <w:num w:numId="13" w16cid:durableId="23137074">
    <w:abstractNumId w:val="1"/>
  </w:num>
  <w:num w:numId="14" w16cid:durableId="848495053">
    <w:abstractNumId w:val="0"/>
  </w:num>
  <w:num w:numId="15" w16cid:durableId="1260065271">
    <w:abstractNumId w:val="9"/>
  </w:num>
  <w:num w:numId="16" w16cid:durableId="1106733614">
    <w:abstractNumId w:val="7"/>
  </w:num>
  <w:num w:numId="17" w16cid:durableId="472989000">
    <w:abstractNumId w:val="6"/>
  </w:num>
  <w:num w:numId="18" w16cid:durableId="116684752">
    <w:abstractNumId w:val="5"/>
  </w:num>
  <w:num w:numId="19" w16cid:durableId="1017080153">
    <w:abstractNumId w:val="4"/>
  </w:num>
  <w:num w:numId="20" w16cid:durableId="1522434024">
    <w:abstractNumId w:val="8"/>
  </w:num>
  <w:num w:numId="21" w16cid:durableId="329606909">
    <w:abstractNumId w:val="3"/>
  </w:num>
  <w:num w:numId="22" w16cid:durableId="564338295">
    <w:abstractNumId w:val="2"/>
  </w:num>
  <w:num w:numId="23" w16cid:durableId="336927049">
    <w:abstractNumId w:val="1"/>
  </w:num>
  <w:num w:numId="24" w16cid:durableId="57678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92"/>
    <w:rsid w:val="00016648"/>
    <w:rsid w:val="00031728"/>
    <w:rsid w:val="0003522F"/>
    <w:rsid w:val="00042979"/>
    <w:rsid w:val="00055776"/>
    <w:rsid w:val="0006298B"/>
    <w:rsid w:val="00080E2C"/>
    <w:rsid w:val="00087828"/>
    <w:rsid w:val="000A4755"/>
    <w:rsid w:val="000B1BF7"/>
    <w:rsid w:val="000B2E0C"/>
    <w:rsid w:val="000B3D0C"/>
    <w:rsid w:val="000D5771"/>
    <w:rsid w:val="000E0D58"/>
    <w:rsid w:val="000E4220"/>
    <w:rsid w:val="001007B9"/>
    <w:rsid w:val="001167B9"/>
    <w:rsid w:val="001267A0"/>
    <w:rsid w:val="00126FE8"/>
    <w:rsid w:val="0012798A"/>
    <w:rsid w:val="0013234A"/>
    <w:rsid w:val="00132427"/>
    <w:rsid w:val="001341B7"/>
    <w:rsid w:val="00134655"/>
    <w:rsid w:val="00135486"/>
    <w:rsid w:val="00145930"/>
    <w:rsid w:val="00154FDE"/>
    <w:rsid w:val="00155AD8"/>
    <w:rsid w:val="001562E5"/>
    <w:rsid w:val="00160C64"/>
    <w:rsid w:val="0019352B"/>
    <w:rsid w:val="001960D0"/>
    <w:rsid w:val="001A7D8F"/>
    <w:rsid w:val="001C2BBB"/>
    <w:rsid w:val="001D1FB2"/>
    <w:rsid w:val="0020139D"/>
    <w:rsid w:val="00203283"/>
    <w:rsid w:val="002101C1"/>
    <w:rsid w:val="00232FD2"/>
    <w:rsid w:val="00235CE6"/>
    <w:rsid w:val="00240B97"/>
    <w:rsid w:val="002A24B6"/>
    <w:rsid w:val="002A4622"/>
    <w:rsid w:val="002B17E5"/>
    <w:rsid w:val="002B47A4"/>
    <w:rsid w:val="002B7DC9"/>
    <w:rsid w:val="002C0EBF"/>
    <w:rsid w:val="002C5FCD"/>
    <w:rsid w:val="002E400A"/>
    <w:rsid w:val="002F6179"/>
    <w:rsid w:val="002F671F"/>
    <w:rsid w:val="002F74C1"/>
    <w:rsid w:val="003053E4"/>
    <w:rsid w:val="003070B3"/>
    <w:rsid w:val="00315AFE"/>
    <w:rsid w:val="00317889"/>
    <w:rsid w:val="003356C6"/>
    <w:rsid w:val="00343961"/>
    <w:rsid w:val="003606A6"/>
    <w:rsid w:val="00360730"/>
    <w:rsid w:val="00363DBC"/>
    <w:rsid w:val="0036466F"/>
    <w:rsid w:val="0036650C"/>
    <w:rsid w:val="003856D9"/>
    <w:rsid w:val="003A196B"/>
    <w:rsid w:val="003A466C"/>
    <w:rsid w:val="003A583E"/>
    <w:rsid w:val="003B082F"/>
    <w:rsid w:val="003B1F69"/>
    <w:rsid w:val="003B3395"/>
    <w:rsid w:val="003C197E"/>
    <w:rsid w:val="003C356C"/>
    <w:rsid w:val="003C435D"/>
    <w:rsid w:val="003C66D1"/>
    <w:rsid w:val="003C6C48"/>
    <w:rsid w:val="003D54D1"/>
    <w:rsid w:val="003E112B"/>
    <w:rsid w:val="003E4FE0"/>
    <w:rsid w:val="003E5E3D"/>
    <w:rsid w:val="003F1592"/>
    <w:rsid w:val="003F6832"/>
    <w:rsid w:val="00412881"/>
    <w:rsid w:val="00413036"/>
    <w:rsid w:val="00416F68"/>
    <w:rsid w:val="004244F2"/>
    <w:rsid w:val="0044382F"/>
    <w:rsid w:val="00443D26"/>
    <w:rsid w:val="00456B76"/>
    <w:rsid w:val="00457428"/>
    <w:rsid w:val="00466211"/>
    <w:rsid w:val="00471873"/>
    <w:rsid w:val="004774DE"/>
    <w:rsid w:val="00477EC5"/>
    <w:rsid w:val="004A66C8"/>
    <w:rsid w:val="004B19DD"/>
    <w:rsid w:val="004C540D"/>
    <w:rsid w:val="004C5CEE"/>
    <w:rsid w:val="004C7707"/>
    <w:rsid w:val="004D01FC"/>
    <w:rsid w:val="004D6ED9"/>
    <w:rsid w:val="004E28C3"/>
    <w:rsid w:val="004E47A0"/>
    <w:rsid w:val="004E7333"/>
    <w:rsid w:val="004F1F8E"/>
    <w:rsid w:val="00500C87"/>
    <w:rsid w:val="0053186A"/>
    <w:rsid w:val="00536AC5"/>
    <w:rsid w:val="005408F2"/>
    <w:rsid w:val="005566F1"/>
    <w:rsid w:val="00564728"/>
    <w:rsid w:val="00567789"/>
    <w:rsid w:val="0057020A"/>
    <w:rsid w:val="00570431"/>
    <w:rsid w:val="00574D6C"/>
    <w:rsid w:val="0058498A"/>
    <w:rsid w:val="00584FF8"/>
    <w:rsid w:val="00586CF2"/>
    <w:rsid w:val="00587A4E"/>
    <w:rsid w:val="00593D02"/>
    <w:rsid w:val="00594469"/>
    <w:rsid w:val="005A21B6"/>
    <w:rsid w:val="005C3768"/>
    <w:rsid w:val="005C6C3F"/>
    <w:rsid w:val="00603A20"/>
    <w:rsid w:val="00604CC2"/>
    <w:rsid w:val="0061141A"/>
    <w:rsid w:val="00613635"/>
    <w:rsid w:val="00613B30"/>
    <w:rsid w:val="0061401A"/>
    <w:rsid w:val="00615D20"/>
    <w:rsid w:val="00620924"/>
    <w:rsid w:val="0062093D"/>
    <w:rsid w:val="006316B9"/>
    <w:rsid w:val="00637ECF"/>
    <w:rsid w:val="00642A14"/>
    <w:rsid w:val="00647B59"/>
    <w:rsid w:val="00654E39"/>
    <w:rsid w:val="0069158C"/>
    <w:rsid w:val="00694D9B"/>
    <w:rsid w:val="006972EB"/>
    <w:rsid w:val="006A0482"/>
    <w:rsid w:val="006C4C9D"/>
    <w:rsid w:val="006D4F97"/>
    <w:rsid w:val="006E21B9"/>
    <w:rsid w:val="006F7F9D"/>
    <w:rsid w:val="007006C5"/>
    <w:rsid w:val="00701BAE"/>
    <w:rsid w:val="007033AC"/>
    <w:rsid w:val="00704427"/>
    <w:rsid w:val="00717F65"/>
    <w:rsid w:val="00720560"/>
    <w:rsid w:val="00730E95"/>
    <w:rsid w:val="0073707A"/>
    <w:rsid w:val="00741525"/>
    <w:rsid w:val="00744CEA"/>
    <w:rsid w:val="0075521F"/>
    <w:rsid w:val="00766691"/>
    <w:rsid w:val="00774362"/>
    <w:rsid w:val="00791841"/>
    <w:rsid w:val="007A04E8"/>
    <w:rsid w:val="007A6528"/>
    <w:rsid w:val="007B34B4"/>
    <w:rsid w:val="007C0A1D"/>
    <w:rsid w:val="00800F6A"/>
    <w:rsid w:val="00805B09"/>
    <w:rsid w:val="00814623"/>
    <w:rsid w:val="0084553F"/>
    <w:rsid w:val="00886CAD"/>
    <w:rsid w:val="00893412"/>
    <w:rsid w:val="008A3120"/>
    <w:rsid w:val="008A3548"/>
    <w:rsid w:val="008C000E"/>
    <w:rsid w:val="008C2F19"/>
    <w:rsid w:val="008D39AA"/>
    <w:rsid w:val="008D41BE"/>
    <w:rsid w:val="008D58D3"/>
    <w:rsid w:val="008D6821"/>
    <w:rsid w:val="008F19D1"/>
    <w:rsid w:val="008F2C65"/>
    <w:rsid w:val="00903A2D"/>
    <w:rsid w:val="009061C1"/>
    <w:rsid w:val="00907674"/>
    <w:rsid w:val="0091038E"/>
    <w:rsid w:val="00913168"/>
    <w:rsid w:val="00917F98"/>
    <w:rsid w:val="00923064"/>
    <w:rsid w:val="00926709"/>
    <w:rsid w:val="00936D25"/>
    <w:rsid w:val="00941B46"/>
    <w:rsid w:val="00941EA5"/>
    <w:rsid w:val="0094554B"/>
    <w:rsid w:val="0096178D"/>
    <w:rsid w:val="00966C16"/>
    <w:rsid w:val="009765A8"/>
    <w:rsid w:val="00976998"/>
    <w:rsid w:val="0098732F"/>
    <w:rsid w:val="009955AC"/>
    <w:rsid w:val="00996A3B"/>
    <w:rsid w:val="009C7E7C"/>
    <w:rsid w:val="009D3DF5"/>
    <w:rsid w:val="009E2ECD"/>
    <w:rsid w:val="009E51E7"/>
    <w:rsid w:val="009F7479"/>
    <w:rsid w:val="00A00473"/>
    <w:rsid w:val="00A03C9B"/>
    <w:rsid w:val="00A140A5"/>
    <w:rsid w:val="00A31BBB"/>
    <w:rsid w:val="00A37C63"/>
    <w:rsid w:val="00A42E2E"/>
    <w:rsid w:val="00A5790E"/>
    <w:rsid w:val="00A606C3"/>
    <w:rsid w:val="00A65B5B"/>
    <w:rsid w:val="00A834DE"/>
    <w:rsid w:val="00A83B09"/>
    <w:rsid w:val="00A84541"/>
    <w:rsid w:val="00AA3A0B"/>
    <w:rsid w:val="00AB5910"/>
    <w:rsid w:val="00AE36A0"/>
    <w:rsid w:val="00B00294"/>
    <w:rsid w:val="00B009B8"/>
    <w:rsid w:val="00B05B00"/>
    <w:rsid w:val="00B0782A"/>
    <w:rsid w:val="00B12843"/>
    <w:rsid w:val="00B21E7C"/>
    <w:rsid w:val="00B23EDF"/>
    <w:rsid w:val="00B315C7"/>
    <w:rsid w:val="00B369E6"/>
    <w:rsid w:val="00B4245F"/>
    <w:rsid w:val="00B42F56"/>
    <w:rsid w:val="00B64FD0"/>
    <w:rsid w:val="00B87811"/>
    <w:rsid w:val="00B91992"/>
    <w:rsid w:val="00B94030"/>
    <w:rsid w:val="00BB1B2D"/>
    <w:rsid w:val="00BB74CA"/>
    <w:rsid w:val="00BC114C"/>
    <w:rsid w:val="00BE12FF"/>
    <w:rsid w:val="00BF10A8"/>
    <w:rsid w:val="00BF26E7"/>
    <w:rsid w:val="00BF7729"/>
    <w:rsid w:val="00BF7BE6"/>
    <w:rsid w:val="00C01C69"/>
    <w:rsid w:val="00C02F81"/>
    <w:rsid w:val="00C17829"/>
    <w:rsid w:val="00C378DD"/>
    <w:rsid w:val="00C45044"/>
    <w:rsid w:val="00C526A8"/>
    <w:rsid w:val="00C57C09"/>
    <w:rsid w:val="00C640BA"/>
    <w:rsid w:val="00C65D67"/>
    <w:rsid w:val="00C814B9"/>
    <w:rsid w:val="00C828D8"/>
    <w:rsid w:val="00CB5D73"/>
    <w:rsid w:val="00CD2C02"/>
    <w:rsid w:val="00CD3928"/>
    <w:rsid w:val="00CD516F"/>
    <w:rsid w:val="00CE2C8D"/>
    <w:rsid w:val="00CE6A1C"/>
    <w:rsid w:val="00CF489A"/>
    <w:rsid w:val="00D119A7"/>
    <w:rsid w:val="00D132B4"/>
    <w:rsid w:val="00D24F90"/>
    <w:rsid w:val="00D25FBA"/>
    <w:rsid w:val="00D303F8"/>
    <w:rsid w:val="00D32C08"/>
    <w:rsid w:val="00D43129"/>
    <w:rsid w:val="00D54724"/>
    <w:rsid w:val="00D66EAC"/>
    <w:rsid w:val="00D730DF"/>
    <w:rsid w:val="00D772F0"/>
    <w:rsid w:val="00D77BDC"/>
    <w:rsid w:val="00D8241C"/>
    <w:rsid w:val="00D912DF"/>
    <w:rsid w:val="00D960AF"/>
    <w:rsid w:val="00DB1FB8"/>
    <w:rsid w:val="00DB6274"/>
    <w:rsid w:val="00DC24D2"/>
    <w:rsid w:val="00DC402B"/>
    <w:rsid w:val="00DD06A6"/>
    <w:rsid w:val="00DE0932"/>
    <w:rsid w:val="00DE43C5"/>
    <w:rsid w:val="00DF143B"/>
    <w:rsid w:val="00E049F1"/>
    <w:rsid w:val="00E20828"/>
    <w:rsid w:val="00E22EB5"/>
    <w:rsid w:val="00E2383B"/>
    <w:rsid w:val="00E37A25"/>
    <w:rsid w:val="00E66997"/>
    <w:rsid w:val="00E6704A"/>
    <w:rsid w:val="00E70A31"/>
    <w:rsid w:val="00E7386F"/>
    <w:rsid w:val="00E73FB8"/>
    <w:rsid w:val="00E75229"/>
    <w:rsid w:val="00E77C58"/>
    <w:rsid w:val="00E80683"/>
    <w:rsid w:val="00E83C78"/>
    <w:rsid w:val="00E856DA"/>
    <w:rsid w:val="00E87DAE"/>
    <w:rsid w:val="00E977A2"/>
    <w:rsid w:val="00EA01FA"/>
    <w:rsid w:val="00EA3F38"/>
    <w:rsid w:val="00EA5AB6"/>
    <w:rsid w:val="00EA7221"/>
    <w:rsid w:val="00EB48AB"/>
    <w:rsid w:val="00EC719E"/>
    <w:rsid w:val="00EC7615"/>
    <w:rsid w:val="00EC7D17"/>
    <w:rsid w:val="00ED16AA"/>
    <w:rsid w:val="00ED4B68"/>
    <w:rsid w:val="00ED66CC"/>
    <w:rsid w:val="00ED7389"/>
    <w:rsid w:val="00EF217A"/>
    <w:rsid w:val="00EF4826"/>
    <w:rsid w:val="00EF662E"/>
    <w:rsid w:val="00F016E4"/>
    <w:rsid w:val="00F148F1"/>
    <w:rsid w:val="00F25E93"/>
    <w:rsid w:val="00F30CDD"/>
    <w:rsid w:val="00F36C03"/>
    <w:rsid w:val="00F372DE"/>
    <w:rsid w:val="00F43960"/>
    <w:rsid w:val="00F94A97"/>
    <w:rsid w:val="00F9722E"/>
    <w:rsid w:val="00FA3BBF"/>
    <w:rsid w:val="00FC0101"/>
    <w:rsid w:val="00FC1C4E"/>
    <w:rsid w:val="00FC2285"/>
    <w:rsid w:val="00FC320B"/>
    <w:rsid w:val="00FC41F8"/>
    <w:rsid w:val="00FC4ADC"/>
    <w:rsid w:val="00FD1BC5"/>
    <w:rsid w:val="00FE671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9E745"/>
  <w15:docId w15:val="{228A41F3-8576-4334-AC1E-45B04DD5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link w:val="enumlev1Char"/>
    <w:qFormat/>
    <w:rsid w:val="00FC4ADC"/>
    <w:pPr>
      <w:tabs>
        <w:tab w:val="clear" w:pos="2268"/>
        <w:tab w:val="left" w:pos="2608"/>
        <w:tab w:val="left" w:pos="3345"/>
      </w:tabs>
      <w:spacing w:before="80"/>
      <w:ind w:left="1134" w:hanging="1134"/>
    </w:pPr>
  </w:style>
  <w:style w:type="paragraph" w:customStyle="1" w:styleId="enumlev2">
    <w:name w:val="enumlev2"/>
    <w:basedOn w:val="enumlev1"/>
    <w:link w:val="enumlev2Char"/>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sid w:val="00FC4ADC"/>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link w:val="NoteChar"/>
    <w:qFormat/>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qFormat/>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uiPriority w:val="39"/>
    <w:qFormat/>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CommentReference">
    <w:name w:val="annotation reference"/>
    <w:basedOn w:val="DefaultParagraphFont"/>
    <w:semiHidden/>
    <w:unhideWhenUsed/>
    <w:rsid w:val="00412881"/>
    <w:rPr>
      <w:sz w:val="16"/>
      <w:szCs w:val="16"/>
    </w:rPr>
  </w:style>
  <w:style w:type="paragraph" w:styleId="CommentText">
    <w:name w:val="annotation text"/>
    <w:basedOn w:val="Normal"/>
    <w:link w:val="CommentTextChar"/>
    <w:unhideWhenUsed/>
    <w:rsid w:val="00412881"/>
    <w:rPr>
      <w:sz w:val="20"/>
    </w:rPr>
  </w:style>
  <w:style w:type="character" w:customStyle="1" w:styleId="CommentTextChar">
    <w:name w:val="Comment Text Char"/>
    <w:basedOn w:val="DefaultParagraphFont"/>
    <w:link w:val="CommentText"/>
    <w:rsid w:val="0041288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12881"/>
    <w:rPr>
      <w:b/>
      <w:bCs/>
    </w:rPr>
  </w:style>
  <w:style w:type="character" w:customStyle="1" w:styleId="CommentSubjectChar">
    <w:name w:val="Comment Subject Char"/>
    <w:basedOn w:val="CommentTextChar"/>
    <w:link w:val="CommentSubject"/>
    <w:semiHidden/>
    <w:rsid w:val="00412881"/>
    <w:rPr>
      <w:rFonts w:ascii="Times New Roman" w:hAnsi="Times New Roman"/>
      <w:b/>
      <w:bCs/>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613B30"/>
    <w:rPr>
      <w:rFonts w:ascii="Times New Roman" w:hAnsi="Times New Roman"/>
      <w:sz w:val="24"/>
      <w:lang w:val="fr-FR" w:eastAsia="en-US"/>
    </w:rPr>
  </w:style>
  <w:style w:type="paragraph" w:customStyle="1" w:styleId="TableText0">
    <w:name w:val="Table_Text"/>
    <w:basedOn w:val="Normal"/>
    <w:link w:val="TableTextChar0"/>
    <w:rsid w:val="00613B3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TextChar0">
    <w:name w:val="Table_Text Char"/>
    <w:basedOn w:val="DefaultParagraphFont"/>
    <w:link w:val="TableText0"/>
    <w:locked/>
    <w:rsid w:val="00613B30"/>
    <w:rPr>
      <w:rFonts w:ascii="Times New Roman" w:hAnsi="Times New Roman" w:cs="Angsana New"/>
      <w:sz w:val="22"/>
      <w:szCs w:val="22"/>
      <w:lang w:val="es-ES_tradnl" w:eastAsia="en-US"/>
    </w:rPr>
  </w:style>
  <w:style w:type="paragraph" w:customStyle="1" w:styleId="TableHead0">
    <w:name w:val="Table_Head"/>
    <w:basedOn w:val="TableText0"/>
    <w:rsid w:val="00613B3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character" w:customStyle="1" w:styleId="NoteChar">
    <w:name w:val="Note Char"/>
    <w:basedOn w:val="DefaultParagraphFont"/>
    <w:link w:val="Note"/>
    <w:qFormat/>
    <w:locked/>
    <w:rsid w:val="00A65B5B"/>
    <w:rPr>
      <w:rFonts w:ascii="Times New Roman" w:hAnsi="Times New Roman"/>
      <w:sz w:val="24"/>
      <w:lang w:val="fr-FR" w:eastAsia="en-US"/>
    </w:rPr>
  </w:style>
  <w:style w:type="character" w:customStyle="1" w:styleId="enumlev1Char">
    <w:name w:val="enumlev1 Char"/>
    <w:link w:val="enumlev1"/>
    <w:qFormat/>
    <w:locked/>
    <w:rsid w:val="00A65B5B"/>
    <w:rPr>
      <w:rFonts w:ascii="Times New Roman" w:hAnsi="Times New Roman"/>
      <w:sz w:val="24"/>
      <w:lang w:val="fr-FR" w:eastAsia="en-US"/>
    </w:rPr>
  </w:style>
  <w:style w:type="character" w:customStyle="1" w:styleId="TabletextChar">
    <w:name w:val="Table_text Char"/>
    <w:basedOn w:val="DefaultParagraphFont"/>
    <w:link w:val="Tabletext"/>
    <w:qFormat/>
    <w:locked/>
    <w:rsid w:val="00C57C09"/>
    <w:rPr>
      <w:rFonts w:ascii="Times New Roman" w:hAnsi="Times New Roman"/>
      <w:lang w:val="fr-FR" w:eastAsia="en-US"/>
    </w:rPr>
  </w:style>
  <w:style w:type="character" w:customStyle="1" w:styleId="TableheadChar">
    <w:name w:val="Table_head Char"/>
    <w:basedOn w:val="DefaultParagraphFont"/>
    <w:link w:val="Tablehead"/>
    <w:qFormat/>
    <w:locked/>
    <w:rsid w:val="00C57C09"/>
    <w:rPr>
      <w:rFonts w:ascii="Times New Roman" w:hAnsi="Times New Roman"/>
      <w:b/>
      <w:lang w:val="fr-FR" w:eastAsia="en-US"/>
    </w:rPr>
  </w:style>
  <w:style w:type="character" w:customStyle="1" w:styleId="enumlev2Char">
    <w:name w:val="enumlev2 Char"/>
    <w:basedOn w:val="DefaultParagraphFont"/>
    <w:link w:val="enumlev2"/>
    <w:rsid w:val="003356C6"/>
    <w:rPr>
      <w:rFonts w:ascii="Times New Roman" w:hAnsi="Times New Roman"/>
      <w:sz w:val="24"/>
      <w:lang w:val="fr-FR" w:eastAsia="en-US"/>
    </w:rPr>
  </w:style>
  <w:style w:type="character" w:styleId="Hyperlink">
    <w:name w:val="Hyperlink"/>
    <w:uiPriority w:val="99"/>
    <w:rsid w:val="00042979"/>
    <w:rPr>
      <w:color w:val="0000FF"/>
      <w:u w:val="single"/>
    </w:rPr>
  </w:style>
  <w:style w:type="paragraph" w:styleId="Revision">
    <w:name w:val="Revision"/>
    <w:hidden/>
    <w:uiPriority w:val="99"/>
    <w:semiHidden/>
    <w:rsid w:val="00343961"/>
    <w:rPr>
      <w:rFonts w:ascii="Times New Roman" w:hAnsi="Times New Roman"/>
      <w:sz w:val="24"/>
      <w:lang w:val="fr-FR" w:eastAsia="en-US"/>
    </w:rPr>
  </w:style>
  <w:style w:type="paragraph" w:styleId="BalloonText">
    <w:name w:val="Balloon Text"/>
    <w:basedOn w:val="Normal"/>
    <w:link w:val="BalloonTextChar"/>
    <w:semiHidden/>
    <w:unhideWhenUsed/>
    <w:rsid w:val="0034396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3961"/>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145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tuuat.af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tte\AppData\Roaming\Microsoft\Templates\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6D10-3D43-4DD2-84D4-D2077B6E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PF_WRC23.dotx</Template>
  <TotalTime>258</TotalTime>
  <Pages>36</Pages>
  <Words>16364</Words>
  <Characters>93275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109421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13</cp:revision>
  <cp:lastPrinted>2003-06-05T19:34:00Z</cp:lastPrinted>
  <dcterms:created xsi:type="dcterms:W3CDTF">2023-11-10T15:00:00Z</dcterms:created>
  <dcterms:modified xsi:type="dcterms:W3CDTF">2023-11-13T18:37:00Z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