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027"/>
        <w:gridCol w:w="2093"/>
      </w:tblGrid>
      <w:tr w:rsidR="006A1999" w:rsidRPr="008758A9" w14:paraId="6D187627" w14:textId="77777777" w:rsidTr="00D82664">
        <w:trPr>
          <w:cantSplit/>
        </w:trPr>
        <w:tc>
          <w:tcPr>
            <w:tcW w:w="1418" w:type="dxa"/>
            <w:vAlign w:val="center"/>
          </w:tcPr>
          <w:p w14:paraId="7EE21505" w14:textId="77777777" w:rsidR="006A1999" w:rsidRPr="008758A9" w:rsidRDefault="006A1999" w:rsidP="00D82664">
            <w:pPr>
              <w:spacing w:before="0" w:after="100" w:afterAutospacing="1" w:line="240" w:lineRule="atLeast"/>
              <w:rPr>
                <w:rFonts w:ascii="Verdana" w:hAnsi="Verdana"/>
                <w:position w:val="6"/>
              </w:rPr>
            </w:pPr>
            <w:r w:rsidRPr="008758A9">
              <w:rPr>
                <w:noProof/>
              </w:rPr>
              <w:drawing>
                <wp:inline distT="0" distB="0" distL="0" distR="0" wp14:anchorId="763AD1CE" wp14:editId="498FC824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424D6823" w14:textId="77777777" w:rsidR="006A1999" w:rsidRPr="008758A9" w:rsidRDefault="006A1999" w:rsidP="00D8266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758A9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(CMR-23)</w:t>
            </w:r>
            <w:r w:rsidRPr="008758A9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758A9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Dubái, 20 de noviembre - 15 de diciembre de 2023</w:t>
            </w:r>
          </w:p>
        </w:tc>
        <w:tc>
          <w:tcPr>
            <w:tcW w:w="2093" w:type="dxa"/>
            <w:vAlign w:val="center"/>
          </w:tcPr>
          <w:p w14:paraId="2EA0E25B" w14:textId="77777777" w:rsidR="006A1999" w:rsidRPr="008758A9" w:rsidRDefault="006A1999" w:rsidP="00D82664">
            <w:pPr>
              <w:spacing w:before="0" w:line="240" w:lineRule="atLeast"/>
            </w:pPr>
            <w:bookmarkStart w:id="0" w:name="ditulogo"/>
            <w:bookmarkEnd w:id="0"/>
            <w:r w:rsidRPr="008758A9">
              <w:rPr>
                <w:noProof/>
              </w:rPr>
              <w:drawing>
                <wp:inline distT="0" distB="0" distL="0" distR="0" wp14:anchorId="2BFDF41B" wp14:editId="488A8048">
                  <wp:extent cx="1003465" cy="1003465"/>
                  <wp:effectExtent l="0" t="0" r="0" b="0"/>
                  <wp:docPr id="3" name="Picture 3" descr="A black background with a red green and blue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black background with a red green and blue lin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527" cy="1008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999" w:rsidRPr="008758A9" w14:paraId="7AF21350" w14:textId="77777777" w:rsidTr="00D82664">
        <w:trPr>
          <w:cantSplit/>
        </w:trPr>
        <w:tc>
          <w:tcPr>
            <w:tcW w:w="10031" w:type="dxa"/>
            <w:gridSpan w:val="4"/>
            <w:tcBorders>
              <w:bottom w:val="single" w:sz="12" w:space="0" w:color="auto"/>
            </w:tcBorders>
          </w:tcPr>
          <w:p w14:paraId="5E799FBE" w14:textId="77777777" w:rsidR="006A1999" w:rsidRPr="008758A9" w:rsidRDefault="006A1999" w:rsidP="00D82664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</w:p>
        </w:tc>
      </w:tr>
      <w:tr w:rsidR="006A1999" w:rsidRPr="008758A9" w14:paraId="4F00AA06" w14:textId="77777777" w:rsidTr="00D82664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33DBD55B" w14:textId="77777777" w:rsidR="006A1999" w:rsidRPr="008758A9" w:rsidRDefault="006A1999" w:rsidP="00D82664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1394D01D" w14:textId="77777777" w:rsidR="006A1999" w:rsidRPr="008758A9" w:rsidRDefault="006A1999" w:rsidP="00D82664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6A1999" w:rsidRPr="008758A9" w14:paraId="7E4A3593" w14:textId="77777777" w:rsidTr="00D82664">
        <w:trPr>
          <w:cantSplit/>
          <w:trHeight w:val="23"/>
        </w:trPr>
        <w:tc>
          <w:tcPr>
            <w:tcW w:w="6911" w:type="dxa"/>
            <w:gridSpan w:val="2"/>
            <w:vMerge w:val="restart"/>
          </w:tcPr>
          <w:p w14:paraId="67877893" w14:textId="77777777" w:rsidR="006A1999" w:rsidRPr="008758A9" w:rsidRDefault="006A1999" w:rsidP="00D82664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758A9">
              <w:rPr>
                <w:rFonts w:ascii="Verdana" w:hAnsi="Verdana"/>
                <w:b/>
                <w:bCs/>
                <w:sz w:val="20"/>
              </w:rPr>
              <w:t>SESIÓN PLENARIA</w:t>
            </w:r>
          </w:p>
        </w:tc>
        <w:tc>
          <w:tcPr>
            <w:tcW w:w="3120" w:type="dxa"/>
            <w:gridSpan w:val="2"/>
          </w:tcPr>
          <w:p w14:paraId="53299BC8" w14:textId="77777777" w:rsidR="006A1999" w:rsidRPr="008758A9" w:rsidRDefault="006A1999" w:rsidP="00D82664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r w:rsidRPr="008758A9">
              <w:rPr>
                <w:rFonts w:ascii="Verdana" w:hAnsi="Verdana"/>
                <w:b/>
                <w:sz w:val="20"/>
              </w:rPr>
              <w:t>Addéndum 5 al</w:t>
            </w:r>
            <w:r w:rsidRPr="008758A9">
              <w:rPr>
                <w:rFonts w:ascii="Verdana" w:hAnsi="Verdana"/>
                <w:b/>
                <w:sz w:val="20"/>
              </w:rPr>
              <w:br/>
              <w:t>Documento 85-S</w:t>
            </w:r>
          </w:p>
        </w:tc>
      </w:tr>
      <w:tr w:rsidR="006A1999" w:rsidRPr="008758A9" w14:paraId="3B61D13D" w14:textId="77777777" w:rsidTr="00D82664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7FF63425" w14:textId="77777777" w:rsidR="006A1999" w:rsidRPr="008758A9" w:rsidRDefault="006A1999" w:rsidP="00D82664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233B7770" w14:textId="77777777" w:rsidR="006A1999" w:rsidRPr="008758A9" w:rsidRDefault="006A1999" w:rsidP="00D82664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758A9">
              <w:rPr>
                <w:rFonts w:ascii="Verdana" w:hAnsi="Verdana"/>
                <w:b/>
                <w:sz w:val="20"/>
              </w:rPr>
              <w:t>22 de octubre de 2023</w:t>
            </w:r>
          </w:p>
        </w:tc>
      </w:tr>
      <w:tr w:rsidR="006A1999" w:rsidRPr="008758A9" w14:paraId="4189A5FC" w14:textId="77777777" w:rsidTr="00D82664">
        <w:trPr>
          <w:cantSplit/>
          <w:trHeight w:val="23"/>
        </w:trPr>
        <w:tc>
          <w:tcPr>
            <w:tcW w:w="6911" w:type="dxa"/>
            <w:gridSpan w:val="2"/>
            <w:vMerge/>
          </w:tcPr>
          <w:p w14:paraId="32A4EAED" w14:textId="77777777" w:rsidR="006A1999" w:rsidRPr="008758A9" w:rsidRDefault="006A1999" w:rsidP="00D82664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</w:rPr>
            </w:pPr>
            <w:bookmarkStart w:id="5" w:name="dorlang" w:colFirst="1" w:colLast="1"/>
            <w:bookmarkEnd w:id="4"/>
          </w:p>
        </w:tc>
        <w:tc>
          <w:tcPr>
            <w:tcW w:w="3120" w:type="dxa"/>
            <w:gridSpan w:val="2"/>
          </w:tcPr>
          <w:p w14:paraId="7BD550CC" w14:textId="77777777" w:rsidR="006A1999" w:rsidRPr="008758A9" w:rsidRDefault="006A1999" w:rsidP="00D82664">
            <w:pPr>
              <w:tabs>
                <w:tab w:val="left" w:pos="993"/>
              </w:tabs>
              <w:spacing w:before="0" w:after="120"/>
              <w:rPr>
                <w:rFonts w:ascii="Verdana" w:hAnsi="Verdana"/>
                <w:sz w:val="20"/>
              </w:rPr>
            </w:pPr>
            <w:r w:rsidRPr="008758A9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6A1999" w:rsidRPr="008758A9" w14:paraId="2CE45255" w14:textId="77777777" w:rsidTr="00D82664">
        <w:trPr>
          <w:cantSplit/>
        </w:trPr>
        <w:tc>
          <w:tcPr>
            <w:tcW w:w="10031" w:type="dxa"/>
            <w:gridSpan w:val="4"/>
          </w:tcPr>
          <w:p w14:paraId="58B18265" w14:textId="77777777" w:rsidR="006A1999" w:rsidRPr="008758A9" w:rsidRDefault="006A1999" w:rsidP="00D82664">
            <w:pPr>
              <w:pStyle w:val="Source"/>
            </w:pPr>
            <w:bookmarkStart w:id="6" w:name="dsource" w:colFirst="0" w:colLast="0"/>
            <w:bookmarkEnd w:id="5"/>
            <w:r w:rsidRPr="008758A9">
              <w:t>Propuestas Comunes de la Comunidad Regional de Comunicaciones</w:t>
            </w:r>
          </w:p>
        </w:tc>
      </w:tr>
      <w:tr w:rsidR="006A1999" w:rsidRPr="008758A9" w14:paraId="38C93B18" w14:textId="77777777" w:rsidTr="00D82664">
        <w:trPr>
          <w:cantSplit/>
        </w:trPr>
        <w:tc>
          <w:tcPr>
            <w:tcW w:w="10031" w:type="dxa"/>
            <w:gridSpan w:val="4"/>
          </w:tcPr>
          <w:p w14:paraId="4E374119" w14:textId="77777777" w:rsidR="006A1999" w:rsidRPr="008758A9" w:rsidRDefault="006A1999" w:rsidP="00D82664">
            <w:pPr>
              <w:pStyle w:val="Title1"/>
            </w:pPr>
            <w:bookmarkStart w:id="7" w:name="dtitle1" w:colFirst="0" w:colLast="0"/>
            <w:bookmarkEnd w:id="6"/>
            <w:r w:rsidRPr="008758A9">
              <w:t>PROPUESTAS PARA LOS TRABAJOS DE LA CONFERENCIA</w:t>
            </w:r>
          </w:p>
        </w:tc>
      </w:tr>
      <w:tr w:rsidR="006A1999" w:rsidRPr="008758A9" w14:paraId="08ADA9A1" w14:textId="77777777" w:rsidTr="00D82664">
        <w:trPr>
          <w:cantSplit/>
        </w:trPr>
        <w:tc>
          <w:tcPr>
            <w:tcW w:w="10031" w:type="dxa"/>
            <w:gridSpan w:val="4"/>
          </w:tcPr>
          <w:p w14:paraId="1AECC77C" w14:textId="77777777" w:rsidR="006A1999" w:rsidRPr="008758A9" w:rsidRDefault="006A1999" w:rsidP="00D82664">
            <w:pPr>
              <w:pStyle w:val="Title2"/>
            </w:pPr>
            <w:bookmarkStart w:id="8" w:name="dtitle2" w:colFirst="0" w:colLast="0"/>
            <w:bookmarkEnd w:id="7"/>
          </w:p>
        </w:tc>
      </w:tr>
      <w:tr w:rsidR="006A1999" w:rsidRPr="008758A9" w14:paraId="0E2554D5" w14:textId="77777777" w:rsidTr="00D82664">
        <w:trPr>
          <w:cantSplit/>
        </w:trPr>
        <w:tc>
          <w:tcPr>
            <w:tcW w:w="10031" w:type="dxa"/>
            <w:gridSpan w:val="4"/>
          </w:tcPr>
          <w:p w14:paraId="09514734" w14:textId="77777777" w:rsidR="006A1999" w:rsidRPr="008758A9" w:rsidRDefault="006A1999" w:rsidP="00D82664">
            <w:pPr>
              <w:pStyle w:val="Agendaitem"/>
            </w:pPr>
            <w:bookmarkStart w:id="9" w:name="dtitle3" w:colFirst="0" w:colLast="0"/>
            <w:bookmarkEnd w:id="8"/>
            <w:r w:rsidRPr="008758A9">
              <w:t>Punto 1.5 del orden del día</w:t>
            </w:r>
          </w:p>
        </w:tc>
      </w:tr>
    </w:tbl>
    <w:bookmarkEnd w:id="9"/>
    <w:p w14:paraId="49343908" w14:textId="77777777" w:rsidR="006A1999" w:rsidRPr="008758A9" w:rsidRDefault="006A1999" w:rsidP="006A1999">
      <w:pPr>
        <w:pStyle w:val="Normalaftertitle"/>
      </w:pPr>
      <w:r w:rsidRPr="008758A9">
        <w:rPr>
          <w:bCs/>
        </w:rPr>
        <w:t>1.5</w:t>
      </w:r>
      <w:r w:rsidRPr="008758A9">
        <w:rPr>
          <w:b/>
        </w:rPr>
        <w:tab/>
      </w:r>
      <w:r w:rsidRPr="008758A9">
        <w:t>examinar la utilización del espectro y las necesidades de espectro de los servicios existentes en la banda de frecuencias 470-960 MHz en la Región 1 y considerar posibles medidas reglamentarias para la banda de frecuencias 470</w:t>
      </w:r>
      <w:r w:rsidRPr="008758A9">
        <w:noBreakHyphen/>
        <w:t>694 MHz en la Región 1 a partir del examen previsto en la Resolución </w:t>
      </w:r>
      <w:r w:rsidRPr="008758A9">
        <w:rPr>
          <w:b/>
          <w:bCs/>
        </w:rPr>
        <w:t>235</w:t>
      </w:r>
      <w:r w:rsidRPr="008758A9">
        <w:t xml:space="preserve"> </w:t>
      </w:r>
      <w:r w:rsidRPr="008758A9">
        <w:rPr>
          <w:b/>
          <w:bCs/>
        </w:rPr>
        <w:t>(CMR</w:t>
      </w:r>
      <w:r w:rsidRPr="008758A9">
        <w:rPr>
          <w:b/>
          <w:bCs/>
        </w:rPr>
        <w:noBreakHyphen/>
        <w:t>15)</w:t>
      </w:r>
      <w:r w:rsidRPr="008758A9">
        <w:t>;</w:t>
      </w:r>
    </w:p>
    <w:p w14:paraId="737CD6F2" w14:textId="77777777" w:rsidR="006A1999" w:rsidRPr="008758A9" w:rsidRDefault="006A1999" w:rsidP="006A1999">
      <w:pPr>
        <w:pStyle w:val="Headingb"/>
      </w:pPr>
      <w:r w:rsidRPr="008758A9">
        <w:t>Introducción</w:t>
      </w:r>
    </w:p>
    <w:p w14:paraId="174F0976" w14:textId="77777777" w:rsidR="006A1999" w:rsidRPr="008758A9" w:rsidRDefault="006A1999" w:rsidP="006A1999">
      <w:r w:rsidRPr="008758A9">
        <w:t>Los estudios del UIT-R sobre el uso del espectro y las necesidades de espectro han demostrado que, a largo plazo, las necesidades del servicio de radiodifusión en la banda de frecuencias 470-694 MHz permanecerán en los niveles actuales o serán superiores. Los resultados de los estudios de compartición indican grandes distancias de separación de varios cientos de kilómetros entre las estaciones IMT del servicio móvil y las estaciones del servicio de radiodifusión. Los estudios y experimentos han demostrado que se producen interferencias en los canales adyacentes. Por consiguiente, por razones prácticas, no es viable desplegar y utilizar dentro de una única banda de frecuencias los dos servicios incompatibles, ya que cada uno de ellos tiene por objeto cubrir todo el territorio o la mayor parte de él.</w:t>
      </w:r>
    </w:p>
    <w:p w14:paraId="4E2ABDF9" w14:textId="77777777" w:rsidR="006A1999" w:rsidRPr="008758A9" w:rsidRDefault="006A1999" w:rsidP="006A1999">
      <w:r w:rsidRPr="008758A9">
        <w:t>En algunos países de la CRC, la banda de frecuencias 470-694 MHz también es utilizada por una serie de otros servicios de radiocomunicaciones que funcionan a título primario y secundario. Las Administraciones de la CRC consideran que, al llevar a cabo estudios del UIT-R sobre la compartición de frecuencias y la compatibilidad en la banda de frecuencias 470-694 MHz, se deberían tener en cuenta todos los servicios atribuidos a título primario o secundario.</w:t>
      </w:r>
    </w:p>
    <w:p w14:paraId="58C6C595" w14:textId="77777777" w:rsidR="006A1999" w:rsidRPr="008758A9" w:rsidRDefault="006A1999" w:rsidP="006A1999">
      <w:r w:rsidRPr="008758A9">
        <w:t>Las Administraciones de la CRC se oponen a cualquier cambio de las condiciones reglamentarias relativas al uso de la banda de frecuencias 470-694 MHz en la Región 1 en el marco de este punto del orden del día de la CMR</w:t>
      </w:r>
      <w:r w:rsidRPr="008758A9">
        <w:noBreakHyphen/>
        <w:t>23 debido al uso intenso actual y futuro de esta banda de frecuencias, así como a la imposibilidad de garantizar la compatibilidad con los servicios existentes que ya tienen una atribución primaria o secundaria en la banda de frecuencias 470-694 MHz en el Cuadro de Atribución de Bandas de Frecuencias para la Región 1.</w:t>
      </w:r>
    </w:p>
    <w:p w14:paraId="5C96D3F2" w14:textId="77777777" w:rsidR="006A1999" w:rsidRPr="008758A9" w:rsidRDefault="006A1999" w:rsidP="006A1999">
      <w:r w:rsidRPr="008758A9">
        <w:t>Las Administraciones de la CRC consideran que en la Resolución </w:t>
      </w:r>
      <w:r w:rsidRPr="008758A9">
        <w:rPr>
          <w:b/>
          <w:bCs/>
        </w:rPr>
        <w:t>235</w:t>
      </w:r>
      <w:r w:rsidRPr="008758A9">
        <w:t xml:space="preserve"> </w:t>
      </w:r>
      <w:r w:rsidRPr="008758A9">
        <w:rPr>
          <w:b/>
          <w:bCs/>
        </w:rPr>
        <w:t>(CMR</w:t>
      </w:r>
      <w:r w:rsidRPr="008758A9">
        <w:rPr>
          <w:b/>
          <w:bCs/>
        </w:rPr>
        <w:noBreakHyphen/>
        <w:t>15)</w:t>
      </w:r>
      <w:r w:rsidRPr="008758A9">
        <w:t xml:space="preserve"> no se prevén medidas reglamentarias en la banda de frecuencias 694-960 MHz.</w:t>
      </w:r>
    </w:p>
    <w:p w14:paraId="214DDD8E" w14:textId="77777777" w:rsidR="006A1999" w:rsidRPr="008758A9" w:rsidRDefault="006A1999" w:rsidP="006A1999">
      <w:pPr>
        <w:pStyle w:val="Headingb"/>
      </w:pPr>
      <w:r w:rsidRPr="008758A9">
        <w:lastRenderedPageBreak/>
        <w:t>Propuesta</w:t>
      </w:r>
    </w:p>
    <w:p w14:paraId="433966FA" w14:textId="77777777" w:rsidR="006A1999" w:rsidRPr="008758A9" w:rsidRDefault="006A1999" w:rsidP="006A1999">
      <w:r w:rsidRPr="008758A9">
        <w:t>Las Administraciones de la CRC se oponen a cualquier cambio de las condiciones reglamentarias relativas al uso de la banda de frecuencias 470-694 MHz en la Región 1 en el marco de este punto del orden del día de la CMR</w:t>
      </w:r>
      <w:r w:rsidRPr="008758A9">
        <w:noBreakHyphen/>
        <w:t>23 debido al uso intenso actual y futuro de esta banda de frecuencias, así como a la imposibilidad de garantizar la compatibilidad con los servicios existentes que ya tienen una atribución primaria o secundaria en la banda de frecuencias 470-694 MHz en el Cuadro de Atribución de Bandas de Frecuencias para la Región 1 (método A1).</w:t>
      </w:r>
    </w:p>
    <w:p w14:paraId="0C306F39" w14:textId="77777777" w:rsidR="006A1999" w:rsidRPr="008758A9" w:rsidRDefault="006A1999" w:rsidP="006A199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758A9">
        <w:br w:type="page"/>
      </w:r>
    </w:p>
    <w:p w14:paraId="39278E7C" w14:textId="77777777" w:rsidR="006A1999" w:rsidRPr="008758A9" w:rsidRDefault="006A1999" w:rsidP="006A1999">
      <w:pPr>
        <w:pStyle w:val="ArtNo"/>
        <w:spacing w:before="0"/>
      </w:pPr>
      <w:bookmarkStart w:id="10" w:name="_Toc48141301"/>
      <w:r w:rsidRPr="008758A9">
        <w:lastRenderedPageBreak/>
        <w:t xml:space="preserve">ARTÍCULO </w:t>
      </w:r>
      <w:r w:rsidRPr="008758A9">
        <w:rPr>
          <w:rStyle w:val="href"/>
        </w:rPr>
        <w:t>5</w:t>
      </w:r>
      <w:bookmarkEnd w:id="10"/>
    </w:p>
    <w:p w14:paraId="3D920E67" w14:textId="77777777" w:rsidR="006A1999" w:rsidRPr="008758A9" w:rsidRDefault="006A1999" w:rsidP="006A1999">
      <w:pPr>
        <w:pStyle w:val="Arttitle"/>
      </w:pPr>
      <w:bookmarkStart w:id="11" w:name="_Toc48141302"/>
      <w:r w:rsidRPr="008758A9">
        <w:t>Atribuciones de frecuencia</w:t>
      </w:r>
      <w:bookmarkEnd w:id="11"/>
    </w:p>
    <w:p w14:paraId="273F59B7" w14:textId="77777777" w:rsidR="006A1999" w:rsidRPr="008758A9" w:rsidRDefault="006A1999" w:rsidP="006A1999">
      <w:pPr>
        <w:pStyle w:val="Section1"/>
      </w:pPr>
      <w:r w:rsidRPr="008758A9">
        <w:t>Sección IV – Cuadro de atribución de bandas de frecuencias</w:t>
      </w:r>
      <w:r w:rsidRPr="008758A9">
        <w:br/>
      </w:r>
      <w:r w:rsidRPr="008758A9">
        <w:rPr>
          <w:b w:val="0"/>
          <w:bCs/>
        </w:rPr>
        <w:t>(Véase el número</w:t>
      </w:r>
      <w:r w:rsidRPr="008758A9">
        <w:t xml:space="preserve"> </w:t>
      </w:r>
      <w:r w:rsidRPr="008758A9">
        <w:rPr>
          <w:rStyle w:val="Artref"/>
        </w:rPr>
        <w:t>2.1</w:t>
      </w:r>
      <w:r w:rsidRPr="008758A9">
        <w:rPr>
          <w:b w:val="0"/>
          <w:bCs/>
        </w:rPr>
        <w:t>)</w:t>
      </w:r>
      <w:r w:rsidRPr="008758A9">
        <w:br/>
      </w:r>
    </w:p>
    <w:p w14:paraId="44618238" w14:textId="77777777" w:rsidR="006A1999" w:rsidRPr="008758A9" w:rsidRDefault="006A1999" w:rsidP="006A1999">
      <w:pPr>
        <w:pStyle w:val="Proposal"/>
      </w:pPr>
      <w:r w:rsidRPr="008758A9">
        <w:rPr>
          <w:u w:val="single"/>
        </w:rPr>
        <w:t>NOC</w:t>
      </w:r>
      <w:r w:rsidRPr="008758A9">
        <w:tab/>
        <w:t>RCC/85A5/1</w:t>
      </w:r>
    </w:p>
    <w:p w14:paraId="6BCD75C8" w14:textId="77777777" w:rsidR="006A1999" w:rsidRPr="008758A9" w:rsidRDefault="006A1999" w:rsidP="006A1999">
      <w:pPr>
        <w:pStyle w:val="Tabletitle"/>
      </w:pPr>
      <w:r w:rsidRPr="008758A9">
        <w:t>460-890 MHz</w:t>
      </w:r>
    </w:p>
    <w:tbl>
      <w:tblPr>
        <w:tblW w:w="9307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0"/>
        <w:gridCol w:w="3101"/>
        <w:gridCol w:w="3099"/>
        <w:gridCol w:w="7"/>
      </w:tblGrid>
      <w:tr w:rsidR="006A1999" w:rsidRPr="008758A9" w14:paraId="7926606C" w14:textId="77777777" w:rsidTr="00D82664">
        <w:trPr>
          <w:cantSplit/>
          <w:jc w:val="center"/>
        </w:trPr>
        <w:tc>
          <w:tcPr>
            <w:tcW w:w="9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78E2" w14:textId="77777777" w:rsidR="006A1999" w:rsidRPr="008758A9" w:rsidRDefault="006A1999" w:rsidP="00D82664">
            <w:pPr>
              <w:pStyle w:val="Tablehead"/>
            </w:pPr>
            <w:r w:rsidRPr="008758A9">
              <w:t>Atribución a los servicios</w:t>
            </w:r>
          </w:p>
        </w:tc>
      </w:tr>
      <w:tr w:rsidR="006A1999" w:rsidRPr="008758A9" w14:paraId="102B726A" w14:textId="77777777" w:rsidTr="00D82664">
        <w:trPr>
          <w:cantSplit/>
          <w:jc w:val="center"/>
        </w:trPr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05C5" w14:textId="77777777" w:rsidR="006A1999" w:rsidRPr="008758A9" w:rsidRDefault="006A1999" w:rsidP="00D82664">
            <w:pPr>
              <w:pStyle w:val="Tablehead"/>
            </w:pPr>
            <w:r w:rsidRPr="008758A9">
              <w:t>Región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3E31" w14:textId="77777777" w:rsidR="006A1999" w:rsidRPr="008758A9" w:rsidRDefault="006A1999" w:rsidP="00D82664">
            <w:pPr>
              <w:pStyle w:val="Tablehead"/>
            </w:pPr>
            <w:r w:rsidRPr="008758A9">
              <w:t>Región 2</w:t>
            </w:r>
          </w:p>
        </w:tc>
        <w:tc>
          <w:tcPr>
            <w:tcW w:w="31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FA9" w14:textId="77777777" w:rsidR="006A1999" w:rsidRPr="008758A9" w:rsidRDefault="006A1999" w:rsidP="00D82664">
            <w:pPr>
              <w:pStyle w:val="Tablehead"/>
            </w:pPr>
            <w:r w:rsidRPr="008758A9">
              <w:t>Región 3</w:t>
            </w:r>
          </w:p>
        </w:tc>
      </w:tr>
      <w:tr w:rsidR="006A1999" w:rsidRPr="008758A9" w14:paraId="77AEF1AD" w14:textId="77777777" w:rsidTr="00D82664">
        <w:trPr>
          <w:cantSplit/>
          <w:jc w:val="center"/>
        </w:trPr>
        <w:tc>
          <w:tcPr>
            <w:tcW w:w="93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12F0" w14:textId="77777777" w:rsidR="006A1999" w:rsidRPr="008758A9" w:rsidRDefault="006A1999" w:rsidP="00D82664">
            <w:pPr>
              <w:pStyle w:val="TableTextS5"/>
              <w:keepNext/>
              <w:tabs>
                <w:tab w:val="clear" w:pos="2977"/>
                <w:tab w:val="left" w:pos="2991"/>
              </w:tabs>
              <w:rPr>
                <w:color w:val="000000"/>
              </w:rPr>
            </w:pPr>
            <w:r w:rsidRPr="008758A9">
              <w:rPr>
                <w:rStyle w:val="Tablefreq"/>
              </w:rPr>
              <w:t>460-470</w:t>
            </w:r>
            <w:r w:rsidRPr="008758A9">
              <w:rPr>
                <w:rStyle w:val="Tablefreq"/>
              </w:rPr>
              <w:tab/>
            </w:r>
            <w:r w:rsidRPr="008758A9">
              <w:rPr>
                <w:color w:val="000000"/>
              </w:rPr>
              <w:tab/>
              <w:t>FIJO</w:t>
            </w:r>
          </w:p>
          <w:p w14:paraId="08D07781" w14:textId="77777777" w:rsidR="006A1999" w:rsidRPr="008758A9" w:rsidRDefault="006A1999" w:rsidP="00D82664">
            <w:pPr>
              <w:pStyle w:val="TableTextS5"/>
              <w:tabs>
                <w:tab w:val="clear" w:pos="2977"/>
                <w:tab w:val="left" w:pos="2989"/>
              </w:tabs>
              <w:spacing w:line="190" w:lineRule="exact"/>
              <w:rPr>
                <w:color w:val="000000"/>
              </w:rPr>
            </w:pP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  <w:t xml:space="preserve">MÓVIL </w:t>
            </w:r>
            <w:r w:rsidRPr="008758A9">
              <w:t xml:space="preserve"> </w:t>
            </w:r>
            <w:r w:rsidRPr="008758A9">
              <w:rPr>
                <w:rStyle w:val="Artref"/>
                <w:color w:val="000000"/>
              </w:rPr>
              <w:t>5.286AA</w:t>
            </w:r>
          </w:p>
          <w:p w14:paraId="40853C25" w14:textId="77777777" w:rsidR="006A1999" w:rsidRPr="008758A9" w:rsidRDefault="006A1999" w:rsidP="00D82664">
            <w:pPr>
              <w:pStyle w:val="TableTextS5"/>
              <w:tabs>
                <w:tab w:val="clear" w:pos="2977"/>
                <w:tab w:val="left" w:pos="2989"/>
              </w:tabs>
              <w:spacing w:line="190" w:lineRule="exact"/>
              <w:rPr>
                <w:color w:val="000000"/>
              </w:rPr>
            </w:pP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  <w:t xml:space="preserve">Meteorología por satélite (espacio-Tierra) </w:t>
            </w:r>
          </w:p>
          <w:p w14:paraId="52613EB1" w14:textId="77777777" w:rsidR="006A1999" w:rsidRPr="008758A9" w:rsidRDefault="006A1999" w:rsidP="00D82664">
            <w:pPr>
              <w:pStyle w:val="TableTextS5"/>
              <w:tabs>
                <w:tab w:val="clear" w:pos="2977"/>
                <w:tab w:val="left" w:pos="2989"/>
              </w:tabs>
              <w:spacing w:line="190" w:lineRule="exact"/>
            </w:pP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r w:rsidRPr="008758A9">
              <w:rPr>
                <w:color w:val="000000"/>
              </w:rPr>
              <w:tab/>
            </w:r>
            <w:proofErr w:type="gramStart"/>
            <w:r w:rsidRPr="008758A9">
              <w:rPr>
                <w:rStyle w:val="Artref"/>
                <w:color w:val="000000"/>
              </w:rPr>
              <w:t>5.287</w:t>
            </w:r>
            <w:r w:rsidRPr="008758A9">
              <w:rPr>
                <w:color w:val="000000"/>
              </w:rPr>
              <w:t xml:space="preserve">  </w:t>
            </w:r>
            <w:r w:rsidRPr="008758A9">
              <w:rPr>
                <w:rStyle w:val="Artref"/>
                <w:color w:val="000000"/>
              </w:rPr>
              <w:t>5.288</w:t>
            </w:r>
            <w:proofErr w:type="gramEnd"/>
            <w:r w:rsidRPr="008758A9">
              <w:rPr>
                <w:color w:val="000000"/>
              </w:rPr>
              <w:t xml:space="preserve">  </w:t>
            </w:r>
            <w:r w:rsidRPr="008758A9">
              <w:rPr>
                <w:rStyle w:val="Artref"/>
                <w:color w:val="000000"/>
              </w:rPr>
              <w:t>5.289</w:t>
            </w:r>
            <w:r w:rsidRPr="008758A9">
              <w:rPr>
                <w:color w:val="000000"/>
              </w:rPr>
              <w:t xml:space="preserve">  </w:t>
            </w:r>
            <w:r w:rsidRPr="008758A9">
              <w:rPr>
                <w:rStyle w:val="Artref"/>
                <w:color w:val="000000"/>
              </w:rPr>
              <w:t>5.290</w:t>
            </w:r>
          </w:p>
        </w:tc>
      </w:tr>
      <w:tr w:rsidR="006A1999" w:rsidRPr="008758A9" w14:paraId="0C407A0A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3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A70D6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470-694</w:t>
            </w:r>
          </w:p>
          <w:p w14:paraId="2D47864E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2BF81988" w14:textId="77777777" w:rsidR="006A1999" w:rsidRPr="008758A9" w:rsidRDefault="006A1999" w:rsidP="00D82664">
            <w:pPr>
              <w:pStyle w:val="TableTextS5"/>
            </w:pPr>
          </w:p>
          <w:p w14:paraId="67F83CE9" w14:textId="77777777" w:rsidR="006A1999" w:rsidRPr="008758A9" w:rsidRDefault="006A1999" w:rsidP="00D82664">
            <w:pPr>
              <w:pStyle w:val="TableTextS5"/>
            </w:pPr>
          </w:p>
          <w:p w14:paraId="3945B3ED" w14:textId="77777777" w:rsidR="006A1999" w:rsidRPr="008758A9" w:rsidRDefault="006A1999" w:rsidP="00D82664">
            <w:pPr>
              <w:pStyle w:val="TableTextS5"/>
            </w:pPr>
          </w:p>
          <w:p w14:paraId="4214598C" w14:textId="77777777" w:rsidR="006A1999" w:rsidRPr="008758A9" w:rsidRDefault="006A1999" w:rsidP="00D82664">
            <w:pPr>
              <w:pStyle w:val="TableTextS5"/>
            </w:pPr>
          </w:p>
          <w:p w14:paraId="21BC3085" w14:textId="77777777" w:rsidR="006A1999" w:rsidRPr="008758A9" w:rsidRDefault="006A1999" w:rsidP="00D82664">
            <w:pPr>
              <w:pStyle w:val="TableTextS5"/>
            </w:pPr>
          </w:p>
          <w:p w14:paraId="4B9E1DEE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0BEF1578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6E17668C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12C5ED6B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4E31CC5B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67799885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3EDD21E0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44695602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</w:p>
          <w:p w14:paraId="18155715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rPr>
                <w:rStyle w:val="Artref"/>
                <w:color w:val="000000"/>
              </w:rPr>
              <w:t>5.149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5.291A</w:t>
            </w:r>
            <w:proofErr w:type="gramEnd"/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5.294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 xml:space="preserve">5.296 </w:t>
            </w:r>
            <w:r w:rsidRPr="008758A9">
              <w:rPr>
                <w:rStyle w:val="Artref"/>
                <w:color w:val="000000"/>
              </w:rPr>
              <w:br/>
              <w:t>5.300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5.304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5.306</w:t>
            </w:r>
            <w:r w:rsidRPr="008758A9">
              <w:t xml:space="preserve"> </w:t>
            </w:r>
            <w:r w:rsidRPr="008758A9">
              <w:rPr>
                <w:rStyle w:val="Artref"/>
                <w:color w:val="000000"/>
              </w:rPr>
              <w:t xml:space="preserve"> 5.312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BA77A1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470-512</w:t>
            </w:r>
          </w:p>
          <w:p w14:paraId="5D8C1B67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630415EF" w14:textId="77777777" w:rsidR="006A1999" w:rsidRPr="008758A9" w:rsidRDefault="006A1999" w:rsidP="00D82664">
            <w:pPr>
              <w:pStyle w:val="TableTextS5"/>
            </w:pPr>
            <w:r w:rsidRPr="008758A9">
              <w:t>Fijo</w:t>
            </w:r>
          </w:p>
          <w:p w14:paraId="2ECA51A9" w14:textId="77777777" w:rsidR="006A1999" w:rsidRPr="008758A9" w:rsidRDefault="006A1999" w:rsidP="00D82664">
            <w:pPr>
              <w:pStyle w:val="TableTextS5"/>
            </w:pPr>
            <w:r w:rsidRPr="008758A9">
              <w:t>Móvil</w:t>
            </w:r>
          </w:p>
          <w:p w14:paraId="22AB8016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rPr>
                <w:rStyle w:val="Artref"/>
                <w:color w:val="000000"/>
              </w:rPr>
              <w:t>5.292  5.293</w:t>
            </w:r>
            <w:proofErr w:type="gramEnd"/>
            <w:r w:rsidRPr="008758A9">
              <w:rPr>
                <w:rStyle w:val="Artref"/>
                <w:color w:val="000000"/>
              </w:rPr>
              <w:t xml:space="preserve">  </w:t>
            </w:r>
            <w:r w:rsidRPr="008758A9">
              <w:rPr>
                <w:rStyle w:val="Artref"/>
              </w:rPr>
              <w:t>5.295</w:t>
            </w:r>
          </w:p>
        </w:tc>
        <w:tc>
          <w:tcPr>
            <w:tcW w:w="309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5D8E9B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470-585</w:t>
            </w:r>
          </w:p>
          <w:p w14:paraId="28349625" w14:textId="77777777" w:rsidR="006A1999" w:rsidRPr="008758A9" w:rsidRDefault="006A1999" w:rsidP="00D82664">
            <w:pPr>
              <w:pStyle w:val="TableTextS5"/>
            </w:pPr>
            <w:r w:rsidRPr="008758A9">
              <w:t>FIJO</w:t>
            </w:r>
          </w:p>
          <w:p w14:paraId="0470C803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t xml:space="preserve">MÓVIL  </w:t>
            </w:r>
            <w:r w:rsidRPr="008758A9">
              <w:rPr>
                <w:rStyle w:val="Artref"/>
              </w:rPr>
              <w:t>5.296A</w:t>
            </w:r>
            <w:proofErr w:type="gramEnd"/>
          </w:p>
          <w:p w14:paraId="75B5C1E6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58DC9834" w14:textId="77777777" w:rsidR="006A1999" w:rsidRPr="008758A9" w:rsidRDefault="006A1999" w:rsidP="00D82664">
            <w:pPr>
              <w:pStyle w:val="TableTextS5"/>
            </w:pPr>
          </w:p>
          <w:p w14:paraId="21C7E247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rPr>
                <w:rStyle w:val="Artref"/>
                <w:color w:val="000000"/>
              </w:rPr>
              <w:t>5.291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</w:t>
            </w:r>
            <w:proofErr w:type="gramEnd"/>
            <w:r w:rsidRPr="008758A9">
              <w:rPr>
                <w:rStyle w:val="Artref"/>
                <w:color w:val="000000"/>
              </w:rPr>
              <w:t>.298</w:t>
            </w:r>
          </w:p>
        </w:tc>
      </w:tr>
      <w:tr w:rsidR="006A1999" w:rsidRPr="008758A9" w14:paraId="4F7AFA0E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96869C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B6D242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512-608</w:t>
            </w:r>
          </w:p>
          <w:p w14:paraId="05AD01AD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5925F933" w14:textId="77777777" w:rsidR="006A1999" w:rsidRPr="008758A9" w:rsidRDefault="006A1999" w:rsidP="00D82664">
            <w:pPr>
              <w:pStyle w:val="TableTextS5"/>
              <w:rPr>
                <w:rStyle w:val="Tablefreq"/>
                <w:color w:val="000000"/>
              </w:rPr>
            </w:pPr>
            <w:proofErr w:type="gramStart"/>
            <w:r w:rsidRPr="008758A9">
              <w:rPr>
                <w:rStyle w:val="Artref"/>
                <w:color w:val="000000"/>
              </w:rPr>
              <w:t>5.295  5.297</w:t>
            </w:r>
            <w:proofErr w:type="gramEnd"/>
            <w:r w:rsidRPr="008758A9">
              <w:rPr>
                <w:rStyle w:val="Artref"/>
                <w:color w:val="000000"/>
              </w:rPr>
              <w:t xml:space="preserve">  </w:t>
            </w:r>
          </w:p>
        </w:tc>
        <w:tc>
          <w:tcPr>
            <w:tcW w:w="309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611F0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2350BF82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D7CB12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963F2A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Tablefreq"/>
                <w:color w:val="000000"/>
              </w:rPr>
            </w:pP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020EFD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585-610</w:t>
            </w:r>
          </w:p>
          <w:p w14:paraId="0D05ECDC" w14:textId="77777777" w:rsidR="006A1999" w:rsidRPr="008758A9" w:rsidRDefault="006A1999" w:rsidP="00D82664">
            <w:pPr>
              <w:pStyle w:val="TableTextS5"/>
            </w:pPr>
            <w:r w:rsidRPr="008758A9">
              <w:t>FIJO</w:t>
            </w:r>
          </w:p>
          <w:p w14:paraId="375C6B98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t xml:space="preserve">MÓVIL  </w:t>
            </w:r>
            <w:r w:rsidRPr="008758A9">
              <w:rPr>
                <w:rStyle w:val="Artref"/>
              </w:rPr>
              <w:t>5.296A</w:t>
            </w:r>
            <w:proofErr w:type="gramEnd"/>
          </w:p>
          <w:p w14:paraId="6F987E7B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483933D6" w14:textId="77777777" w:rsidR="006A1999" w:rsidRPr="008758A9" w:rsidRDefault="006A1999" w:rsidP="00D82664">
            <w:pPr>
              <w:pStyle w:val="TableTextS5"/>
            </w:pPr>
            <w:r w:rsidRPr="008758A9">
              <w:t>RADIONAVEGACIÓN</w:t>
            </w:r>
          </w:p>
          <w:p w14:paraId="55867C05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rPr>
                <w:rStyle w:val="Artref"/>
                <w:color w:val="000000"/>
              </w:rPr>
              <w:t>5.149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5.305</w:t>
            </w:r>
            <w:proofErr w:type="gramEnd"/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5.306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5.307</w:t>
            </w:r>
          </w:p>
        </w:tc>
      </w:tr>
      <w:tr w:rsidR="006A1999" w:rsidRPr="008758A9" w14:paraId="7B234B57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CFA315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B05A10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608-614</w:t>
            </w:r>
          </w:p>
          <w:p w14:paraId="637BCDFC" w14:textId="77777777" w:rsidR="006A1999" w:rsidRPr="008758A9" w:rsidRDefault="006A1999" w:rsidP="00D82664">
            <w:pPr>
              <w:pStyle w:val="TableTextS5"/>
            </w:pPr>
            <w:r w:rsidRPr="008758A9">
              <w:t>RADIOASTRONOMÍA</w:t>
            </w:r>
          </w:p>
          <w:p w14:paraId="1F9A22E7" w14:textId="77777777" w:rsidR="006A1999" w:rsidRPr="008758A9" w:rsidRDefault="006A1999" w:rsidP="00D82664">
            <w:pPr>
              <w:pStyle w:val="TableTextS5"/>
              <w:rPr>
                <w:rStyle w:val="Tablefreq"/>
                <w:b w:val="0"/>
              </w:rPr>
            </w:pPr>
            <w:r w:rsidRPr="008758A9">
              <w:t>Móvil por satélite salvo móvil</w:t>
            </w:r>
            <w:r w:rsidRPr="008758A9">
              <w:br/>
              <w:t>aeronáutico por satélite</w:t>
            </w:r>
            <w:r w:rsidRPr="008758A9">
              <w:br/>
              <w:t>(Tierra-espacio)</w:t>
            </w: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9B009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11EFB152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0E5566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EE939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Tablefreq"/>
                <w:b w:val="0"/>
              </w:rPr>
            </w:pP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C75E7E7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610-890</w:t>
            </w:r>
          </w:p>
          <w:p w14:paraId="324E6B9A" w14:textId="77777777" w:rsidR="006A1999" w:rsidRPr="008758A9" w:rsidRDefault="006A1999" w:rsidP="00D82664">
            <w:pPr>
              <w:pStyle w:val="TableTextS5"/>
            </w:pPr>
            <w:r w:rsidRPr="008758A9">
              <w:t>FIJO</w:t>
            </w:r>
          </w:p>
          <w:p w14:paraId="0582AEE4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t xml:space="preserve">MÓVIL  </w:t>
            </w:r>
            <w:r w:rsidRPr="008758A9">
              <w:rPr>
                <w:rStyle w:val="Artref"/>
              </w:rPr>
              <w:t>5.296A</w:t>
            </w:r>
            <w:proofErr w:type="gramEnd"/>
            <w:r w:rsidRPr="008758A9">
              <w:t xml:space="preserve">  </w:t>
            </w:r>
            <w:r w:rsidRPr="008758A9">
              <w:rPr>
                <w:rStyle w:val="Artref"/>
              </w:rPr>
              <w:t xml:space="preserve">5.313A </w:t>
            </w:r>
            <w:r w:rsidRPr="008758A9">
              <w:rPr>
                <w:rStyle w:val="Artref"/>
              </w:rPr>
              <w:br/>
              <w:t xml:space="preserve">5.317A </w:t>
            </w:r>
          </w:p>
          <w:p w14:paraId="017C204C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</w:tc>
      </w:tr>
      <w:tr w:rsidR="006A1999" w:rsidRPr="008758A9" w14:paraId="4543BDF7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7242A0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172BD11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614-698</w:t>
            </w:r>
          </w:p>
          <w:p w14:paraId="69CC1B90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564A5880" w14:textId="77777777" w:rsidR="006A1999" w:rsidRPr="008758A9" w:rsidRDefault="006A1999" w:rsidP="00D82664">
            <w:pPr>
              <w:pStyle w:val="TableTextS5"/>
            </w:pPr>
            <w:r w:rsidRPr="008758A9">
              <w:t>Fijo</w:t>
            </w:r>
          </w:p>
          <w:p w14:paraId="7D3203A2" w14:textId="77777777" w:rsidR="006A1999" w:rsidRPr="008758A9" w:rsidRDefault="006A1999" w:rsidP="00D82664">
            <w:pPr>
              <w:pStyle w:val="TableTextS5"/>
            </w:pPr>
            <w:r w:rsidRPr="008758A9">
              <w:t>Móvil</w:t>
            </w:r>
          </w:p>
          <w:p w14:paraId="02C25597" w14:textId="77777777" w:rsidR="006A1999" w:rsidRPr="008758A9" w:rsidRDefault="006A1999" w:rsidP="00D82664">
            <w:pPr>
              <w:pStyle w:val="TableTextS5"/>
              <w:rPr>
                <w:rStyle w:val="Artref"/>
              </w:rPr>
            </w:pPr>
            <w:proofErr w:type="gramStart"/>
            <w:r w:rsidRPr="008758A9">
              <w:rPr>
                <w:rStyle w:val="Artref"/>
              </w:rPr>
              <w:t>5.293  5.308</w:t>
            </w:r>
            <w:proofErr w:type="gramEnd"/>
            <w:r w:rsidRPr="008758A9">
              <w:rPr>
                <w:rStyle w:val="Artref"/>
              </w:rPr>
              <w:t xml:space="preserve">  5.308A  5.309  </w:t>
            </w: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45A3F85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13A44AF6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276"/>
          <w:jc w:val="center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DB85D2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694-790</w:t>
            </w:r>
          </w:p>
          <w:p w14:paraId="4AA9A201" w14:textId="77777777" w:rsidR="006A1999" w:rsidRPr="008758A9" w:rsidRDefault="006A1999" w:rsidP="00D82664">
            <w:pPr>
              <w:pStyle w:val="TableTextS5"/>
              <w:rPr>
                <w:rStyle w:val="Artref"/>
              </w:rPr>
            </w:pPr>
            <w:r w:rsidRPr="008758A9">
              <w:t xml:space="preserve">MÓVIL salvo móvil </w:t>
            </w:r>
            <w:proofErr w:type="gramStart"/>
            <w:r w:rsidRPr="008758A9">
              <w:t xml:space="preserve">aeronáutico  </w:t>
            </w:r>
            <w:r w:rsidRPr="008758A9">
              <w:rPr>
                <w:rStyle w:val="Artref"/>
              </w:rPr>
              <w:t>5.312A</w:t>
            </w:r>
            <w:proofErr w:type="gramEnd"/>
            <w:r w:rsidRPr="008758A9">
              <w:rPr>
                <w:rStyle w:val="Artref"/>
              </w:rPr>
              <w:t xml:space="preserve">  5.317A</w:t>
            </w:r>
          </w:p>
          <w:p w14:paraId="68B8DC99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16F3CA6D" w14:textId="77777777" w:rsidR="006A1999" w:rsidRPr="008758A9" w:rsidRDefault="006A1999" w:rsidP="00D82664">
            <w:pPr>
              <w:pStyle w:val="TableTextS5"/>
              <w:rPr>
                <w:rStyle w:val="Artref"/>
              </w:rPr>
            </w:pPr>
            <w:proofErr w:type="gramStart"/>
            <w:r w:rsidRPr="008758A9">
              <w:rPr>
                <w:rStyle w:val="Artref"/>
              </w:rPr>
              <w:t>5.300  5</w:t>
            </w:r>
            <w:proofErr w:type="gramEnd"/>
            <w:r w:rsidRPr="008758A9">
              <w:rPr>
                <w:rStyle w:val="Artref"/>
              </w:rPr>
              <w:t>.312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A98035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Artref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EA8251A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0BF1612E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C843B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Artref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C97C23" w14:textId="77777777" w:rsidR="006A1999" w:rsidRPr="008758A9" w:rsidRDefault="006A1999" w:rsidP="00D82664">
            <w:pPr>
              <w:pStyle w:val="TableTextS5"/>
              <w:rPr>
                <w:rStyle w:val="Tablefreq"/>
              </w:rPr>
            </w:pPr>
            <w:r w:rsidRPr="008758A9">
              <w:rPr>
                <w:rStyle w:val="Tablefreq"/>
              </w:rPr>
              <w:t>698-806</w:t>
            </w:r>
          </w:p>
          <w:p w14:paraId="3AAC271A" w14:textId="77777777" w:rsidR="006A1999" w:rsidRPr="008758A9" w:rsidRDefault="006A1999" w:rsidP="00D82664">
            <w:pPr>
              <w:pStyle w:val="TableTextS5"/>
            </w:pPr>
            <w:proofErr w:type="gramStart"/>
            <w:r w:rsidRPr="008758A9">
              <w:t xml:space="preserve">MÓVIL  </w:t>
            </w:r>
            <w:r w:rsidRPr="008758A9">
              <w:rPr>
                <w:rStyle w:val="Artref"/>
              </w:rPr>
              <w:t>5.317A</w:t>
            </w:r>
            <w:proofErr w:type="gramEnd"/>
          </w:p>
          <w:p w14:paraId="7964E8DC" w14:textId="77777777" w:rsidR="006A1999" w:rsidRPr="008758A9" w:rsidRDefault="006A1999" w:rsidP="00D82664">
            <w:pPr>
              <w:pStyle w:val="TableTextS5"/>
            </w:pPr>
            <w:r w:rsidRPr="008758A9">
              <w:t>RADIODIFUSIÓN</w:t>
            </w:r>
          </w:p>
          <w:p w14:paraId="2F4626A6" w14:textId="77777777" w:rsidR="006A1999" w:rsidRPr="008758A9" w:rsidRDefault="006A1999" w:rsidP="00D82664">
            <w:pPr>
              <w:pStyle w:val="TableTextS5"/>
              <w:rPr>
                <w:rStyle w:val="Artref"/>
                <w:color w:val="000000"/>
              </w:rPr>
            </w:pPr>
            <w:r w:rsidRPr="008758A9">
              <w:t>Fijo</w:t>
            </w:r>
            <w:r w:rsidRPr="008758A9">
              <w:br/>
            </w:r>
          </w:p>
          <w:p w14:paraId="31458958" w14:textId="77777777" w:rsidR="006A1999" w:rsidRPr="008758A9" w:rsidRDefault="006A1999" w:rsidP="00D82664">
            <w:pPr>
              <w:pStyle w:val="TableTextS5"/>
              <w:rPr>
                <w:rStyle w:val="Tablefreq"/>
                <w:color w:val="000000"/>
              </w:rPr>
            </w:pPr>
            <w:proofErr w:type="gramStart"/>
            <w:r w:rsidRPr="008758A9">
              <w:rPr>
                <w:rStyle w:val="Artref"/>
                <w:color w:val="000000"/>
              </w:rPr>
              <w:t>5.293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5.309</w:t>
            </w:r>
            <w:proofErr w:type="gramEnd"/>
            <w:r w:rsidRPr="008758A9">
              <w:t xml:space="preserve"> </w:t>
            </w:r>
            <w:r w:rsidRPr="008758A9">
              <w:rPr>
                <w:rStyle w:val="Artref"/>
                <w:color w:val="000000"/>
              </w:rPr>
              <w:t xml:space="preserve"> </w:t>
            </w: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3B2C30B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62C06654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9CF91" w14:textId="77777777" w:rsidR="006A1999" w:rsidRPr="008758A9" w:rsidRDefault="006A1999" w:rsidP="00D82664">
            <w:pPr>
              <w:pStyle w:val="TableTextS5"/>
              <w:rPr>
                <w:rStyle w:val="Tablefreq"/>
                <w:b w:val="0"/>
                <w:bCs/>
                <w:color w:val="000000"/>
              </w:rPr>
            </w:pPr>
            <w:r w:rsidRPr="008758A9">
              <w:rPr>
                <w:rStyle w:val="Tablefreq"/>
                <w:bCs/>
                <w:color w:val="000000"/>
              </w:rPr>
              <w:t>...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0CCDCF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Tablefreq"/>
                <w:color w:val="000000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7F4059C2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51DD2163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trHeight w:val="310"/>
          <w:jc w:val="center"/>
        </w:trPr>
        <w:tc>
          <w:tcPr>
            <w:tcW w:w="310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2924A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B52D854" w14:textId="77777777" w:rsidR="006A1999" w:rsidRPr="008758A9" w:rsidRDefault="006A1999" w:rsidP="00D82664">
            <w:pPr>
              <w:pStyle w:val="TableTextS5"/>
              <w:rPr>
                <w:rStyle w:val="Artref"/>
              </w:rPr>
            </w:pPr>
            <w:r w:rsidRPr="008758A9">
              <w:rPr>
                <w:rStyle w:val="Artref"/>
              </w:rPr>
              <w:t>...</w:t>
            </w: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441F83D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192D24CA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56BC04" w14:textId="77777777" w:rsidR="006A1999" w:rsidRPr="008758A9" w:rsidRDefault="006A1999" w:rsidP="00D82664">
            <w:pPr>
              <w:pStyle w:val="TableTextS5"/>
              <w:rPr>
                <w:rStyle w:val="Tablefreq"/>
                <w:b w:val="0"/>
                <w:bCs/>
                <w:color w:val="000000"/>
              </w:rPr>
            </w:pPr>
            <w:r w:rsidRPr="008758A9">
              <w:rPr>
                <w:rStyle w:val="Tablefreq"/>
                <w:bCs/>
                <w:color w:val="000000"/>
              </w:rPr>
              <w:t>...</w:t>
            </w:r>
          </w:p>
        </w:tc>
        <w:tc>
          <w:tcPr>
            <w:tcW w:w="3101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77B241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Style w:val="Artref"/>
              </w:rPr>
            </w:pPr>
          </w:p>
        </w:tc>
        <w:tc>
          <w:tcPr>
            <w:tcW w:w="3099" w:type="dxa"/>
            <w:vMerge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FE486C" w14:textId="77777777" w:rsidR="006A1999" w:rsidRPr="008758A9" w:rsidRDefault="006A1999" w:rsidP="00D8266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sz w:val="20"/>
              </w:rPr>
            </w:pPr>
          </w:p>
        </w:tc>
      </w:tr>
      <w:tr w:rsidR="006A1999" w:rsidRPr="008758A9" w14:paraId="11D0EB91" w14:textId="77777777" w:rsidTr="00D82664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cantSplit/>
          <w:jc w:val="center"/>
        </w:trPr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0CC8" w14:textId="77777777" w:rsidR="006A1999" w:rsidRPr="008758A9" w:rsidRDefault="006A1999" w:rsidP="00D82664">
            <w:pPr>
              <w:pStyle w:val="TableTextS5"/>
              <w:ind w:left="0" w:firstLine="0"/>
              <w:rPr>
                <w:rStyle w:val="Tablefreq"/>
                <w:color w:val="000000"/>
              </w:rPr>
            </w:pPr>
          </w:p>
        </w:tc>
        <w:tc>
          <w:tcPr>
            <w:tcW w:w="31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5B9" w14:textId="77777777" w:rsidR="006A1999" w:rsidRPr="008758A9" w:rsidRDefault="006A1999" w:rsidP="00D82664">
            <w:pPr>
              <w:pStyle w:val="TableTextS5"/>
              <w:ind w:left="0" w:firstLine="0"/>
              <w:rPr>
                <w:rStyle w:val="Tablefreq"/>
                <w:color w:val="000000"/>
              </w:rPr>
            </w:pPr>
          </w:p>
        </w:tc>
        <w:tc>
          <w:tcPr>
            <w:tcW w:w="3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BA7CB" w14:textId="77777777" w:rsidR="006A1999" w:rsidRPr="008758A9" w:rsidRDefault="006A1999" w:rsidP="00D82664">
            <w:pPr>
              <w:pStyle w:val="TableTextS5"/>
              <w:ind w:left="0" w:firstLine="0"/>
            </w:pPr>
            <w:proofErr w:type="gramStart"/>
            <w:r w:rsidRPr="008758A9">
              <w:rPr>
                <w:rStyle w:val="Artref"/>
                <w:color w:val="000000"/>
              </w:rPr>
              <w:t>5.149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5.305</w:t>
            </w:r>
            <w:proofErr w:type="gramEnd"/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5.306</w:t>
            </w:r>
            <w:r w:rsidRPr="008758A9">
              <w:t xml:space="preserve">  </w:t>
            </w:r>
            <w:r w:rsidRPr="008758A9">
              <w:rPr>
                <w:rStyle w:val="Artref"/>
                <w:color w:val="000000"/>
              </w:rPr>
              <w:t>5.307</w:t>
            </w:r>
            <w:r w:rsidRPr="008758A9">
              <w:rPr>
                <w:rStyle w:val="Artref"/>
                <w:color w:val="000000"/>
              </w:rPr>
              <w:br/>
              <w:t>5.320</w:t>
            </w:r>
          </w:p>
        </w:tc>
      </w:tr>
    </w:tbl>
    <w:p w14:paraId="16E9E4D5" w14:textId="77777777" w:rsidR="006A1999" w:rsidRPr="008758A9" w:rsidRDefault="006A1999" w:rsidP="006A1999">
      <w:pPr>
        <w:pStyle w:val="Reasons"/>
      </w:pPr>
      <w:r w:rsidRPr="008758A9">
        <w:rPr>
          <w:b/>
        </w:rPr>
        <w:t xml:space="preserve">Motivos: </w:t>
      </w:r>
      <w:r w:rsidRPr="008758A9">
        <w:t>Uso intenso actual y futuro de esta banda de frecuencias, así como la imposibilidad de garantizar la compatibilidad con los servicios existentes que tienen una atribución primaria o secundaria en la banda de frecuencias 470-694 MHz en el Cuadro de Atribución de Bandas de Frecuencias para la Región 1.</w:t>
      </w:r>
    </w:p>
    <w:p w14:paraId="25FC79FA" w14:textId="77777777" w:rsidR="006A1999" w:rsidRPr="008758A9" w:rsidRDefault="006A1999" w:rsidP="006A1999">
      <w:pPr>
        <w:pStyle w:val="Proposal"/>
      </w:pPr>
      <w:r w:rsidRPr="008758A9">
        <w:lastRenderedPageBreak/>
        <w:t>SUP</w:t>
      </w:r>
      <w:r w:rsidRPr="008758A9">
        <w:tab/>
        <w:t>RCC/85A5/2</w:t>
      </w:r>
    </w:p>
    <w:p w14:paraId="61E020F1" w14:textId="77777777" w:rsidR="006A1999" w:rsidRPr="008758A9" w:rsidRDefault="006A1999" w:rsidP="006A1999">
      <w:pPr>
        <w:pStyle w:val="ResNo"/>
      </w:pPr>
      <w:bookmarkStart w:id="12" w:name="_Toc39734911"/>
      <w:r w:rsidRPr="008758A9">
        <w:rPr>
          <w:caps w:val="0"/>
        </w:rPr>
        <w:t xml:space="preserve">RESOLUCIÓN </w:t>
      </w:r>
      <w:r w:rsidRPr="008758A9">
        <w:rPr>
          <w:rStyle w:val="href"/>
          <w:caps w:val="0"/>
        </w:rPr>
        <w:t>235</w:t>
      </w:r>
      <w:r w:rsidRPr="008758A9">
        <w:rPr>
          <w:caps w:val="0"/>
          <w:lang w:eastAsia="nl-NL"/>
        </w:rPr>
        <w:t xml:space="preserve"> (CMR-15)</w:t>
      </w:r>
      <w:bookmarkEnd w:id="12"/>
    </w:p>
    <w:p w14:paraId="6E5CB56F" w14:textId="77777777" w:rsidR="006A1999" w:rsidRPr="008758A9" w:rsidRDefault="006A1999" w:rsidP="006A1999">
      <w:pPr>
        <w:pStyle w:val="Restitle"/>
        <w:rPr>
          <w:lang w:eastAsia="nl-NL"/>
        </w:rPr>
      </w:pPr>
      <w:bookmarkStart w:id="13" w:name="_Toc39734912"/>
      <w:r w:rsidRPr="008758A9">
        <w:rPr>
          <w:lang w:eastAsia="nl-NL"/>
        </w:rPr>
        <w:t>Revisión de la utilización del espectro de la banda</w:t>
      </w:r>
      <w:r w:rsidRPr="008758A9">
        <w:rPr>
          <w:lang w:eastAsia="nl-NL"/>
        </w:rPr>
        <w:br/>
        <w:t>de frecuencias 470-960 MHz en la Región 1</w:t>
      </w:r>
      <w:bookmarkEnd w:id="13"/>
    </w:p>
    <w:p w14:paraId="75A95523" w14:textId="77777777" w:rsidR="006A1999" w:rsidRPr="008758A9" w:rsidRDefault="006A1999" w:rsidP="006A1999">
      <w:pPr>
        <w:pStyle w:val="Reasons"/>
        <w:rPr>
          <w:lang w:eastAsia="nl-NL"/>
        </w:rPr>
      </w:pPr>
    </w:p>
    <w:p w14:paraId="7C341C9E" w14:textId="77777777" w:rsidR="006A1999" w:rsidRPr="008758A9" w:rsidRDefault="006A1999" w:rsidP="006A1999">
      <w:pPr>
        <w:jc w:val="center"/>
      </w:pPr>
      <w:r w:rsidRPr="008758A9">
        <w:t>______________</w:t>
      </w:r>
    </w:p>
    <w:p w14:paraId="76BC0791" w14:textId="3E058386" w:rsidR="00CF21C8" w:rsidRPr="006A1999" w:rsidRDefault="00CF21C8" w:rsidP="006A1999"/>
    <w:sectPr w:rsidR="00CF21C8" w:rsidRPr="006A19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34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E658C" w14:textId="77777777" w:rsidR="00666B37" w:rsidRDefault="00666B37">
      <w:r>
        <w:separator/>
      </w:r>
    </w:p>
  </w:endnote>
  <w:endnote w:type="continuationSeparator" w:id="0">
    <w:p w14:paraId="1CC1BFBC" w14:textId="77777777" w:rsidR="00666B37" w:rsidRDefault="00666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4C23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FC9682" w14:textId="77777777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A1999">
      <w:rPr>
        <w:noProof/>
      </w:rPr>
      <w:t>02.11.23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14836" w14:textId="2932EBFF" w:rsidR="0077084A" w:rsidRDefault="0077084A" w:rsidP="00B86034">
    <w:pPr>
      <w:pStyle w:val="Footer"/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B1E18">
      <w:rPr>
        <w:lang w:val="en-US"/>
      </w:rPr>
      <w:t>P:\ESP\ITU-R\CONF-R\CMR23\000\085ADD05S.docx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7DA9" w14:textId="0E5926E6" w:rsidR="0077084A" w:rsidRDefault="0077084A" w:rsidP="00B47331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B1E18">
      <w:rPr>
        <w:lang w:val="en-US"/>
      </w:rPr>
      <w:t>P:\ESP\ITU-R\CONF-R\CMR23\000\085ADD05S.docx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D2056" w14:textId="77777777" w:rsidR="00666B37" w:rsidRDefault="00666B37">
      <w:r>
        <w:rPr>
          <w:b/>
        </w:rPr>
        <w:t>_______________</w:t>
      </w:r>
    </w:p>
  </w:footnote>
  <w:footnote w:type="continuationSeparator" w:id="0">
    <w:p w14:paraId="181208C8" w14:textId="77777777" w:rsidR="00666B37" w:rsidRDefault="00666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3557" w14:textId="77777777" w:rsidR="008B1E18" w:rsidRDefault="008B1E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AA69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2EA592E" w14:textId="77777777" w:rsidR="0077084A" w:rsidRDefault="000A2A7D" w:rsidP="00C44E9E">
    <w:pPr>
      <w:pStyle w:val="Header"/>
      <w:rPr>
        <w:lang w:val="en-US"/>
      </w:rPr>
    </w:pPr>
    <w:r>
      <w:rPr>
        <w:lang w:val="en-US"/>
      </w:rPr>
      <w:t>WRC</w:t>
    </w:r>
    <w:r w:rsidR="004D2749">
      <w:rPr>
        <w:lang w:val="en-US"/>
      </w:rPr>
      <w:t>23</w:t>
    </w:r>
    <w:r w:rsidR="008750A8">
      <w:rPr>
        <w:lang w:val="en-US"/>
      </w:rPr>
      <w:t>/</w:t>
    </w:r>
    <w:r w:rsidR="00702F3D">
      <w:t>85(Add.5)-</w:t>
    </w:r>
    <w:r w:rsidR="003248A9" w:rsidRPr="003248A9">
      <w:t>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AEB73" w14:textId="77777777" w:rsidR="008B1E18" w:rsidRDefault="008B1E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1199702395">
    <w:abstractNumId w:val="8"/>
  </w:num>
  <w:num w:numId="2" w16cid:durableId="65352690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55462930">
    <w:abstractNumId w:val="9"/>
  </w:num>
  <w:num w:numId="4" w16cid:durableId="1433237999">
    <w:abstractNumId w:val="7"/>
  </w:num>
  <w:num w:numId="5" w16cid:durableId="1682587656">
    <w:abstractNumId w:val="6"/>
  </w:num>
  <w:num w:numId="6" w16cid:durableId="479422258">
    <w:abstractNumId w:val="5"/>
  </w:num>
  <w:num w:numId="7" w16cid:durableId="1879312767">
    <w:abstractNumId w:val="4"/>
  </w:num>
  <w:num w:numId="8" w16cid:durableId="1028869003">
    <w:abstractNumId w:val="3"/>
  </w:num>
  <w:num w:numId="9" w16cid:durableId="1794981476">
    <w:abstractNumId w:val="2"/>
  </w:num>
  <w:num w:numId="10" w16cid:durableId="1560050917">
    <w:abstractNumId w:val="1"/>
  </w:num>
  <w:num w:numId="11" w16cid:durableId="78847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87AE8"/>
    <w:rsid w:val="00091054"/>
    <w:rsid w:val="000A2A7D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3659C"/>
    <w:rsid w:val="00236D2A"/>
    <w:rsid w:val="0024569E"/>
    <w:rsid w:val="00255F12"/>
    <w:rsid w:val="00262C09"/>
    <w:rsid w:val="002A791F"/>
    <w:rsid w:val="002C1A52"/>
    <w:rsid w:val="002C1B26"/>
    <w:rsid w:val="002C5D6C"/>
    <w:rsid w:val="002E701F"/>
    <w:rsid w:val="003248A9"/>
    <w:rsid w:val="00324FFA"/>
    <w:rsid w:val="0032680B"/>
    <w:rsid w:val="00363A65"/>
    <w:rsid w:val="003B1E8C"/>
    <w:rsid w:val="003C0613"/>
    <w:rsid w:val="003C2508"/>
    <w:rsid w:val="003D0AA3"/>
    <w:rsid w:val="003E2086"/>
    <w:rsid w:val="003F7F66"/>
    <w:rsid w:val="00440B3A"/>
    <w:rsid w:val="0044375A"/>
    <w:rsid w:val="0045384C"/>
    <w:rsid w:val="00454553"/>
    <w:rsid w:val="00472A86"/>
    <w:rsid w:val="004B124A"/>
    <w:rsid w:val="004B3095"/>
    <w:rsid w:val="004D2749"/>
    <w:rsid w:val="004D2C7C"/>
    <w:rsid w:val="005133B5"/>
    <w:rsid w:val="00524392"/>
    <w:rsid w:val="00532097"/>
    <w:rsid w:val="0058350F"/>
    <w:rsid w:val="00583C7E"/>
    <w:rsid w:val="0059098E"/>
    <w:rsid w:val="005D46FB"/>
    <w:rsid w:val="005F2605"/>
    <w:rsid w:val="005F3B0E"/>
    <w:rsid w:val="005F3DB8"/>
    <w:rsid w:val="005F559C"/>
    <w:rsid w:val="00602857"/>
    <w:rsid w:val="006124AD"/>
    <w:rsid w:val="00624009"/>
    <w:rsid w:val="00662BA0"/>
    <w:rsid w:val="00666B37"/>
    <w:rsid w:val="0067344B"/>
    <w:rsid w:val="00684A94"/>
    <w:rsid w:val="00692AAE"/>
    <w:rsid w:val="006A1999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0079E"/>
    <w:rsid w:val="008504C2"/>
    <w:rsid w:val="00866AE6"/>
    <w:rsid w:val="008750A8"/>
    <w:rsid w:val="008B1E1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A021CC"/>
    <w:rsid w:val="00A118DB"/>
    <w:rsid w:val="00A4450C"/>
    <w:rsid w:val="00AA5E6C"/>
    <w:rsid w:val="00AC49B1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44E9E"/>
    <w:rsid w:val="00C63EB5"/>
    <w:rsid w:val="00C87DA7"/>
    <w:rsid w:val="00CA4945"/>
    <w:rsid w:val="00CC01E0"/>
    <w:rsid w:val="00CD5FEE"/>
    <w:rsid w:val="00CE60D2"/>
    <w:rsid w:val="00CE7431"/>
    <w:rsid w:val="00CF21C8"/>
    <w:rsid w:val="00D00CA8"/>
    <w:rsid w:val="00D0288A"/>
    <w:rsid w:val="00D72A5D"/>
    <w:rsid w:val="00DA71A3"/>
    <w:rsid w:val="00DC192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052A2CCE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R23-WRC23-C-0085!A5!MSW-S</DPM_x0020_File_x0020_name>
    <DPM_x0020_Author xmlns="32a1a8c5-2265-4ebc-b7a0-2071e2c5c9bb" xsi:nil="false">DPM</DPM_x0020_Author>
    <DPM_x0020_Version xmlns="32a1a8c5-2265-4ebc-b7a0-2071e2c5c9bb" xsi:nil="false">DPM_2022.05.12.01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D4333F-45E6-49EE-9244-D839CF5DA851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2BA77A30-2D7A-4526-895C-6AFAB191F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7DDBAB-7A03-4239-9D12-68F2DCD628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CA114F1-09A4-4B85-BE78-261AC6A315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F13040-05EE-4851-81AE-BB587815F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724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R23-WRC23-C-0085!A5!MSW-S</dc:title>
  <dc:subject>Conferencia Mundial de Radiocomunicaciones - 2019</dc:subject>
  <dc:creator>Documents Proposals Manager (DPM)</dc:creator>
  <cp:keywords>DPM_v2023.8.1.1_prod</cp:keywords>
  <dc:description/>
  <cp:lastModifiedBy>MM</cp:lastModifiedBy>
  <cp:revision>3</cp:revision>
  <cp:lastPrinted>2003-02-19T20:20:00Z</cp:lastPrinted>
  <dcterms:created xsi:type="dcterms:W3CDTF">2023-11-02T16:53:00Z</dcterms:created>
  <dcterms:modified xsi:type="dcterms:W3CDTF">2023-11-02T16:53:00Z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