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084568" w14:paraId="44141AD5" w14:textId="77777777" w:rsidTr="00F320AA">
        <w:trPr>
          <w:cantSplit/>
        </w:trPr>
        <w:tc>
          <w:tcPr>
            <w:tcW w:w="1418" w:type="dxa"/>
            <w:vAlign w:val="center"/>
          </w:tcPr>
          <w:p w14:paraId="7003E9CB" w14:textId="77777777" w:rsidR="00F320AA" w:rsidRPr="00084568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084568">
              <w:rPr>
                <w:noProof/>
              </w:rPr>
              <w:drawing>
                <wp:inline distT="0" distB="0" distL="0" distR="0" wp14:anchorId="10254B1B" wp14:editId="01BF0961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12D14C5" w14:textId="77777777" w:rsidR="00F320AA" w:rsidRPr="00084568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8456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08456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08456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982A582" w14:textId="77777777" w:rsidR="00F320AA" w:rsidRPr="00084568" w:rsidRDefault="00EB0812" w:rsidP="00F320AA">
            <w:pPr>
              <w:spacing w:before="0" w:line="240" w:lineRule="atLeast"/>
            </w:pPr>
            <w:r w:rsidRPr="00084568">
              <w:rPr>
                <w:noProof/>
              </w:rPr>
              <w:drawing>
                <wp:inline distT="0" distB="0" distL="0" distR="0" wp14:anchorId="18D7750E" wp14:editId="1CB25103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84568" w14:paraId="1E521CF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2563678" w14:textId="77777777" w:rsidR="00A066F1" w:rsidRPr="0008456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74724F" w14:textId="77777777" w:rsidR="00A066F1" w:rsidRPr="0008456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084568" w14:paraId="53CB96C8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F2CEDAA" w14:textId="77777777" w:rsidR="00A066F1" w:rsidRPr="0008456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9A681BB" w14:textId="77777777" w:rsidR="00A066F1" w:rsidRPr="0008456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084568" w14:paraId="7BB1C4A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4646B2B" w14:textId="77777777" w:rsidR="00A066F1" w:rsidRPr="0008456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08456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B703BC4" w14:textId="77777777" w:rsidR="00A066F1" w:rsidRPr="0008456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84568">
              <w:rPr>
                <w:rFonts w:ascii="Verdana" w:hAnsi="Verdana"/>
                <w:b/>
                <w:sz w:val="20"/>
              </w:rPr>
              <w:t>Addendum 6 to</w:t>
            </w:r>
            <w:r w:rsidRPr="00084568">
              <w:rPr>
                <w:rFonts w:ascii="Verdana" w:hAnsi="Verdana"/>
                <w:b/>
                <w:sz w:val="20"/>
              </w:rPr>
              <w:br/>
              <w:t>Document 85(Add.24)</w:t>
            </w:r>
            <w:r w:rsidR="00A066F1" w:rsidRPr="00084568">
              <w:rPr>
                <w:rFonts w:ascii="Verdana" w:hAnsi="Verdana"/>
                <w:b/>
                <w:sz w:val="20"/>
              </w:rPr>
              <w:t>-</w:t>
            </w:r>
            <w:r w:rsidR="005E10C9" w:rsidRPr="0008456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084568" w14:paraId="7CDEC95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DD28E43" w14:textId="77777777" w:rsidR="00A066F1" w:rsidRPr="0008456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1A89EBE" w14:textId="77777777" w:rsidR="00A066F1" w:rsidRPr="0008456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84568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084568" w14:paraId="56B52C4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9DF2B82" w14:textId="77777777" w:rsidR="00A066F1" w:rsidRPr="0008456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5194DB7D" w14:textId="77777777" w:rsidR="00A066F1" w:rsidRPr="0008456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84568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084568" w14:paraId="08FF856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F700F15" w14:textId="77777777" w:rsidR="00A066F1" w:rsidRPr="0008456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084568" w14:paraId="3906AB6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DAE768C" w14:textId="77777777" w:rsidR="00E55816" w:rsidRPr="00084568" w:rsidRDefault="00884D60" w:rsidP="00E55816">
            <w:pPr>
              <w:pStyle w:val="Source"/>
            </w:pPr>
            <w:r w:rsidRPr="00084568">
              <w:t>Regional Commonwealth in the field of Communications Common Proposals</w:t>
            </w:r>
          </w:p>
        </w:tc>
      </w:tr>
      <w:tr w:rsidR="00E55816" w:rsidRPr="00084568" w14:paraId="17E3E30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FEB7B3E" w14:textId="23751441" w:rsidR="00E55816" w:rsidRPr="00084568" w:rsidRDefault="00D62F6B" w:rsidP="00E55816">
            <w:pPr>
              <w:pStyle w:val="Title1"/>
            </w:pPr>
            <w:r w:rsidRPr="00084568">
              <w:t>PROPOSALS FOR THE WORK OF THE CONFERENCE</w:t>
            </w:r>
          </w:p>
        </w:tc>
      </w:tr>
      <w:tr w:rsidR="00E55816" w:rsidRPr="00084568" w14:paraId="55A09D0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C892D6E" w14:textId="77777777" w:rsidR="00E55816" w:rsidRPr="00084568" w:rsidRDefault="00E55816" w:rsidP="00E55816">
            <w:pPr>
              <w:pStyle w:val="Title2"/>
            </w:pPr>
          </w:p>
        </w:tc>
      </w:tr>
      <w:tr w:rsidR="00A538A6" w:rsidRPr="00084568" w14:paraId="06CE1CB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B57ECC" w14:textId="77777777" w:rsidR="00A538A6" w:rsidRPr="00084568" w:rsidRDefault="004B13CB" w:rsidP="004B13CB">
            <w:pPr>
              <w:pStyle w:val="Agendaitem"/>
              <w:rPr>
                <w:lang w:val="en-GB"/>
              </w:rPr>
            </w:pPr>
            <w:r w:rsidRPr="00084568">
              <w:rPr>
                <w:lang w:val="en-GB"/>
              </w:rPr>
              <w:t>Agenda item 9.1</w:t>
            </w:r>
          </w:p>
        </w:tc>
      </w:tr>
    </w:tbl>
    <w:bookmarkEnd w:id="5"/>
    <w:bookmarkEnd w:id="6"/>
    <w:p w14:paraId="2C318D8D" w14:textId="77777777" w:rsidR="00187BD9" w:rsidRPr="00084568" w:rsidRDefault="000400F2" w:rsidP="006965F8">
      <w:r w:rsidRPr="00084568">
        <w:t>9</w:t>
      </w:r>
      <w:r w:rsidRPr="00084568">
        <w:tab/>
        <w:t>to consider and approve the Report of the Director of the Radiocommunication Bureau, in accordance with Article 7 of the ITU Convention</w:t>
      </w:r>
      <w:r w:rsidRPr="00084568">
        <w:rPr>
          <w:bCs/>
        </w:rPr>
        <w:t>;</w:t>
      </w:r>
    </w:p>
    <w:p w14:paraId="792663F6" w14:textId="02522C84" w:rsidR="00241FA2" w:rsidRPr="00084568" w:rsidRDefault="000400F2" w:rsidP="00EB54B2">
      <w:r w:rsidRPr="00084568">
        <w:t>9.1</w:t>
      </w:r>
      <w:r w:rsidRPr="00084568">
        <w:tab/>
        <w:t>on the activities of the ITU Radiocommunication Sector since WRC</w:t>
      </w:r>
      <w:r w:rsidRPr="00084568">
        <w:noBreakHyphen/>
        <w:t>19:</w:t>
      </w:r>
    </w:p>
    <w:p w14:paraId="6B3DE607" w14:textId="079D18EC" w:rsidR="00D62F6B" w:rsidRPr="00084568" w:rsidRDefault="000400F2" w:rsidP="000400F2">
      <w:r w:rsidRPr="00084568">
        <w:t>Additional Issue No. 2</w:t>
      </w:r>
      <w:r w:rsidR="00EE0A29" w:rsidRPr="00084568">
        <w:t xml:space="preserve">. </w:t>
      </w:r>
      <w:r w:rsidRPr="00084568">
        <w:t xml:space="preserve">Resolution </w:t>
      </w:r>
      <w:r w:rsidRPr="00084568">
        <w:rPr>
          <w:b/>
          <w:bCs/>
        </w:rPr>
        <w:t xml:space="preserve">427 (WRC-19) </w:t>
      </w:r>
      <w:r w:rsidR="00EE0A29" w:rsidRPr="00084568">
        <w:rPr>
          <w:b/>
          <w:bCs/>
        </w:rPr>
        <w:t xml:space="preserve">– </w:t>
      </w:r>
      <w:r w:rsidRPr="00084568">
        <w:t>Updating provisions related to aeronautical services</w:t>
      </w:r>
      <w:r w:rsidR="00D10635" w:rsidRPr="00084568">
        <w:t xml:space="preserve"> in the Radio Regulations</w:t>
      </w:r>
      <w:r w:rsidRPr="00084568">
        <w:t xml:space="preserve"> in ITU-R</w:t>
      </w:r>
    </w:p>
    <w:p w14:paraId="5694B971" w14:textId="6153D4A7" w:rsidR="00D62F6B" w:rsidRPr="00084568" w:rsidRDefault="000400F2" w:rsidP="00852999">
      <w:pPr>
        <w:pStyle w:val="Headingb"/>
        <w:rPr>
          <w:lang w:val="en-GB"/>
        </w:rPr>
      </w:pPr>
      <w:r w:rsidRPr="00084568">
        <w:rPr>
          <w:lang w:val="en-GB"/>
        </w:rPr>
        <w:t>Introduction</w:t>
      </w:r>
    </w:p>
    <w:p w14:paraId="156761E2" w14:textId="2ABC0756" w:rsidR="00D62F6B" w:rsidRPr="00084568" w:rsidRDefault="00314353" w:rsidP="00EB54B2">
      <w:r w:rsidRPr="00084568">
        <w:t>The RCC Administrations are of the view that at present there is no need to introduce any amendments to the Radio Regulations</w:t>
      </w:r>
      <w:r w:rsidR="00430921">
        <w:t xml:space="preserve"> </w:t>
      </w:r>
      <w:r w:rsidR="00430921" w:rsidRPr="001B3362">
        <w:t>(RR)</w:t>
      </w:r>
      <w:r w:rsidRPr="00084568">
        <w:t xml:space="preserve"> on this issue, given that during the study period no proposals were made to amend them. This being the case, it is proposed to suppress Resolution </w:t>
      </w:r>
      <w:r w:rsidRPr="00084568">
        <w:rPr>
          <w:b/>
          <w:bCs/>
        </w:rPr>
        <w:t>427 (WRC</w:t>
      </w:r>
      <w:r w:rsidR="00084568" w:rsidRPr="00084568">
        <w:rPr>
          <w:b/>
          <w:bCs/>
        </w:rPr>
        <w:noBreakHyphen/>
      </w:r>
      <w:r w:rsidRPr="00084568">
        <w:rPr>
          <w:b/>
          <w:bCs/>
        </w:rPr>
        <w:t>19)</w:t>
      </w:r>
      <w:r w:rsidRPr="00084568">
        <w:t>.</w:t>
      </w:r>
    </w:p>
    <w:p w14:paraId="6AA7AA15" w14:textId="5D35D338" w:rsidR="00D62F6B" w:rsidRPr="00084568" w:rsidRDefault="00314353" w:rsidP="000400F2">
      <w:pPr>
        <w:tabs>
          <w:tab w:val="clear" w:pos="1134"/>
          <w:tab w:val="clear" w:pos="2268"/>
        </w:tabs>
      </w:pPr>
      <w:proofErr w:type="gramStart"/>
      <w:r w:rsidRPr="00084568">
        <w:t xml:space="preserve">In the event </w:t>
      </w:r>
      <w:r w:rsidR="00BE427B" w:rsidRPr="00084568">
        <w:t>that</w:t>
      </w:r>
      <w:proofErr w:type="gramEnd"/>
      <w:r w:rsidR="00BE427B" w:rsidRPr="00084568">
        <w:t xml:space="preserve"> </w:t>
      </w:r>
      <w:r w:rsidRPr="00084568">
        <w:t xml:space="preserve">this matter </w:t>
      </w:r>
      <w:r w:rsidR="00BE427B" w:rsidRPr="00084568">
        <w:t xml:space="preserve">is examined further </w:t>
      </w:r>
      <w:r w:rsidRPr="00084568">
        <w:t xml:space="preserve">after WRC-23, the RCC Administrations consider that </w:t>
      </w:r>
      <w:r w:rsidR="00D10635" w:rsidRPr="00084568">
        <w:t xml:space="preserve">any </w:t>
      </w:r>
      <w:r w:rsidR="00EE0A29" w:rsidRPr="00084568">
        <w:t>updat</w:t>
      </w:r>
      <w:r w:rsidR="00D10635" w:rsidRPr="00084568">
        <w:t>es to</w:t>
      </w:r>
      <w:r w:rsidRPr="00084568">
        <w:t xml:space="preserve"> the provisions of the </w:t>
      </w:r>
      <w:r w:rsidR="00430921" w:rsidRPr="001B3362">
        <w:t>RR</w:t>
      </w:r>
      <w:r w:rsidR="00430921">
        <w:t xml:space="preserve"> </w:t>
      </w:r>
      <w:r w:rsidRPr="00084568">
        <w:t xml:space="preserve">relating to </w:t>
      </w:r>
      <w:r w:rsidR="00EE0A29" w:rsidRPr="00084568">
        <w:t>aeronautical</w:t>
      </w:r>
      <w:r w:rsidRPr="00084568">
        <w:t xml:space="preserve"> service</w:t>
      </w:r>
      <w:r w:rsidR="00EE0A29" w:rsidRPr="00084568">
        <w:t>s</w:t>
      </w:r>
      <w:r w:rsidRPr="00084568">
        <w:t xml:space="preserve"> in ITU</w:t>
      </w:r>
      <w:r w:rsidR="00084568" w:rsidRPr="00084568">
        <w:noBreakHyphen/>
      </w:r>
      <w:r w:rsidRPr="00084568">
        <w:t xml:space="preserve">R should ensure </w:t>
      </w:r>
      <w:r w:rsidR="00EE0A29" w:rsidRPr="00084568">
        <w:t xml:space="preserve">that </w:t>
      </w:r>
      <w:r w:rsidRPr="00084568">
        <w:t xml:space="preserve">these provisions </w:t>
      </w:r>
      <w:r w:rsidR="00EE0A29" w:rsidRPr="00084568">
        <w:t>are harmonized with</w:t>
      </w:r>
      <w:r w:rsidRPr="00084568">
        <w:t xml:space="preserve"> </w:t>
      </w:r>
      <w:r w:rsidR="00EE0A29" w:rsidRPr="00084568">
        <w:t>current</w:t>
      </w:r>
      <w:r w:rsidRPr="00084568">
        <w:t xml:space="preserve"> and future applications of </w:t>
      </w:r>
      <w:r w:rsidR="00EE0A29" w:rsidRPr="00084568">
        <w:t>aeronautical</w:t>
      </w:r>
      <w:r w:rsidRPr="00084568">
        <w:t xml:space="preserve"> systems.</w:t>
      </w:r>
    </w:p>
    <w:p w14:paraId="5DEA1207" w14:textId="207791F1" w:rsidR="000400F2" w:rsidRPr="00084568" w:rsidRDefault="000400F2" w:rsidP="00EB54B2">
      <w:r w:rsidRPr="00084568">
        <w:t xml:space="preserve">The RCC Administrations are also of the view that updating </w:t>
      </w:r>
      <w:r w:rsidR="00BE427B" w:rsidRPr="00084568">
        <w:t>the</w:t>
      </w:r>
      <w:r w:rsidRPr="00084568">
        <w:t xml:space="preserve"> provisions of </w:t>
      </w:r>
      <w:r w:rsidR="00D10635" w:rsidRPr="00084568">
        <w:t xml:space="preserve">the </w:t>
      </w:r>
      <w:r w:rsidR="00430921" w:rsidRPr="001B3362">
        <w:t>RR</w:t>
      </w:r>
      <w:r w:rsidR="00430921">
        <w:t xml:space="preserve"> </w:t>
      </w:r>
      <w:r w:rsidRPr="00084568">
        <w:t>relat</w:t>
      </w:r>
      <w:r w:rsidR="00BE427B" w:rsidRPr="00084568">
        <w:t>ing</w:t>
      </w:r>
      <w:r w:rsidRPr="00084568">
        <w:t xml:space="preserve"> to aeronautical services in ITU-R </w:t>
      </w:r>
      <w:r w:rsidR="00BE427B" w:rsidRPr="00084568">
        <w:t>should</w:t>
      </w:r>
      <w:r w:rsidRPr="00084568">
        <w:t xml:space="preserve"> not </w:t>
      </w:r>
      <w:r w:rsidR="00BE427B" w:rsidRPr="00084568">
        <w:t xml:space="preserve">introduce inconsistencies in the interpretation of </w:t>
      </w:r>
      <w:r w:rsidRPr="00084568">
        <w:t xml:space="preserve">existing </w:t>
      </w:r>
      <w:r w:rsidR="00BE427B" w:rsidRPr="00084568">
        <w:t xml:space="preserve">RR </w:t>
      </w:r>
      <w:r w:rsidRPr="00084568">
        <w:t>provisions related to aeronautical services.</w:t>
      </w:r>
    </w:p>
    <w:p w14:paraId="0F43D4A9" w14:textId="7F185836" w:rsidR="000400F2" w:rsidRPr="00084568" w:rsidRDefault="000400F2" w:rsidP="00852999">
      <w:pPr>
        <w:pStyle w:val="Headingb"/>
        <w:rPr>
          <w:lang w:val="en-GB" w:eastAsia="ja-JP"/>
        </w:rPr>
      </w:pPr>
      <w:r w:rsidRPr="00084568">
        <w:rPr>
          <w:lang w:val="en-GB" w:eastAsia="ja-JP"/>
        </w:rPr>
        <w:t>Proposal</w:t>
      </w:r>
    </w:p>
    <w:p w14:paraId="7B5D786B" w14:textId="13FF3409" w:rsidR="00852999" w:rsidRPr="00084568" w:rsidRDefault="000400F2" w:rsidP="000400F2">
      <w:r w:rsidRPr="00084568">
        <w:t xml:space="preserve">In order to </w:t>
      </w:r>
      <w:r w:rsidR="00BE427B" w:rsidRPr="00084568">
        <w:t>satisfy additional issue No. 2 o</w:t>
      </w:r>
      <w:r w:rsidR="00D10635" w:rsidRPr="00084568">
        <w:t>n</w:t>
      </w:r>
      <w:r w:rsidR="00BE427B" w:rsidRPr="00084568">
        <w:t xml:space="preserve"> the WRC-23 agenda</w:t>
      </w:r>
      <w:r w:rsidRPr="00084568">
        <w:t>, it is proposed to use the regulatory text annex</w:t>
      </w:r>
      <w:r w:rsidR="00BE427B" w:rsidRPr="00084568">
        <w:t>ed</w:t>
      </w:r>
      <w:r w:rsidRPr="00084568">
        <w:t xml:space="preserve"> hereto.</w:t>
      </w:r>
    </w:p>
    <w:p w14:paraId="50D5C5A8" w14:textId="7D1074CB" w:rsidR="00187BD9" w:rsidRPr="00084568" w:rsidRDefault="00187BD9" w:rsidP="000400F2">
      <w:pPr>
        <w:rPr>
          <w:color w:val="000000"/>
          <w:sz w:val="27"/>
          <w:szCs w:val="27"/>
        </w:rPr>
      </w:pPr>
      <w:r w:rsidRPr="00084568">
        <w:br w:type="page"/>
      </w:r>
    </w:p>
    <w:p w14:paraId="340CB073" w14:textId="77777777" w:rsidR="00615F86" w:rsidRPr="00084568" w:rsidRDefault="000400F2">
      <w:pPr>
        <w:pStyle w:val="Proposal"/>
      </w:pPr>
      <w:r w:rsidRPr="00084568">
        <w:rPr>
          <w:u w:val="single"/>
        </w:rPr>
        <w:lastRenderedPageBreak/>
        <w:t>NOC</w:t>
      </w:r>
      <w:r w:rsidRPr="00084568">
        <w:tab/>
        <w:t>RCC/85A24A6/1</w:t>
      </w:r>
    </w:p>
    <w:p w14:paraId="65D9ED43" w14:textId="77777777" w:rsidR="000400F2" w:rsidRPr="00084568" w:rsidRDefault="000400F2" w:rsidP="005410BF">
      <w:pPr>
        <w:pStyle w:val="Volumetitle"/>
      </w:pPr>
      <w:bookmarkStart w:id="7" w:name="_Toc451865278"/>
      <w:bookmarkStart w:id="8" w:name="_Toc42842370"/>
      <w:r w:rsidRPr="00084568">
        <w:t>ARTICLES</w:t>
      </w:r>
      <w:bookmarkEnd w:id="7"/>
      <w:bookmarkEnd w:id="8"/>
    </w:p>
    <w:p w14:paraId="74701A19" w14:textId="2DD10850" w:rsidR="00615F86" w:rsidRPr="00084568" w:rsidRDefault="00615F86">
      <w:pPr>
        <w:pStyle w:val="Reasons"/>
      </w:pPr>
    </w:p>
    <w:p w14:paraId="0BA62D77" w14:textId="77777777" w:rsidR="00615F86" w:rsidRPr="00084568" w:rsidRDefault="000400F2">
      <w:pPr>
        <w:pStyle w:val="Proposal"/>
      </w:pPr>
      <w:r w:rsidRPr="00084568">
        <w:rPr>
          <w:u w:val="single"/>
        </w:rPr>
        <w:t>NOC</w:t>
      </w:r>
      <w:r w:rsidRPr="00084568">
        <w:tab/>
        <w:t>RCC/85A24A6/2</w:t>
      </w:r>
    </w:p>
    <w:p w14:paraId="012AF5CB" w14:textId="77777777" w:rsidR="000400F2" w:rsidRPr="00084568" w:rsidRDefault="000400F2" w:rsidP="008A5CB3">
      <w:pPr>
        <w:pStyle w:val="Volumetitle"/>
      </w:pPr>
      <w:r w:rsidRPr="00084568">
        <w:t>APPENDICES</w:t>
      </w:r>
    </w:p>
    <w:p w14:paraId="68240BC4" w14:textId="36DED212" w:rsidR="00615F86" w:rsidRPr="00084568" w:rsidRDefault="00615F86">
      <w:pPr>
        <w:pStyle w:val="Reasons"/>
      </w:pPr>
    </w:p>
    <w:p w14:paraId="49E43FB0" w14:textId="77777777" w:rsidR="00615F86" w:rsidRPr="00084568" w:rsidRDefault="000400F2">
      <w:pPr>
        <w:pStyle w:val="Proposal"/>
      </w:pPr>
      <w:r w:rsidRPr="00084568">
        <w:t>SUP</w:t>
      </w:r>
      <w:r w:rsidRPr="00084568">
        <w:tab/>
        <w:t>RCC/85A24A6/3</w:t>
      </w:r>
    </w:p>
    <w:p w14:paraId="546C0DF1" w14:textId="77777777" w:rsidR="000400F2" w:rsidRPr="00084568" w:rsidRDefault="000400F2" w:rsidP="0045098B">
      <w:pPr>
        <w:pStyle w:val="ResNo"/>
      </w:pPr>
      <w:bookmarkStart w:id="9" w:name="_Toc39649507"/>
      <w:r w:rsidRPr="00084568">
        <w:t xml:space="preserve">RESOLUTION </w:t>
      </w:r>
      <w:r w:rsidRPr="00084568">
        <w:rPr>
          <w:rStyle w:val="href"/>
        </w:rPr>
        <w:t>427</w:t>
      </w:r>
      <w:r w:rsidRPr="00084568">
        <w:t xml:space="preserve"> (WRC</w:t>
      </w:r>
      <w:r w:rsidRPr="00084568">
        <w:noBreakHyphen/>
        <w:t>19)</w:t>
      </w:r>
      <w:bookmarkEnd w:id="9"/>
    </w:p>
    <w:p w14:paraId="505FA992" w14:textId="77777777" w:rsidR="000400F2" w:rsidRPr="00084568" w:rsidRDefault="000400F2" w:rsidP="0045098B">
      <w:pPr>
        <w:pStyle w:val="Restitle"/>
      </w:pPr>
      <w:bookmarkStart w:id="10" w:name="_Toc35789355"/>
      <w:bookmarkStart w:id="11" w:name="_Toc35857052"/>
      <w:bookmarkStart w:id="12" w:name="_Toc35877687"/>
      <w:bookmarkStart w:id="13" w:name="_Toc35963630"/>
      <w:bookmarkStart w:id="14" w:name="_Toc39649508"/>
      <w:r w:rsidRPr="00084568">
        <w:rPr>
          <w:bCs/>
          <w:szCs w:val="28"/>
        </w:rPr>
        <w:t>Updating provisions related to aeronautical services in the Radio Regulations</w:t>
      </w:r>
      <w:bookmarkEnd w:id="10"/>
      <w:bookmarkEnd w:id="11"/>
      <w:bookmarkEnd w:id="12"/>
      <w:bookmarkEnd w:id="13"/>
      <w:bookmarkEnd w:id="14"/>
    </w:p>
    <w:p w14:paraId="71C43B56" w14:textId="3B29476D" w:rsidR="00615F86" w:rsidRPr="00084568" w:rsidRDefault="000400F2">
      <w:pPr>
        <w:pStyle w:val="Reasons"/>
      </w:pPr>
      <w:r w:rsidRPr="00084568">
        <w:rPr>
          <w:b/>
        </w:rPr>
        <w:t>Reasons:</w:t>
      </w:r>
      <w:r w:rsidRPr="00084568">
        <w:tab/>
      </w:r>
      <w:r w:rsidR="00314353" w:rsidRPr="00084568">
        <w:t>This Resolution is no longer needed.</w:t>
      </w:r>
    </w:p>
    <w:p w14:paraId="7F727C58" w14:textId="77777777" w:rsidR="00962353" w:rsidRPr="00084568" w:rsidRDefault="00962353" w:rsidP="00962353"/>
    <w:p w14:paraId="6DD35C02" w14:textId="1BF4C106" w:rsidR="00962353" w:rsidRDefault="00962353" w:rsidP="00962353">
      <w:pPr>
        <w:jc w:val="center"/>
      </w:pPr>
      <w:r w:rsidRPr="00084568">
        <w:t>_______________</w:t>
      </w:r>
    </w:p>
    <w:sectPr w:rsidR="0096235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E4CD" w14:textId="77777777" w:rsidR="00675DF6" w:rsidRDefault="00675DF6">
      <w:r>
        <w:separator/>
      </w:r>
    </w:p>
  </w:endnote>
  <w:endnote w:type="continuationSeparator" w:id="0">
    <w:p w14:paraId="50C886A3" w14:textId="77777777" w:rsidR="00675DF6" w:rsidRDefault="0067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8A9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D09561" w14:textId="7D271EB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3362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D9BD" w14:textId="65C7F7F6" w:rsidR="00E45D05" w:rsidRDefault="000400F2" w:rsidP="009B1EA1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DA77C4">
      <w:rPr>
        <w:lang w:val="en-US"/>
      </w:rPr>
      <w:t>P:\TRAD\E\ITU-R\CONF-R\CMR23\000\085ADD24ADD06E.docx</w:t>
    </w:r>
    <w:r>
      <w:fldChar w:fldCharType="end"/>
    </w:r>
    <w:r>
      <w:rPr>
        <w:lang w:val="en-US"/>
      </w:rPr>
      <w:t xml:space="preserve"> (529918)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FE5F" w14:textId="064DA923" w:rsidR="000400F2" w:rsidRDefault="000400F2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DA77C4">
      <w:rPr>
        <w:lang w:val="en-US"/>
      </w:rPr>
      <w:t>P:\TRAD\E\ITU-R\CONF-R\CMR23\000\085ADD24ADD06E.docx</w:t>
    </w:r>
    <w:r>
      <w:fldChar w:fldCharType="end"/>
    </w:r>
    <w:r>
      <w:rPr>
        <w:lang w:val="en-US"/>
      </w:rPr>
      <w:t xml:space="preserve"> (529918)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1009" w14:textId="77777777" w:rsidR="00675DF6" w:rsidRDefault="00675DF6">
      <w:r>
        <w:rPr>
          <w:b/>
        </w:rPr>
        <w:t>_______________</w:t>
      </w:r>
    </w:p>
  </w:footnote>
  <w:footnote w:type="continuationSeparator" w:id="0">
    <w:p w14:paraId="1F69A7F7" w14:textId="77777777" w:rsidR="00675DF6" w:rsidRDefault="0067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58F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D665E3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5" w:name="OLE_LINK1"/>
    <w:bookmarkStart w:id="16" w:name="OLE_LINK2"/>
    <w:bookmarkStart w:id="17" w:name="OLE_LINK3"/>
    <w:r w:rsidR="00EB55C6">
      <w:t>85(Add.24)(Add.6)</w:t>
    </w:r>
    <w:bookmarkEnd w:id="15"/>
    <w:bookmarkEnd w:id="16"/>
    <w:bookmarkEnd w:id="17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74706632">
    <w:abstractNumId w:val="0"/>
  </w:num>
  <w:num w:numId="2" w16cid:durableId="12314264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400F2"/>
    <w:rsid w:val="00051E39"/>
    <w:rsid w:val="000705F2"/>
    <w:rsid w:val="00077239"/>
    <w:rsid w:val="0007795D"/>
    <w:rsid w:val="00084568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B3362"/>
    <w:rsid w:val="001C3B5F"/>
    <w:rsid w:val="001D058F"/>
    <w:rsid w:val="002009EA"/>
    <w:rsid w:val="00202756"/>
    <w:rsid w:val="00202CA0"/>
    <w:rsid w:val="00216B6D"/>
    <w:rsid w:val="0022757F"/>
    <w:rsid w:val="00241FA2"/>
    <w:rsid w:val="00267721"/>
    <w:rsid w:val="00271316"/>
    <w:rsid w:val="002B349C"/>
    <w:rsid w:val="002D58BE"/>
    <w:rsid w:val="002F4747"/>
    <w:rsid w:val="00302605"/>
    <w:rsid w:val="00314353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30921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35A93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5F86"/>
    <w:rsid w:val="00616219"/>
    <w:rsid w:val="00645B7D"/>
    <w:rsid w:val="00657DE0"/>
    <w:rsid w:val="00675DF6"/>
    <w:rsid w:val="00685313"/>
    <w:rsid w:val="00692833"/>
    <w:rsid w:val="006A6CA9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52999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62353"/>
    <w:rsid w:val="00977B52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4FCD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BE427B"/>
    <w:rsid w:val="00C0018F"/>
    <w:rsid w:val="00C16A5A"/>
    <w:rsid w:val="00C20466"/>
    <w:rsid w:val="00C214ED"/>
    <w:rsid w:val="00C234E6"/>
    <w:rsid w:val="00C27E4B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0635"/>
    <w:rsid w:val="00D14CE0"/>
    <w:rsid w:val="00D255D4"/>
    <w:rsid w:val="00D268B3"/>
    <w:rsid w:val="00D52FD6"/>
    <w:rsid w:val="00D54009"/>
    <w:rsid w:val="00D5651D"/>
    <w:rsid w:val="00D57A34"/>
    <w:rsid w:val="00D62F6B"/>
    <w:rsid w:val="00D74898"/>
    <w:rsid w:val="00D801ED"/>
    <w:rsid w:val="00D936BC"/>
    <w:rsid w:val="00D96530"/>
    <w:rsid w:val="00DA1CB1"/>
    <w:rsid w:val="00DA77C4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E0A29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1A02B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00F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paragraph" w:styleId="Revision">
    <w:name w:val="Revision"/>
    <w:hidden/>
    <w:uiPriority w:val="99"/>
    <w:semiHidden/>
    <w:rsid w:val="0043092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R23-WRC23-C-0085!A24-A6!MSW-E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62D73-EF48-4CEE-BEEB-33DEB4539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6F7D7-ECA7-46D3-A4FB-A77056702567}"/>
</file>

<file path=customXml/itemProps3.xml><?xml version="1.0" encoding="utf-8"?>
<ds:datastoreItem xmlns:ds="http://schemas.openxmlformats.org/officeDocument/2006/customXml" ds:itemID="{E3CF5911-39B8-4B15-A373-E387E534E84C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A42D746E-7F79-4FB7-8723-D838059B43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DAC5F2-60EF-4A15-90B5-48FD3A3E1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R23-WRC23-C-0085!A24-A6!MSW-E</vt:lpstr>
    </vt:vector>
  </TitlesOfParts>
  <Manager>General Secretariat - Pool</Manager>
  <Company>International Telecommunication Union (ITU)</Company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R23-WRC23-C-0085!A24-A6!MSW-E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4</cp:revision>
  <cp:lastPrinted>2017-02-10T08:23:00Z</cp:lastPrinted>
  <dcterms:created xsi:type="dcterms:W3CDTF">2023-11-06T16:54:00Z</dcterms:created>
  <dcterms:modified xsi:type="dcterms:W3CDTF">2023-11-07T16:57:00Z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