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25916" w14:paraId="7A1B1FF4" w14:textId="77777777" w:rsidTr="00F320AA">
        <w:trPr>
          <w:cantSplit/>
        </w:trPr>
        <w:tc>
          <w:tcPr>
            <w:tcW w:w="1418" w:type="dxa"/>
            <w:vAlign w:val="center"/>
          </w:tcPr>
          <w:p w14:paraId="0AB14503" w14:textId="77777777" w:rsidR="00F320AA" w:rsidRPr="00225916" w:rsidRDefault="00F320AA" w:rsidP="00F320AA">
            <w:pPr>
              <w:spacing w:before="0"/>
              <w:rPr>
                <w:rFonts w:ascii="Verdana" w:hAnsi="Verdana"/>
                <w:position w:val="6"/>
              </w:rPr>
            </w:pPr>
            <w:r w:rsidRPr="00225916">
              <w:rPr>
                <w:noProof/>
              </w:rPr>
              <w:drawing>
                <wp:inline distT="0" distB="0" distL="0" distR="0" wp14:anchorId="35399B21" wp14:editId="7E0121B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DB13817" w14:textId="77777777" w:rsidR="00F320AA" w:rsidRPr="00225916" w:rsidRDefault="00F320AA" w:rsidP="00F320AA">
            <w:pPr>
              <w:spacing w:before="400" w:after="48" w:line="240" w:lineRule="atLeast"/>
              <w:rPr>
                <w:rFonts w:ascii="Verdana" w:hAnsi="Verdana"/>
                <w:position w:val="6"/>
              </w:rPr>
            </w:pPr>
            <w:r w:rsidRPr="00225916">
              <w:rPr>
                <w:rFonts w:ascii="Verdana" w:hAnsi="Verdana" w:cs="Times"/>
                <w:b/>
                <w:position w:val="6"/>
                <w:sz w:val="22"/>
                <w:szCs w:val="22"/>
              </w:rPr>
              <w:t>World Radiocommunication Conference (WRC-23)</w:t>
            </w:r>
            <w:r w:rsidRPr="00225916">
              <w:rPr>
                <w:rFonts w:ascii="Verdana" w:hAnsi="Verdana" w:cs="Times"/>
                <w:b/>
                <w:position w:val="6"/>
                <w:sz w:val="26"/>
                <w:szCs w:val="26"/>
              </w:rPr>
              <w:br/>
            </w:r>
            <w:r w:rsidRPr="00225916">
              <w:rPr>
                <w:rFonts w:ascii="Verdana" w:hAnsi="Verdana"/>
                <w:b/>
                <w:bCs/>
                <w:position w:val="6"/>
                <w:sz w:val="18"/>
                <w:szCs w:val="18"/>
              </w:rPr>
              <w:t>Dubai, 20 November - 15 December 2023</w:t>
            </w:r>
          </w:p>
        </w:tc>
        <w:tc>
          <w:tcPr>
            <w:tcW w:w="1951" w:type="dxa"/>
            <w:vAlign w:val="center"/>
          </w:tcPr>
          <w:p w14:paraId="22C1A672" w14:textId="77777777" w:rsidR="00F320AA" w:rsidRPr="00225916" w:rsidRDefault="00EB0812" w:rsidP="00F320AA">
            <w:pPr>
              <w:spacing w:before="0" w:line="240" w:lineRule="atLeast"/>
            </w:pPr>
            <w:r w:rsidRPr="00225916">
              <w:rPr>
                <w:noProof/>
              </w:rPr>
              <w:drawing>
                <wp:inline distT="0" distB="0" distL="0" distR="0" wp14:anchorId="0C777CCB" wp14:editId="5EFB2F6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25916" w14:paraId="7F979688" w14:textId="77777777">
        <w:trPr>
          <w:cantSplit/>
        </w:trPr>
        <w:tc>
          <w:tcPr>
            <w:tcW w:w="6911" w:type="dxa"/>
            <w:gridSpan w:val="2"/>
            <w:tcBorders>
              <w:bottom w:val="single" w:sz="12" w:space="0" w:color="auto"/>
            </w:tcBorders>
          </w:tcPr>
          <w:p w14:paraId="7DA5CAD9" w14:textId="77777777" w:rsidR="00A066F1" w:rsidRPr="00225916"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C63E6BC" w14:textId="77777777" w:rsidR="00A066F1" w:rsidRPr="00225916" w:rsidRDefault="00A066F1" w:rsidP="00A066F1">
            <w:pPr>
              <w:spacing w:before="0" w:line="240" w:lineRule="atLeast"/>
              <w:rPr>
                <w:rFonts w:ascii="Verdana" w:hAnsi="Verdana"/>
                <w:szCs w:val="24"/>
              </w:rPr>
            </w:pPr>
          </w:p>
        </w:tc>
      </w:tr>
      <w:tr w:rsidR="00A066F1" w:rsidRPr="00225916" w14:paraId="66473E96" w14:textId="77777777">
        <w:trPr>
          <w:cantSplit/>
        </w:trPr>
        <w:tc>
          <w:tcPr>
            <w:tcW w:w="6911" w:type="dxa"/>
            <w:gridSpan w:val="2"/>
            <w:tcBorders>
              <w:top w:val="single" w:sz="12" w:space="0" w:color="auto"/>
            </w:tcBorders>
          </w:tcPr>
          <w:p w14:paraId="7576D03F" w14:textId="77777777" w:rsidR="00A066F1" w:rsidRPr="0022591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A1FF001" w14:textId="77777777" w:rsidR="00A066F1" w:rsidRPr="00225916" w:rsidRDefault="00A066F1" w:rsidP="00A066F1">
            <w:pPr>
              <w:spacing w:before="0" w:line="240" w:lineRule="atLeast"/>
              <w:rPr>
                <w:rFonts w:ascii="Verdana" w:hAnsi="Verdana"/>
                <w:sz w:val="20"/>
              </w:rPr>
            </w:pPr>
          </w:p>
        </w:tc>
      </w:tr>
      <w:tr w:rsidR="00A066F1" w:rsidRPr="00225916" w14:paraId="1751F38D" w14:textId="77777777">
        <w:trPr>
          <w:cantSplit/>
          <w:trHeight w:val="23"/>
        </w:trPr>
        <w:tc>
          <w:tcPr>
            <w:tcW w:w="6911" w:type="dxa"/>
            <w:gridSpan w:val="2"/>
            <w:shd w:val="clear" w:color="auto" w:fill="auto"/>
          </w:tcPr>
          <w:p w14:paraId="5638F3BB" w14:textId="77777777" w:rsidR="00A066F1" w:rsidRPr="002259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25916">
              <w:rPr>
                <w:rFonts w:ascii="Verdana" w:hAnsi="Verdana"/>
                <w:sz w:val="20"/>
                <w:szCs w:val="20"/>
              </w:rPr>
              <w:t>PLENARY MEETING</w:t>
            </w:r>
          </w:p>
        </w:tc>
        <w:tc>
          <w:tcPr>
            <w:tcW w:w="3120" w:type="dxa"/>
            <w:gridSpan w:val="2"/>
          </w:tcPr>
          <w:p w14:paraId="61EB34B5" w14:textId="77777777" w:rsidR="00A066F1" w:rsidRPr="00225916" w:rsidRDefault="00E55816" w:rsidP="00AA666F">
            <w:pPr>
              <w:tabs>
                <w:tab w:val="left" w:pos="851"/>
              </w:tabs>
              <w:spacing w:before="0" w:line="240" w:lineRule="atLeast"/>
              <w:rPr>
                <w:rFonts w:ascii="Verdana" w:hAnsi="Verdana"/>
                <w:sz w:val="20"/>
              </w:rPr>
            </w:pPr>
            <w:r w:rsidRPr="00225916">
              <w:rPr>
                <w:rFonts w:ascii="Verdana" w:hAnsi="Verdana"/>
                <w:b/>
                <w:sz w:val="20"/>
              </w:rPr>
              <w:t>Addendum 3 to</w:t>
            </w:r>
            <w:r w:rsidRPr="00225916">
              <w:rPr>
                <w:rFonts w:ascii="Verdana" w:hAnsi="Verdana"/>
                <w:b/>
                <w:sz w:val="20"/>
              </w:rPr>
              <w:br/>
              <w:t>Document 85(Add.24)</w:t>
            </w:r>
            <w:r w:rsidR="00A066F1" w:rsidRPr="00225916">
              <w:rPr>
                <w:rFonts w:ascii="Verdana" w:hAnsi="Verdana"/>
                <w:b/>
                <w:sz w:val="20"/>
              </w:rPr>
              <w:t>-</w:t>
            </w:r>
            <w:r w:rsidR="005E10C9" w:rsidRPr="00225916">
              <w:rPr>
                <w:rFonts w:ascii="Verdana" w:hAnsi="Verdana"/>
                <w:b/>
                <w:sz w:val="20"/>
              </w:rPr>
              <w:t>E</w:t>
            </w:r>
          </w:p>
        </w:tc>
      </w:tr>
      <w:tr w:rsidR="00A066F1" w:rsidRPr="00225916" w14:paraId="4A851AFB" w14:textId="77777777">
        <w:trPr>
          <w:cantSplit/>
          <w:trHeight w:val="23"/>
        </w:trPr>
        <w:tc>
          <w:tcPr>
            <w:tcW w:w="6911" w:type="dxa"/>
            <w:gridSpan w:val="2"/>
            <w:shd w:val="clear" w:color="auto" w:fill="auto"/>
          </w:tcPr>
          <w:p w14:paraId="3DF91C00" w14:textId="77777777" w:rsidR="00A066F1" w:rsidRPr="002259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8B3F32F" w14:textId="77777777" w:rsidR="00A066F1" w:rsidRPr="00225916" w:rsidRDefault="00420873" w:rsidP="00A066F1">
            <w:pPr>
              <w:tabs>
                <w:tab w:val="left" w:pos="993"/>
              </w:tabs>
              <w:spacing w:before="0"/>
              <w:rPr>
                <w:rFonts w:ascii="Verdana" w:hAnsi="Verdana"/>
                <w:sz w:val="20"/>
              </w:rPr>
            </w:pPr>
            <w:r w:rsidRPr="00225916">
              <w:rPr>
                <w:rFonts w:ascii="Verdana" w:hAnsi="Verdana"/>
                <w:b/>
                <w:sz w:val="20"/>
              </w:rPr>
              <w:t>22 October 2023</w:t>
            </w:r>
          </w:p>
        </w:tc>
      </w:tr>
      <w:tr w:rsidR="00A066F1" w:rsidRPr="00225916" w14:paraId="1595196C" w14:textId="77777777">
        <w:trPr>
          <w:cantSplit/>
          <w:trHeight w:val="23"/>
        </w:trPr>
        <w:tc>
          <w:tcPr>
            <w:tcW w:w="6911" w:type="dxa"/>
            <w:gridSpan w:val="2"/>
            <w:shd w:val="clear" w:color="auto" w:fill="auto"/>
          </w:tcPr>
          <w:p w14:paraId="6F68DEE8" w14:textId="77777777" w:rsidR="00A066F1" w:rsidRPr="002259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53C4E50" w14:textId="77777777" w:rsidR="00A066F1" w:rsidRPr="00225916" w:rsidRDefault="00E55816" w:rsidP="00A066F1">
            <w:pPr>
              <w:tabs>
                <w:tab w:val="left" w:pos="993"/>
              </w:tabs>
              <w:spacing w:before="0"/>
              <w:rPr>
                <w:rFonts w:ascii="Verdana" w:hAnsi="Verdana"/>
                <w:b/>
                <w:sz w:val="20"/>
              </w:rPr>
            </w:pPr>
            <w:r w:rsidRPr="00225916">
              <w:rPr>
                <w:rFonts w:ascii="Verdana" w:hAnsi="Verdana"/>
                <w:b/>
                <w:sz w:val="20"/>
              </w:rPr>
              <w:t>Original: Russian</w:t>
            </w:r>
          </w:p>
        </w:tc>
      </w:tr>
      <w:tr w:rsidR="00A066F1" w:rsidRPr="00225916" w14:paraId="6DF0CDAC" w14:textId="77777777" w:rsidTr="00025864">
        <w:trPr>
          <w:cantSplit/>
          <w:trHeight w:val="23"/>
        </w:trPr>
        <w:tc>
          <w:tcPr>
            <w:tcW w:w="10031" w:type="dxa"/>
            <w:gridSpan w:val="4"/>
            <w:shd w:val="clear" w:color="auto" w:fill="auto"/>
          </w:tcPr>
          <w:p w14:paraId="13FD0D38" w14:textId="77777777" w:rsidR="00A066F1" w:rsidRPr="00225916" w:rsidRDefault="00A066F1" w:rsidP="00A066F1">
            <w:pPr>
              <w:tabs>
                <w:tab w:val="left" w:pos="993"/>
              </w:tabs>
              <w:spacing w:before="0"/>
              <w:rPr>
                <w:rFonts w:ascii="Verdana" w:hAnsi="Verdana"/>
                <w:b/>
                <w:sz w:val="20"/>
              </w:rPr>
            </w:pPr>
          </w:p>
        </w:tc>
      </w:tr>
      <w:tr w:rsidR="00E55816" w:rsidRPr="00225916" w14:paraId="41342C59" w14:textId="77777777" w:rsidTr="00025864">
        <w:trPr>
          <w:cantSplit/>
          <w:trHeight w:val="23"/>
        </w:trPr>
        <w:tc>
          <w:tcPr>
            <w:tcW w:w="10031" w:type="dxa"/>
            <w:gridSpan w:val="4"/>
            <w:shd w:val="clear" w:color="auto" w:fill="auto"/>
          </w:tcPr>
          <w:p w14:paraId="4A0F1F64" w14:textId="77777777" w:rsidR="00E55816" w:rsidRPr="00225916" w:rsidRDefault="00884D60" w:rsidP="00E55816">
            <w:pPr>
              <w:pStyle w:val="Source"/>
            </w:pPr>
            <w:r w:rsidRPr="00225916">
              <w:t>Regional Commonwealth in the field of Communications Common Proposals</w:t>
            </w:r>
          </w:p>
        </w:tc>
      </w:tr>
      <w:tr w:rsidR="00E55816" w:rsidRPr="00225916" w14:paraId="62CFF2A5" w14:textId="77777777" w:rsidTr="00025864">
        <w:trPr>
          <w:cantSplit/>
          <w:trHeight w:val="23"/>
        </w:trPr>
        <w:tc>
          <w:tcPr>
            <w:tcW w:w="10031" w:type="dxa"/>
            <w:gridSpan w:val="4"/>
            <w:shd w:val="clear" w:color="auto" w:fill="auto"/>
          </w:tcPr>
          <w:p w14:paraId="09963730" w14:textId="5C98FE26" w:rsidR="00E55816" w:rsidRPr="00225916" w:rsidRDefault="0074286F" w:rsidP="00E55816">
            <w:pPr>
              <w:pStyle w:val="Title1"/>
            </w:pPr>
            <w:r w:rsidRPr="00225916">
              <w:t>PROPOSALS FOR THE WORK OF THE CONFERENCE</w:t>
            </w:r>
          </w:p>
        </w:tc>
      </w:tr>
      <w:tr w:rsidR="00E55816" w:rsidRPr="00225916" w14:paraId="35B48644" w14:textId="77777777" w:rsidTr="00025864">
        <w:trPr>
          <w:cantSplit/>
          <w:trHeight w:val="23"/>
        </w:trPr>
        <w:tc>
          <w:tcPr>
            <w:tcW w:w="10031" w:type="dxa"/>
            <w:gridSpan w:val="4"/>
            <w:shd w:val="clear" w:color="auto" w:fill="auto"/>
          </w:tcPr>
          <w:p w14:paraId="5E9C8559" w14:textId="77777777" w:rsidR="00E55816" w:rsidRPr="00225916" w:rsidRDefault="00E55816" w:rsidP="00E55816">
            <w:pPr>
              <w:pStyle w:val="Title2"/>
            </w:pPr>
          </w:p>
        </w:tc>
      </w:tr>
      <w:tr w:rsidR="00A538A6" w:rsidRPr="00225916" w14:paraId="4A7394FC" w14:textId="77777777" w:rsidTr="00025864">
        <w:trPr>
          <w:cantSplit/>
          <w:trHeight w:val="23"/>
        </w:trPr>
        <w:tc>
          <w:tcPr>
            <w:tcW w:w="10031" w:type="dxa"/>
            <w:gridSpan w:val="4"/>
            <w:shd w:val="clear" w:color="auto" w:fill="auto"/>
          </w:tcPr>
          <w:p w14:paraId="698FBDDC" w14:textId="77777777" w:rsidR="00A538A6" w:rsidRPr="00225916" w:rsidRDefault="004B13CB" w:rsidP="004B13CB">
            <w:pPr>
              <w:pStyle w:val="Agendaitem"/>
              <w:rPr>
                <w:lang w:val="en-GB"/>
              </w:rPr>
            </w:pPr>
            <w:r w:rsidRPr="00225916">
              <w:rPr>
                <w:lang w:val="en-GB"/>
              </w:rPr>
              <w:t>Agenda item 9.1(9.1-c)</w:t>
            </w:r>
          </w:p>
        </w:tc>
      </w:tr>
    </w:tbl>
    <w:bookmarkEnd w:id="5"/>
    <w:bookmarkEnd w:id="6"/>
    <w:p w14:paraId="4F276F3F" w14:textId="77777777" w:rsidR="00187BD9" w:rsidRPr="00225916" w:rsidRDefault="0074286F" w:rsidP="006965F8">
      <w:r w:rsidRPr="00225916">
        <w:t>9</w:t>
      </w:r>
      <w:r w:rsidRPr="00225916">
        <w:tab/>
        <w:t xml:space="preserve">to consider and approve the Report of the Director of the Radiocommunication Bureau, in accordance with Article 7 of the ITU </w:t>
      </w:r>
      <w:proofErr w:type="gramStart"/>
      <w:r w:rsidRPr="00225916">
        <w:t>Convention</w:t>
      </w:r>
      <w:r w:rsidRPr="00225916">
        <w:rPr>
          <w:bCs/>
        </w:rPr>
        <w:t>;</w:t>
      </w:r>
      <w:proofErr w:type="gramEnd"/>
    </w:p>
    <w:p w14:paraId="36E3ACB6" w14:textId="77777777" w:rsidR="00187BD9" w:rsidRPr="00225916" w:rsidRDefault="0074286F" w:rsidP="00570495">
      <w:r w:rsidRPr="00225916">
        <w:t>9.1</w:t>
      </w:r>
      <w:r w:rsidRPr="00225916">
        <w:tab/>
        <w:t>on the activities of the ITU Radiocommunication Sector since WRC</w:t>
      </w:r>
      <w:r w:rsidRPr="00225916">
        <w:noBreakHyphen/>
        <w:t>19:</w:t>
      </w:r>
    </w:p>
    <w:p w14:paraId="5765A060" w14:textId="77777777" w:rsidR="0074286F" w:rsidRPr="00225916" w:rsidRDefault="0074286F" w:rsidP="001555AD">
      <w:pPr>
        <w:jc w:val="both"/>
      </w:pPr>
      <w:r w:rsidRPr="00225916">
        <w:t>(9.1-c)</w:t>
      </w:r>
      <w:r w:rsidRPr="00225916">
        <w:tab/>
      </w:r>
      <w:r w:rsidRPr="00225916">
        <w:rPr>
          <w:bCs/>
          <w:lang w:eastAsia="nl-NL"/>
        </w:rPr>
        <w:t>S</w:t>
      </w:r>
      <w:r w:rsidRPr="00225916">
        <w:rPr>
          <w:rFonts w:cstheme="minorHAnsi"/>
          <w:szCs w:val="24"/>
        </w:rPr>
        <w:t xml:space="preserve">tudy the use of International Mobile Telecommunication systems for fixed wireless broadband in the frequency bands allocated to the fixed service on a primary basis, in accordance with Resolution </w:t>
      </w:r>
      <w:r w:rsidRPr="00225916">
        <w:rPr>
          <w:b/>
          <w:bCs/>
        </w:rPr>
        <w:t>175</w:t>
      </w:r>
      <w:r w:rsidRPr="00225916">
        <w:rPr>
          <w:rFonts w:cstheme="minorHAnsi"/>
          <w:b/>
          <w:bCs/>
          <w:szCs w:val="24"/>
        </w:rPr>
        <w:t xml:space="preserve"> (WRC</w:t>
      </w:r>
      <w:r w:rsidRPr="00225916">
        <w:rPr>
          <w:rFonts w:cstheme="minorHAnsi"/>
          <w:b/>
          <w:bCs/>
          <w:szCs w:val="24"/>
        </w:rPr>
        <w:noBreakHyphen/>
        <w:t>19</w:t>
      </w:r>
      <w:proofErr w:type="gramStart"/>
      <w:r w:rsidRPr="00225916">
        <w:rPr>
          <w:rFonts w:cstheme="minorHAnsi"/>
          <w:b/>
          <w:bCs/>
          <w:szCs w:val="24"/>
        </w:rPr>
        <w:t>)</w:t>
      </w:r>
      <w:r w:rsidRPr="00225916">
        <w:rPr>
          <w:rFonts w:cstheme="minorHAnsi"/>
          <w:szCs w:val="24"/>
        </w:rPr>
        <w:t>;</w:t>
      </w:r>
      <w:proofErr w:type="gramEnd"/>
    </w:p>
    <w:p w14:paraId="70C6700B" w14:textId="77777777" w:rsidR="00187BD9" w:rsidRPr="00225916" w:rsidRDefault="0074286F" w:rsidP="001555AD">
      <w:pPr>
        <w:jc w:val="both"/>
      </w:pPr>
      <w:r w:rsidRPr="00225916">
        <w:t xml:space="preserve">Resolution </w:t>
      </w:r>
      <w:r w:rsidRPr="00225916">
        <w:rPr>
          <w:b/>
          <w:bCs/>
        </w:rPr>
        <w:t>175 (WRC-19)</w:t>
      </w:r>
      <w:r w:rsidRPr="00225916">
        <w:t xml:space="preserve"> – Use of International Mobile Telecommunication systems for fixed wireless broadband in the frequency bands allocated to the fixed service on primary </w:t>
      </w:r>
      <w:proofErr w:type="gramStart"/>
      <w:r w:rsidRPr="00225916">
        <w:t>basis</w:t>
      </w:r>
      <w:proofErr w:type="gramEnd"/>
    </w:p>
    <w:p w14:paraId="70780B4F" w14:textId="6FC4ED2D" w:rsidR="00586E92" w:rsidRPr="00225916" w:rsidRDefault="00586E92" w:rsidP="00CA4003">
      <w:pPr>
        <w:pStyle w:val="Headingb"/>
        <w:rPr>
          <w:lang w:val="en-GB"/>
        </w:rPr>
      </w:pPr>
      <w:r w:rsidRPr="00225916">
        <w:rPr>
          <w:lang w:val="en-GB"/>
        </w:rPr>
        <w:t>Introduction</w:t>
      </w:r>
    </w:p>
    <w:p w14:paraId="311714A5" w14:textId="68AA630E" w:rsidR="001C1EA3" w:rsidRPr="00225916" w:rsidRDefault="00586E92" w:rsidP="00534236">
      <w:r w:rsidRPr="00225916">
        <w:t>Resolution </w:t>
      </w:r>
      <w:r w:rsidRPr="00225916">
        <w:rPr>
          <w:b/>
          <w:bCs/>
        </w:rPr>
        <w:t>175 (WRC</w:t>
      </w:r>
      <w:r w:rsidRPr="00225916">
        <w:rPr>
          <w:b/>
          <w:bCs/>
        </w:rPr>
        <w:noBreakHyphen/>
        <w:t>19)</w:t>
      </w:r>
      <w:r w:rsidRPr="00225916">
        <w:t xml:space="preserve"> invite</w:t>
      </w:r>
      <w:r w:rsidR="001D5C10" w:rsidRPr="00225916">
        <w:t>s</w:t>
      </w:r>
      <w:r w:rsidRPr="00225916">
        <w:t xml:space="preserve"> the ITU Radiocommunication Sector </w:t>
      </w:r>
      <w:r w:rsidR="00E114F9" w:rsidRPr="00225916">
        <w:t xml:space="preserve">(ITU-R) </w:t>
      </w:r>
      <w:r w:rsidRPr="00225916">
        <w:t xml:space="preserve">to conduct any necessary studies on the use of IMT systems for fixed wireless broadband in the frequency bands allocated to the fixed service on </w:t>
      </w:r>
      <w:r w:rsidR="00AE66A8" w:rsidRPr="00225916">
        <w:t xml:space="preserve">a </w:t>
      </w:r>
      <w:r w:rsidRPr="00225916">
        <w:t>primary basis, taking into account the relevant ITU-R studies, Handbooks, Recommendations and Reports</w:t>
      </w:r>
      <w:r w:rsidR="00597655" w:rsidRPr="00225916">
        <w:t xml:space="preserve">, and </w:t>
      </w:r>
      <w:r w:rsidR="00534236" w:rsidRPr="00225916">
        <w:t>instructs the Director of the Radiocommunication Bureau to report to WRC-23 on the results of th</w:t>
      </w:r>
      <w:r w:rsidR="00E114F9" w:rsidRPr="00225916">
        <w:t>o</w:t>
      </w:r>
      <w:r w:rsidR="00534236" w:rsidRPr="00225916">
        <w:t>se studies</w:t>
      </w:r>
      <w:r w:rsidRPr="00225916">
        <w:t>.</w:t>
      </w:r>
      <w:r w:rsidR="001C1EA3" w:rsidRPr="00225916">
        <w:t xml:space="preserve"> </w:t>
      </w:r>
    </w:p>
    <w:p w14:paraId="5D7FD0D0" w14:textId="06D5E9D9" w:rsidR="001C1EA3" w:rsidRPr="00225916" w:rsidRDefault="00E114F9" w:rsidP="001C1EA3">
      <w:r w:rsidRPr="00225916">
        <w:t xml:space="preserve">The </w:t>
      </w:r>
      <w:r w:rsidR="00132E3C" w:rsidRPr="00225916">
        <w:t>Resolution</w:t>
      </w:r>
      <w:r w:rsidRPr="00225916">
        <w:t xml:space="preserve"> </w:t>
      </w:r>
      <w:r w:rsidR="009E6D05" w:rsidRPr="00225916">
        <w:t xml:space="preserve">does not </w:t>
      </w:r>
      <w:r w:rsidR="00AF053F" w:rsidRPr="00225916">
        <w:t xml:space="preserve">contain an </w:t>
      </w:r>
      <w:r w:rsidR="009E6D05" w:rsidRPr="00225916">
        <w:t>invit</w:t>
      </w:r>
      <w:r w:rsidR="00AF053F" w:rsidRPr="00225916">
        <w:t>ation to</w:t>
      </w:r>
      <w:r w:rsidR="009E6D05" w:rsidRPr="00225916">
        <w:t xml:space="preserve"> ITU-R </w:t>
      </w:r>
      <w:r w:rsidRPr="00225916">
        <w:t xml:space="preserve">to </w:t>
      </w:r>
      <w:r w:rsidR="00AF053F" w:rsidRPr="00225916">
        <w:t xml:space="preserve">conduct studies </w:t>
      </w:r>
      <w:r w:rsidR="00822880" w:rsidRPr="00225916">
        <w:t xml:space="preserve">on coexistence and compatibility with other services </w:t>
      </w:r>
      <w:r w:rsidR="00F31B47" w:rsidRPr="00225916">
        <w:t xml:space="preserve">in the context of the use of </w:t>
      </w:r>
      <w:r w:rsidR="001C1EA3" w:rsidRPr="00225916">
        <w:t xml:space="preserve">IMT </w:t>
      </w:r>
      <w:r w:rsidR="00102470" w:rsidRPr="00225916">
        <w:t>in concrete frequency bands allocated to the fixed service</w:t>
      </w:r>
      <w:r w:rsidR="001C1EA3" w:rsidRPr="00225916">
        <w:t xml:space="preserve">. </w:t>
      </w:r>
    </w:p>
    <w:p w14:paraId="0B7A915C" w14:textId="7BD14CAA" w:rsidR="001C1EA3" w:rsidRPr="00225916" w:rsidRDefault="00F31B47" w:rsidP="00DF0B40">
      <w:r w:rsidRPr="00225916">
        <w:t>According to t</w:t>
      </w:r>
      <w:r w:rsidR="006F786A" w:rsidRPr="00225916">
        <w:t xml:space="preserve">he </w:t>
      </w:r>
      <w:r w:rsidR="00D24A88" w:rsidRPr="00225916">
        <w:t xml:space="preserve">report of </w:t>
      </w:r>
      <w:r w:rsidR="00DF0B40" w:rsidRPr="00225916">
        <w:t xml:space="preserve">the first session of the Conference Preparatory Meeting for WRC-23 on the preparation </w:t>
      </w:r>
      <w:r w:rsidR="00E96ED0" w:rsidRPr="00225916">
        <w:t xml:space="preserve">of draft CPM report texts </w:t>
      </w:r>
      <w:r w:rsidR="00C52A20" w:rsidRPr="00225916">
        <w:t>on topics of item 9.1 of the WRC-23 agenda</w:t>
      </w:r>
      <w:r w:rsidR="005426E6" w:rsidRPr="00225916">
        <w:t xml:space="preserve">, the draft text on topic c) was not to </w:t>
      </w:r>
      <w:r w:rsidR="00E2155D" w:rsidRPr="00225916">
        <w:t xml:space="preserve">include </w:t>
      </w:r>
      <w:r w:rsidR="005426E6" w:rsidRPr="00225916">
        <w:t xml:space="preserve">methods to satisfy the </w:t>
      </w:r>
      <w:r w:rsidR="00E2155D" w:rsidRPr="00225916">
        <w:t xml:space="preserve">agenda item or regulatory or procedural </w:t>
      </w:r>
      <w:r w:rsidR="00D35661" w:rsidRPr="00225916">
        <w:t>considerations</w:t>
      </w:r>
      <w:r w:rsidR="00E2155D" w:rsidRPr="00225916">
        <w:t xml:space="preserve">. </w:t>
      </w:r>
      <w:r w:rsidR="00F02C10" w:rsidRPr="00225916">
        <w:t xml:space="preserve">This </w:t>
      </w:r>
      <w:r w:rsidR="009B09BF" w:rsidRPr="00225916">
        <w:t xml:space="preserve">implies </w:t>
      </w:r>
      <w:r w:rsidR="00F02C10" w:rsidRPr="00225916">
        <w:t xml:space="preserve">that </w:t>
      </w:r>
      <w:r w:rsidR="00417F2C" w:rsidRPr="00225916">
        <w:t xml:space="preserve">there is no intention that </w:t>
      </w:r>
      <w:r w:rsidR="004A3763" w:rsidRPr="00225916">
        <w:t xml:space="preserve">topic c) under WRC-23 agenda item 9.1 </w:t>
      </w:r>
      <w:r w:rsidR="0057317F" w:rsidRPr="00225916">
        <w:t xml:space="preserve">will </w:t>
      </w:r>
      <w:r w:rsidR="004A3763" w:rsidRPr="00225916">
        <w:t xml:space="preserve">lead to </w:t>
      </w:r>
      <w:r w:rsidR="000D694D" w:rsidRPr="00225916">
        <w:t xml:space="preserve">any </w:t>
      </w:r>
      <w:r w:rsidR="00566AF0" w:rsidRPr="00225916">
        <w:t>change</w:t>
      </w:r>
      <w:r w:rsidR="000D694D" w:rsidRPr="00225916">
        <w:t>s to the Radio Regulations</w:t>
      </w:r>
      <w:r w:rsidR="00AE3D44">
        <w:t xml:space="preserve"> </w:t>
      </w:r>
      <w:r w:rsidR="00AE3D44" w:rsidRPr="00065C13">
        <w:t>(RR)</w:t>
      </w:r>
      <w:r w:rsidR="000D694D" w:rsidRPr="00225916">
        <w:t xml:space="preserve">, </w:t>
      </w:r>
      <w:r w:rsidR="0057317F" w:rsidRPr="00225916">
        <w:t xml:space="preserve">or </w:t>
      </w:r>
      <w:r w:rsidR="007958DB" w:rsidRPr="00225916">
        <w:t xml:space="preserve">that </w:t>
      </w:r>
      <w:r w:rsidR="000D694D" w:rsidRPr="00225916">
        <w:t xml:space="preserve">satisfaction of topic c) </w:t>
      </w:r>
      <w:r w:rsidR="00C23971" w:rsidRPr="00225916">
        <w:t xml:space="preserve">of agenda item </w:t>
      </w:r>
      <w:r w:rsidR="001C1EA3" w:rsidRPr="00225916">
        <w:t xml:space="preserve">9.1 </w:t>
      </w:r>
      <w:r w:rsidR="0057317F" w:rsidRPr="00225916">
        <w:t xml:space="preserve">will </w:t>
      </w:r>
      <w:r w:rsidR="007958DB" w:rsidRPr="00225916">
        <w:t xml:space="preserve">go beyond </w:t>
      </w:r>
      <w:r w:rsidR="00223775" w:rsidRPr="00225916">
        <w:t xml:space="preserve">a </w:t>
      </w:r>
      <w:r w:rsidR="00C23971" w:rsidRPr="00225916">
        <w:t>conclusion</w:t>
      </w:r>
      <w:r w:rsidR="00223775" w:rsidRPr="00225916">
        <w:t xml:space="preserve"> in the CPM report</w:t>
      </w:r>
      <w:r w:rsidR="001C1EA3" w:rsidRPr="00225916">
        <w:t xml:space="preserve">. </w:t>
      </w:r>
    </w:p>
    <w:p w14:paraId="78272912" w14:textId="1AA7590D" w:rsidR="001C1EA3" w:rsidRPr="00225916" w:rsidRDefault="00223775" w:rsidP="001C1EA3">
      <w:r w:rsidRPr="00225916">
        <w:t xml:space="preserve">In </w:t>
      </w:r>
      <w:r w:rsidR="00D35661" w:rsidRPr="00225916">
        <w:t>discussions</w:t>
      </w:r>
      <w:r w:rsidRPr="00225916">
        <w:t xml:space="preserve"> </w:t>
      </w:r>
      <w:r w:rsidR="007F7BF2" w:rsidRPr="00225916">
        <w:t xml:space="preserve">of topic </w:t>
      </w:r>
      <w:r w:rsidR="001C1EA3" w:rsidRPr="00225916">
        <w:t xml:space="preserve">с) </w:t>
      </w:r>
      <w:r w:rsidR="007F7BF2" w:rsidRPr="00225916">
        <w:t xml:space="preserve">at meetings of </w:t>
      </w:r>
      <w:r w:rsidR="007E70A1" w:rsidRPr="00225916">
        <w:t xml:space="preserve">the ITU-R </w:t>
      </w:r>
      <w:r w:rsidR="000F1455" w:rsidRPr="00065C13">
        <w:t>W</w:t>
      </w:r>
      <w:r w:rsidR="007E70A1" w:rsidRPr="00065C13">
        <w:t xml:space="preserve">orking </w:t>
      </w:r>
      <w:r w:rsidR="000F1455" w:rsidRPr="00065C13">
        <w:t>P</w:t>
      </w:r>
      <w:r w:rsidR="007E70A1" w:rsidRPr="00065C13">
        <w:t xml:space="preserve">arties </w:t>
      </w:r>
      <w:r w:rsidR="000F1455" w:rsidRPr="00065C13">
        <w:t>(</w:t>
      </w:r>
      <w:r w:rsidR="007F7BF2" w:rsidRPr="00065C13">
        <w:t>WP</w:t>
      </w:r>
      <w:r w:rsidR="000F1455" w:rsidRPr="00065C13">
        <w:t>)</w:t>
      </w:r>
      <w:r w:rsidR="007F7BF2" w:rsidRPr="00225916">
        <w:t xml:space="preserve"> </w:t>
      </w:r>
      <w:r w:rsidR="001C1EA3" w:rsidRPr="00225916">
        <w:t xml:space="preserve">5А </w:t>
      </w:r>
      <w:r w:rsidR="007E70A1" w:rsidRPr="00225916">
        <w:t xml:space="preserve">and 5C it was determined that the purpose of the studies </w:t>
      </w:r>
      <w:r w:rsidR="00FD1352" w:rsidRPr="00225916">
        <w:t xml:space="preserve">concerns </w:t>
      </w:r>
      <w:r w:rsidR="00AE2A7E" w:rsidRPr="00225916">
        <w:t xml:space="preserve">the use of IMT technologies for fixed wireless </w:t>
      </w:r>
      <w:r w:rsidR="00AE2A7E" w:rsidRPr="00225916">
        <w:lastRenderedPageBreak/>
        <w:t xml:space="preserve">broadband </w:t>
      </w:r>
      <w:r w:rsidR="004A5AE0" w:rsidRPr="00225916">
        <w:t xml:space="preserve">in the fixed service, not the deployment of </w:t>
      </w:r>
      <w:r w:rsidR="005C7CAF" w:rsidRPr="00225916">
        <w:t>mobile broadband systems in frequency bands of the fixed service</w:t>
      </w:r>
      <w:r w:rsidR="001C1EA3" w:rsidRPr="00225916">
        <w:t>.</w:t>
      </w:r>
    </w:p>
    <w:p w14:paraId="115F8FA7" w14:textId="0AD8D9AC" w:rsidR="001C1EA3" w:rsidRPr="00225916" w:rsidRDefault="0063133F" w:rsidP="001C1EA3">
      <w:r w:rsidRPr="00225916">
        <w:t xml:space="preserve">Taking into account the results of the work of ITU-R, </w:t>
      </w:r>
      <w:r w:rsidR="006E7BA0" w:rsidRPr="00225916">
        <w:t xml:space="preserve">the RCC Administrations consider that the existing provisions of the </w:t>
      </w:r>
      <w:r w:rsidR="00AE3D44" w:rsidRPr="00065C13">
        <w:t>RR</w:t>
      </w:r>
      <w:r w:rsidR="00AE3D44">
        <w:t xml:space="preserve"> </w:t>
      </w:r>
      <w:r w:rsidR="006E7BA0" w:rsidRPr="00225916">
        <w:t xml:space="preserve">allow for the use of IMT technologies </w:t>
      </w:r>
      <w:r w:rsidR="00B01F9D" w:rsidRPr="00225916">
        <w:t xml:space="preserve">for </w:t>
      </w:r>
      <w:r w:rsidR="006E7BA0" w:rsidRPr="00225916">
        <w:t>fixed wireless broad</w:t>
      </w:r>
      <w:r w:rsidR="00B01F9D" w:rsidRPr="00225916">
        <w:t>band in the frequency bands allocated to the fixed service on a primary basis</w:t>
      </w:r>
      <w:r w:rsidR="001C1EA3" w:rsidRPr="00225916">
        <w:t xml:space="preserve"> </w:t>
      </w:r>
      <w:proofErr w:type="gramStart"/>
      <w:r w:rsidR="00386F25" w:rsidRPr="00225916">
        <w:t>without  any</w:t>
      </w:r>
      <w:proofErr w:type="gramEnd"/>
      <w:r w:rsidR="00386F25" w:rsidRPr="00225916">
        <w:t xml:space="preserve"> requirement for studies on concrete frequency bands or the development of new regulatory provisions</w:t>
      </w:r>
      <w:r w:rsidR="001C1EA3" w:rsidRPr="00225916">
        <w:t xml:space="preserve">. </w:t>
      </w:r>
      <w:r w:rsidR="006F7A3D" w:rsidRPr="00225916">
        <w:t xml:space="preserve">The RCC Administrations are therefore against </w:t>
      </w:r>
      <w:r w:rsidR="00566AF0" w:rsidRPr="00225916">
        <w:t xml:space="preserve">any change to the </w:t>
      </w:r>
      <w:r w:rsidR="00AE3D44" w:rsidRPr="00065C13">
        <w:t>RR</w:t>
      </w:r>
      <w:r w:rsidR="00AE3D44">
        <w:t xml:space="preserve"> </w:t>
      </w:r>
      <w:r w:rsidR="008B33E9" w:rsidRPr="00225916">
        <w:t>under topic c) of WRC-23 agenda item 9.1</w:t>
      </w:r>
      <w:r w:rsidR="001C1EA3" w:rsidRPr="00225916">
        <w:t>.</w:t>
      </w:r>
    </w:p>
    <w:p w14:paraId="60FF2AD7" w14:textId="75814C04" w:rsidR="00586E92" w:rsidRPr="00225916" w:rsidRDefault="00E77FA6" w:rsidP="001C1EA3">
      <w:r w:rsidRPr="00225916">
        <w:t xml:space="preserve">After WRC-23 the ongoing work of WP 5A and 5C on updating </w:t>
      </w:r>
      <w:r w:rsidR="00FD27B9" w:rsidRPr="00225916">
        <w:t xml:space="preserve">the relevant ITU-R studies, Handbooks, Recommendations and Reports, </w:t>
      </w:r>
      <w:r w:rsidR="00B35C8A" w:rsidRPr="00225916">
        <w:t>can be resumed as required</w:t>
      </w:r>
      <w:r w:rsidR="001C1EA3" w:rsidRPr="00225916">
        <w:t>.</w:t>
      </w:r>
    </w:p>
    <w:p w14:paraId="42A080A9" w14:textId="77777777" w:rsidR="00586E92" w:rsidRPr="00225916" w:rsidRDefault="00586E92" w:rsidP="00EB54B2"/>
    <w:p w14:paraId="7E4116B2" w14:textId="7A3650C2" w:rsidR="00586E92" w:rsidRPr="00225916" w:rsidRDefault="00586E92" w:rsidP="00CA4003">
      <w:pPr>
        <w:pStyle w:val="Headingb"/>
        <w:rPr>
          <w:lang w:val="en-GB"/>
        </w:rPr>
      </w:pPr>
      <w:r w:rsidRPr="00225916">
        <w:rPr>
          <w:lang w:val="en-GB"/>
        </w:rPr>
        <w:t>Proposal</w:t>
      </w:r>
    </w:p>
    <w:p w14:paraId="764630A8" w14:textId="002698D4" w:rsidR="00586E92" w:rsidRPr="00225916" w:rsidRDefault="00B35C8A" w:rsidP="00EB54B2">
      <w:r w:rsidRPr="00225916">
        <w:t xml:space="preserve">The RCC Administrations consider that </w:t>
      </w:r>
      <w:r w:rsidR="006C7714" w:rsidRPr="00225916">
        <w:t xml:space="preserve">dealing with topic c) under WRC-23 agenda item 9.1 does not require any changes to be made to the </w:t>
      </w:r>
      <w:r w:rsidR="002B1456" w:rsidRPr="00065C13">
        <w:t>RR</w:t>
      </w:r>
      <w:r w:rsidR="006C7714" w:rsidRPr="00225916">
        <w:t>, and that Resolution 175 (WRC-23)</w:t>
      </w:r>
      <w:r w:rsidR="002A155D" w:rsidRPr="00225916">
        <w:t xml:space="preserve"> should be </w:t>
      </w:r>
      <w:r w:rsidR="00DB51D2" w:rsidRPr="00225916">
        <w:t>abrogated</w:t>
      </w:r>
      <w:r w:rsidR="002A155D" w:rsidRPr="00225916">
        <w:t>.</w:t>
      </w:r>
    </w:p>
    <w:p w14:paraId="3CF09B10" w14:textId="77777777" w:rsidR="00586E92" w:rsidRPr="00225916" w:rsidRDefault="00586E92" w:rsidP="00EB54B2"/>
    <w:p w14:paraId="36862B59" w14:textId="77777777" w:rsidR="00187BD9" w:rsidRPr="00225916" w:rsidRDefault="00187BD9" w:rsidP="00187BD9">
      <w:pPr>
        <w:tabs>
          <w:tab w:val="clear" w:pos="1134"/>
          <w:tab w:val="clear" w:pos="1871"/>
          <w:tab w:val="clear" w:pos="2268"/>
        </w:tabs>
        <w:overflowPunct/>
        <w:autoSpaceDE/>
        <w:autoSpaceDN/>
        <w:adjustRightInd/>
        <w:spacing w:before="0"/>
        <w:textAlignment w:val="auto"/>
      </w:pPr>
      <w:r w:rsidRPr="00225916">
        <w:br w:type="page"/>
      </w:r>
    </w:p>
    <w:p w14:paraId="5439D77D" w14:textId="77777777" w:rsidR="0021548F" w:rsidRPr="00225916" w:rsidRDefault="0074286F">
      <w:pPr>
        <w:pStyle w:val="Proposal"/>
      </w:pPr>
      <w:r w:rsidRPr="00225916">
        <w:rPr>
          <w:u w:val="single"/>
        </w:rPr>
        <w:lastRenderedPageBreak/>
        <w:t>NOC</w:t>
      </w:r>
      <w:r w:rsidRPr="00225916">
        <w:tab/>
        <w:t>RCC/85A24A3/1</w:t>
      </w:r>
    </w:p>
    <w:p w14:paraId="4A0CAE4D" w14:textId="77777777" w:rsidR="0074286F" w:rsidRPr="00225916" w:rsidRDefault="0074286F" w:rsidP="005410BF">
      <w:pPr>
        <w:pStyle w:val="Volumetitle"/>
      </w:pPr>
      <w:bookmarkStart w:id="7" w:name="_Toc451865278"/>
      <w:bookmarkStart w:id="8" w:name="_Toc42842370"/>
      <w:r w:rsidRPr="00225916">
        <w:t>ARTICLES</w:t>
      </w:r>
      <w:bookmarkEnd w:id="7"/>
      <w:bookmarkEnd w:id="8"/>
    </w:p>
    <w:p w14:paraId="63879C48" w14:textId="4DE536DE" w:rsidR="0021548F" w:rsidRPr="00225916" w:rsidRDefault="0074286F" w:rsidP="00CA4003">
      <w:pPr>
        <w:pStyle w:val="Reasons"/>
      </w:pPr>
      <w:r w:rsidRPr="00225916">
        <w:rPr>
          <w:b/>
        </w:rPr>
        <w:t>Reasons:</w:t>
      </w:r>
      <w:r w:rsidRPr="00225916">
        <w:tab/>
      </w:r>
      <w:bookmarkStart w:id="9" w:name="_Hlk149645056"/>
      <w:r w:rsidR="008809FD" w:rsidRPr="00225916">
        <w:t>C</w:t>
      </w:r>
      <w:r w:rsidRPr="00225916">
        <w:t xml:space="preserve">urrent RR provisions </w:t>
      </w:r>
      <w:r w:rsidR="00005B9F" w:rsidRPr="00225916">
        <w:t xml:space="preserve">are compatible </w:t>
      </w:r>
      <w:r w:rsidRPr="00225916">
        <w:t xml:space="preserve">with the </w:t>
      </w:r>
      <w:r w:rsidR="00005B9F" w:rsidRPr="00225916">
        <w:t xml:space="preserve">use </w:t>
      </w:r>
      <w:r w:rsidRPr="00225916">
        <w:t>of various technologies</w:t>
      </w:r>
      <w:r w:rsidR="007335C7" w:rsidRPr="00225916">
        <w:t>, including IMT,</w:t>
      </w:r>
      <w:r w:rsidRPr="00225916">
        <w:t xml:space="preserve"> for fixed wireless access</w:t>
      </w:r>
      <w:r w:rsidR="007335C7" w:rsidRPr="00225916">
        <w:t xml:space="preserve"> systems</w:t>
      </w:r>
      <w:r w:rsidR="00D35661" w:rsidRPr="00225916">
        <w:t xml:space="preserve">. </w:t>
      </w:r>
      <w:r w:rsidR="007335C7" w:rsidRPr="00225916">
        <w:t xml:space="preserve">No additional provisions are required or </w:t>
      </w:r>
      <w:r w:rsidR="00BD202F" w:rsidRPr="00225916">
        <w:t>anticipated</w:t>
      </w:r>
      <w:r w:rsidR="008A2DE4" w:rsidRPr="00225916">
        <w:t xml:space="preserve">. In addition, changes to the RR </w:t>
      </w:r>
      <w:r w:rsidR="00BD202F" w:rsidRPr="00225916">
        <w:t xml:space="preserve">would go </w:t>
      </w:r>
      <w:r w:rsidR="008A2DE4" w:rsidRPr="00225916">
        <w:t xml:space="preserve">beyond the </w:t>
      </w:r>
      <w:r w:rsidR="00CA4003" w:rsidRPr="00225916">
        <w:rPr>
          <w:szCs w:val="24"/>
          <w:lang w:eastAsia="zh-CN"/>
        </w:rPr>
        <w:t>scope of topic c) of WRC-23 agenda item 9.1.</w:t>
      </w:r>
      <w:bookmarkEnd w:id="9"/>
    </w:p>
    <w:p w14:paraId="64836DF7" w14:textId="77777777" w:rsidR="0021548F" w:rsidRPr="00225916" w:rsidRDefault="0074286F">
      <w:pPr>
        <w:pStyle w:val="Proposal"/>
      </w:pPr>
      <w:r w:rsidRPr="00225916">
        <w:rPr>
          <w:u w:val="single"/>
        </w:rPr>
        <w:t>NOC</w:t>
      </w:r>
      <w:r w:rsidRPr="00225916">
        <w:tab/>
        <w:t>RCC/85A24A3/2</w:t>
      </w:r>
    </w:p>
    <w:p w14:paraId="211E8795" w14:textId="77777777" w:rsidR="0074286F" w:rsidRPr="00225916" w:rsidRDefault="0074286F" w:rsidP="008A5CB3">
      <w:pPr>
        <w:pStyle w:val="Volumetitle"/>
      </w:pPr>
      <w:r w:rsidRPr="00225916">
        <w:t>APPENDICES</w:t>
      </w:r>
    </w:p>
    <w:p w14:paraId="2B44135B" w14:textId="559B1327" w:rsidR="0021548F" w:rsidRPr="00225916" w:rsidRDefault="0074286F" w:rsidP="00CA4003">
      <w:pPr>
        <w:pStyle w:val="Reasons"/>
      </w:pPr>
      <w:r w:rsidRPr="00225916">
        <w:rPr>
          <w:b/>
        </w:rPr>
        <w:t>Reasons:</w:t>
      </w:r>
      <w:r w:rsidRPr="00225916">
        <w:tab/>
      </w:r>
      <w:r w:rsidR="00974AF0" w:rsidRPr="00225916">
        <w:t xml:space="preserve">Current RR provisions are compatible with the use of various technologies, including IMT, for fixed wireless access systems. No additional provisions are required or anticipated. In addition, changes to the RR would go beyond the </w:t>
      </w:r>
      <w:r w:rsidR="00974AF0" w:rsidRPr="00225916">
        <w:rPr>
          <w:szCs w:val="24"/>
          <w:lang w:eastAsia="zh-CN"/>
        </w:rPr>
        <w:t>scope of topic c) of WRC-23 agenda item 9.1.</w:t>
      </w:r>
    </w:p>
    <w:p w14:paraId="6DA754AF" w14:textId="77777777" w:rsidR="0021548F" w:rsidRPr="00225916" w:rsidRDefault="0074286F">
      <w:pPr>
        <w:pStyle w:val="Proposal"/>
      </w:pPr>
      <w:r w:rsidRPr="00225916">
        <w:t>SUP</w:t>
      </w:r>
      <w:r w:rsidRPr="00225916">
        <w:tab/>
        <w:t>RCC/85A24A3/3</w:t>
      </w:r>
    </w:p>
    <w:p w14:paraId="4768BA7B" w14:textId="77777777" w:rsidR="0074286F" w:rsidRPr="00225916" w:rsidRDefault="0074286F" w:rsidP="00FE25A3">
      <w:pPr>
        <w:pStyle w:val="ResNo"/>
      </w:pPr>
      <w:bookmarkStart w:id="10" w:name="_Toc39649415"/>
      <w:r w:rsidRPr="00225916">
        <w:t xml:space="preserve">RESOLUTION </w:t>
      </w:r>
      <w:r w:rsidRPr="00225916">
        <w:rPr>
          <w:rStyle w:val="href"/>
        </w:rPr>
        <w:t>175</w:t>
      </w:r>
      <w:r w:rsidRPr="00225916">
        <w:t xml:space="preserve"> (WRC</w:t>
      </w:r>
      <w:r w:rsidRPr="00225916">
        <w:noBreakHyphen/>
        <w:t>19)</w:t>
      </w:r>
      <w:bookmarkEnd w:id="10"/>
    </w:p>
    <w:p w14:paraId="17C6D2BC" w14:textId="77777777" w:rsidR="0074286F" w:rsidRPr="00225916" w:rsidRDefault="0074286F" w:rsidP="00FE25A3">
      <w:pPr>
        <w:pStyle w:val="Restitle"/>
      </w:pPr>
      <w:bookmarkStart w:id="11" w:name="_Toc35789299"/>
      <w:bookmarkStart w:id="12" w:name="_Toc35856996"/>
      <w:bookmarkStart w:id="13" w:name="_Toc35877631"/>
      <w:bookmarkStart w:id="14" w:name="_Toc35963574"/>
      <w:bookmarkStart w:id="15" w:name="_Toc39649416"/>
      <w:r w:rsidRPr="00225916">
        <w:t xml:space="preserve">Use of International Mobile Telecommunications systems for fixed </w:t>
      </w:r>
      <w:r w:rsidRPr="00225916">
        <w:br/>
        <w:t xml:space="preserve">wireless broadband in the frequency bands allocated to the </w:t>
      </w:r>
      <w:r w:rsidRPr="00225916">
        <w:br/>
        <w:t xml:space="preserve">fixed service on a primary </w:t>
      </w:r>
      <w:proofErr w:type="gramStart"/>
      <w:r w:rsidRPr="00225916">
        <w:t>basis</w:t>
      </w:r>
      <w:bookmarkEnd w:id="11"/>
      <w:bookmarkEnd w:id="12"/>
      <w:bookmarkEnd w:id="13"/>
      <w:bookmarkEnd w:id="14"/>
      <w:bookmarkEnd w:id="15"/>
      <w:proofErr w:type="gramEnd"/>
    </w:p>
    <w:p w14:paraId="5B088C70" w14:textId="7BC6F0C7" w:rsidR="0074286F" w:rsidRPr="00225916" w:rsidRDefault="0074286F" w:rsidP="00CA4003">
      <w:pPr>
        <w:pStyle w:val="Reasons"/>
      </w:pPr>
      <w:r w:rsidRPr="00225916">
        <w:rPr>
          <w:b/>
        </w:rPr>
        <w:t>Reasons:</w:t>
      </w:r>
      <w:r w:rsidRPr="00225916">
        <w:tab/>
      </w:r>
      <w:r w:rsidR="006F2B60" w:rsidRPr="00225916">
        <w:t xml:space="preserve">Any </w:t>
      </w:r>
      <w:r w:rsidR="00712190" w:rsidRPr="00225916">
        <w:t xml:space="preserve">conditions that may need to be attached to the use of </w:t>
      </w:r>
      <w:r w:rsidR="00CA4003" w:rsidRPr="00225916">
        <w:rPr>
          <w:szCs w:val="24"/>
          <w:lang w:eastAsia="zh-CN"/>
        </w:rPr>
        <w:t xml:space="preserve">IMT technologies for fixed wireless </w:t>
      </w:r>
      <w:r w:rsidR="00CF30FC" w:rsidRPr="00225916">
        <w:rPr>
          <w:szCs w:val="24"/>
          <w:lang w:eastAsia="zh-CN"/>
        </w:rPr>
        <w:t xml:space="preserve">broadband </w:t>
      </w:r>
      <w:r w:rsidR="00CA4003" w:rsidRPr="00225916">
        <w:rPr>
          <w:szCs w:val="24"/>
          <w:lang w:eastAsia="zh-CN"/>
        </w:rPr>
        <w:t xml:space="preserve">in the frequency bands allocated to the FS can be </w:t>
      </w:r>
      <w:r w:rsidR="005E2DA5" w:rsidRPr="00225916">
        <w:rPr>
          <w:szCs w:val="24"/>
          <w:lang w:eastAsia="zh-CN"/>
        </w:rPr>
        <w:t xml:space="preserve">examined in the process of updating </w:t>
      </w:r>
      <w:r w:rsidR="00CA4003" w:rsidRPr="00225916">
        <w:rPr>
          <w:szCs w:val="24"/>
          <w:lang w:eastAsia="zh-CN"/>
        </w:rPr>
        <w:t>existing ITU-R Recommendations/Reports/Handbooks</w:t>
      </w:r>
      <w:r w:rsidR="00D35661" w:rsidRPr="00225916">
        <w:rPr>
          <w:szCs w:val="24"/>
          <w:lang w:eastAsia="zh-CN"/>
        </w:rPr>
        <w:t xml:space="preserve"> as part of the </w:t>
      </w:r>
      <w:r w:rsidR="00CA4003" w:rsidRPr="00225916">
        <w:rPr>
          <w:szCs w:val="24"/>
          <w:lang w:eastAsia="zh-CN"/>
        </w:rPr>
        <w:t xml:space="preserve">routine </w:t>
      </w:r>
      <w:r w:rsidR="00D35661" w:rsidRPr="00225916">
        <w:rPr>
          <w:szCs w:val="24"/>
          <w:lang w:eastAsia="zh-CN"/>
        </w:rPr>
        <w:t xml:space="preserve">work </w:t>
      </w:r>
      <w:r w:rsidR="00CA4003" w:rsidRPr="00225916">
        <w:rPr>
          <w:szCs w:val="24"/>
          <w:lang w:eastAsia="zh-CN"/>
        </w:rPr>
        <w:t>of ITU</w:t>
      </w:r>
      <w:r w:rsidR="00ED52C3" w:rsidRPr="00225916">
        <w:rPr>
          <w:szCs w:val="24"/>
          <w:lang w:eastAsia="zh-CN"/>
        </w:rPr>
        <w:noBreakHyphen/>
      </w:r>
      <w:r w:rsidR="00CA4003" w:rsidRPr="00225916">
        <w:rPr>
          <w:szCs w:val="24"/>
          <w:lang w:eastAsia="zh-CN"/>
        </w:rPr>
        <w:t>R WP 5A and 5C.</w:t>
      </w:r>
      <w:r w:rsidR="00D35661" w:rsidRPr="00225916">
        <w:rPr>
          <w:szCs w:val="24"/>
          <w:lang w:eastAsia="zh-CN"/>
        </w:rPr>
        <w:t xml:space="preserve"> Resolution</w:t>
      </w:r>
      <w:r w:rsidR="00D35661" w:rsidRPr="00225916">
        <w:rPr>
          <w:b/>
          <w:bCs/>
          <w:szCs w:val="24"/>
          <w:lang w:eastAsia="zh-CN"/>
        </w:rPr>
        <w:t xml:space="preserve"> 17</w:t>
      </w:r>
      <w:r w:rsidR="00656CE4" w:rsidRPr="00225916">
        <w:rPr>
          <w:b/>
          <w:bCs/>
          <w:szCs w:val="24"/>
          <w:lang w:eastAsia="zh-CN"/>
        </w:rPr>
        <w:t>5</w:t>
      </w:r>
      <w:r w:rsidR="00D35661" w:rsidRPr="00225916">
        <w:rPr>
          <w:b/>
          <w:bCs/>
          <w:szCs w:val="24"/>
          <w:lang w:eastAsia="zh-CN"/>
        </w:rPr>
        <w:t xml:space="preserve"> (WRC-19)</w:t>
      </w:r>
      <w:r w:rsidR="00D35661" w:rsidRPr="00225916">
        <w:rPr>
          <w:szCs w:val="24"/>
          <w:lang w:eastAsia="zh-CN"/>
        </w:rPr>
        <w:t xml:space="preserve"> is therefore no longer required.</w:t>
      </w:r>
    </w:p>
    <w:p w14:paraId="2BAA0975" w14:textId="18AF4AF5" w:rsidR="0021548F" w:rsidRPr="00225916" w:rsidRDefault="0021548F" w:rsidP="00CA4003"/>
    <w:p w14:paraId="1694F24F" w14:textId="64A8698D" w:rsidR="00CA4003" w:rsidRPr="00225916" w:rsidRDefault="00CA4003" w:rsidP="00CA4003">
      <w:pPr>
        <w:jc w:val="center"/>
      </w:pPr>
      <w:r w:rsidRPr="00225916">
        <w:t>________________</w:t>
      </w:r>
    </w:p>
    <w:sectPr w:rsidR="00CA4003" w:rsidRPr="00225916">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2285" w14:textId="77777777" w:rsidR="00C46588" w:rsidRDefault="00C46588">
      <w:r>
        <w:separator/>
      </w:r>
    </w:p>
  </w:endnote>
  <w:endnote w:type="continuationSeparator" w:id="0">
    <w:p w14:paraId="5E22D10E" w14:textId="77777777" w:rsidR="00C46588" w:rsidRDefault="00C4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3189" w14:textId="77777777" w:rsidR="00E45D05" w:rsidRDefault="00E45D05">
    <w:pPr>
      <w:framePr w:wrap="around" w:vAnchor="text" w:hAnchor="margin" w:xAlign="right" w:y="1"/>
    </w:pPr>
    <w:r>
      <w:fldChar w:fldCharType="begin"/>
    </w:r>
    <w:r>
      <w:instrText xml:space="preserve">PAGE  </w:instrText>
    </w:r>
    <w:r>
      <w:fldChar w:fldCharType="end"/>
    </w:r>
  </w:p>
  <w:p w14:paraId="21895559" w14:textId="458A402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A6123">
      <w:rPr>
        <w:noProof/>
        <w:lang w:val="en-US"/>
      </w:rPr>
      <w:t>https://ituint-my.sharepoint.com/personal/eduard_friesen_itu_int/Documents/jobs/529923 085 add 24 add 03/085ADD24ADD03E.docx</w:t>
    </w:r>
    <w:r>
      <w:fldChar w:fldCharType="end"/>
    </w:r>
    <w:r w:rsidRPr="0041348E">
      <w:rPr>
        <w:lang w:val="en-US"/>
      </w:rPr>
      <w:tab/>
    </w:r>
    <w:r>
      <w:fldChar w:fldCharType="begin"/>
    </w:r>
    <w:r>
      <w:instrText xml:space="preserve"> SAVEDATE \@ DD.MM.YY </w:instrText>
    </w:r>
    <w:r>
      <w:fldChar w:fldCharType="separate"/>
    </w:r>
    <w:r w:rsidR="00065C13">
      <w:rPr>
        <w:noProof/>
      </w:rPr>
      <w:t>06.11.23</w:t>
    </w:r>
    <w:r>
      <w:fldChar w:fldCharType="end"/>
    </w:r>
    <w:r w:rsidRPr="0041348E">
      <w:rPr>
        <w:lang w:val="en-US"/>
      </w:rPr>
      <w:tab/>
    </w:r>
    <w:r>
      <w:fldChar w:fldCharType="begin"/>
    </w:r>
    <w:r>
      <w:instrText xml:space="preserve"> PRINTDATE \@ DD.MM.YY </w:instrText>
    </w:r>
    <w:r>
      <w:fldChar w:fldCharType="separate"/>
    </w:r>
    <w:r w:rsidR="00EA6123">
      <w:rPr>
        <w:noProof/>
      </w:rPr>
      <w:t>06.11.23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2AD4" w14:textId="1BCF99B2" w:rsidR="00E45D05" w:rsidRDefault="00E45D05" w:rsidP="009B1EA1">
    <w:pPr>
      <w:pStyle w:val="Footer"/>
    </w:pPr>
    <w:r>
      <w:fldChar w:fldCharType="begin"/>
    </w:r>
    <w:r w:rsidRPr="0041348E">
      <w:rPr>
        <w:lang w:val="en-US"/>
      </w:rPr>
      <w:instrText xml:space="preserve"> FILENAME \p  \* MERGEFORMAT </w:instrText>
    </w:r>
    <w:r>
      <w:fldChar w:fldCharType="separate"/>
    </w:r>
    <w:r w:rsidR="00ED52C3">
      <w:rPr>
        <w:lang w:val="en-US"/>
      </w:rPr>
      <w:t>P:\ENG\ITU-R\CONF-R\CMR23\000\085ADD24ADD03E.docx</w:t>
    </w:r>
    <w:r>
      <w:fldChar w:fldCharType="end"/>
    </w:r>
    <w:r w:rsidR="00586E92">
      <w:t xml:space="preserve"> (529923)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EEC2" w14:textId="26B2EDD8" w:rsidR="00586E92" w:rsidRDefault="00586E92">
    <w:pPr>
      <w:pStyle w:val="Footer"/>
    </w:pPr>
    <w:r>
      <w:fldChar w:fldCharType="begin"/>
    </w:r>
    <w:r w:rsidRPr="0041348E">
      <w:rPr>
        <w:lang w:val="en-US"/>
      </w:rPr>
      <w:instrText xml:space="preserve"> FILENAME \p  \* MERGEFORMAT </w:instrText>
    </w:r>
    <w:r>
      <w:fldChar w:fldCharType="separate"/>
    </w:r>
    <w:r w:rsidR="00ED52C3">
      <w:rPr>
        <w:lang w:val="en-US"/>
      </w:rPr>
      <w:t>P:\ENG\ITU-R\CONF-R\CMR23\000\085ADD24ADD03E.docx</w:t>
    </w:r>
    <w:r>
      <w:fldChar w:fldCharType="end"/>
    </w:r>
    <w:r>
      <w:t xml:space="preserve"> (529923)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D820" w14:textId="77777777" w:rsidR="00C46588" w:rsidRDefault="00C46588">
      <w:r>
        <w:rPr>
          <w:b/>
        </w:rPr>
        <w:t>_______________</w:t>
      </w:r>
    </w:p>
  </w:footnote>
  <w:footnote w:type="continuationSeparator" w:id="0">
    <w:p w14:paraId="61E53418" w14:textId="77777777" w:rsidR="00C46588" w:rsidRDefault="00C46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7BE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7B9F640" w14:textId="77777777" w:rsidR="00A066F1" w:rsidRPr="00A066F1" w:rsidRDefault="00BC75DE" w:rsidP="00241FA2">
    <w:pPr>
      <w:pStyle w:val="Header"/>
    </w:pPr>
    <w:r>
      <w:t>WRC</w:t>
    </w:r>
    <w:r w:rsidR="006D70B0">
      <w:t>23</w:t>
    </w:r>
    <w:r w:rsidR="00A066F1">
      <w:t>/</w:t>
    </w:r>
    <w:bookmarkStart w:id="16" w:name="OLE_LINK1"/>
    <w:bookmarkStart w:id="17" w:name="OLE_LINK2"/>
    <w:bookmarkStart w:id="18" w:name="OLE_LINK3"/>
    <w:r w:rsidR="00EB55C6">
      <w:t>85(Add.</w:t>
    </w:r>
    <w:proofErr w:type="gramStart"/>
    <w:r w:rsidR="00EB55C6">
      <w:t>24)(</w:t>
    </w:r>
    <w:proofErr w:type="gramEnd"/>
    <w:r w:rsidR="00EB55C6">
      <w:t>Add.3)</w:t>
    </w:r>
    <w:bookmarkEnd w:id="16"/>
    <w:bookmarkEnd w:id="17"/>
    <w:bookmarkEnd w:id="1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84485526">
    <w:abstractNumId w:val="0"/>
  </w:num>
  <w:num w:numId="2" w16cid:durableId="155812659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5B9F"/>
    <w:rsid w:val="00022A29"/>
    <w:rsid w:val="000355FD"/>
    <w:rsid w:val="00051E39"/>
    <w:rsid w:val="00065C13"/>
    <w:rsid w:val="000705F2"/>
    <w:rsid w:val="00077239"/>
    <w:rsid w:val="0007795D"/>
    <w:rsid w:val="00086491"/>
    <w:rsid w:val="00091346"/>
    <w:rsid w:val="0009706C"/>
    <w:rsid w:val="000D154B"/>
    <w:rsid w:val="000D2DAF"/>
    <w:rsid w:val="000D694D"/>
    <w:rsid w:val="000E463E"/>
    <w:rsid w:val="000F1455"/>
    <w:rsid w:val="000F73FF"/>
    <w:rsid w:val="00102470"/>
    <w:rsid w:val="00114CF7"/>
    <w:rsid w:val="00116C7A"/>
    <w:rsid w:val="00123B68"/>
    <w:rsid w:val="00126F2E"/>
    <w:rsid w:val="00132E3C"/>
    <w:rsid w:val="00146F6F"/>
    <w:rsid w:val="001544EC"/>
    <w:rsid w:val="00161F26"/>
    <w:rsid w:val="001758BE"/>
    <w:rsid w:val="00187BD9"/>
    <w:rsid w:val="00190B55"/>
    <w:rsid w:val="001948E2"/>
    <w:rsid w:val="001C1EA3"/>
    <w:rsid w:val="001C3B5F"/>
    <w:rsid w:val="001D058F"/>
    <w:rsid w:val="001D5C10"/>
    <w:rsid w:val="002009EA"/>
    <w:rsid w:val="00202756"/>
    <w:rsid w:val="00202CA0"/>
    <w:rsid w:val="0021548F"/>
    <w:rsid w:val="00216B6D"/>
    <w:rsid w:val="00223775"/>
    <w:rsid w:val="00225916"/>
    <w:rsid w:val="0022757F"/>
    <w:rsid w:val="00241FA2"/>
    <w:rsid w:val="00271316"/>
    <w:rsid w:val="002A155D"/>
    <w:rsid w:val="002B1456"/>
    <w:rsid w:val="002B349C"/>
    <w:rsid w:val="002D58BE"/>
    <w:rsid w:val="002F4747"/>
    <w:rsid w:val="00302605"/>
    <w:rsid w:val="00361B37"/>
    <w:rsid w:val="003770A0"/>
    <w:rsid w:val="00377BD3"/>
    <w:rsid w:val="00384088"/>
    <w:rsid w:val="003852CE"/>
    <w:rsid w:val="00386F25"/>
    <w:rsid w:val="0039169B"/>
    <w:rsid w:val="003A7F8C"/>
    <w:rsid w:val="003B2284"/>
    <w:rsid w:val="003B532E"/>
    <w:rsid w:val="003D0F8B"/>
    <w:rsid w:val="003E0DB6"/>
    <w:rsid w:val="0041348E"/>
    <w:rsid w:val="00417F2C"/>
    <w:rsid w:val="00420873"/>
    <w:rsid w:val="00424F3E"/>
    <w:rsid w:val="00430928"/>
    <w:rsid w:val="00492075"/>
    <w:rsid w:val="004969AD"/>
    <w:rsid w:val="004A26C4"/>
    <w:rsid w:val="004A3763"/>
    <w:rsid w:val="004A5AE0"/>
    <w:rsid w:val="004B13CB"/>
    <w:rsid w:val="004D26EA"/>
    <w:rsid w:val="004D2BFB"/>
    <w:rsid w:val="004D5D5C"/>
    <w:rsid w:val="004F3DC0"/>
    <w:rsid w:val="0050139F"/>
    <w:rsid w:val="00531591"/>
    <w:rsid w:val="00534236"/>
    <w:rsid w:val="005426E6"/>
    <w:rsid w:val="00546FF9"/>
    <w:rsid w:val="0055140B"/>
    <w:rsid w:val="00566AF0"/>
    <w:rsid w:val="0057317F"/>
    <w:rsid w:val="005861D7"/>
    <w:rsid w:val="00586E92"/>
    <w:rsid w:val="005964AB"/>
    <w:rsid w:val="00597655"/>
    <w:rsid w:val="005C099A"/>
    <w:rsid w:val="005C1B3E"/>
    <w:rsid w:val="005C31A5"/>
    <w:rsid w:val="005C7CAF"/>
    <w:rsid w:val="005E10C9"/>
    <w:rsid w:val="005E290B"/>
    <w:rsid w:val="005E2DA5"/>
    <w:rsid w:val="005E61DD"/>
    <w:rsid w:val="005F04D8"/>
    <w:rsid w:val="006023DF"/>
    <w:rsid w:val="00615426"/>
    <w:rsid w:val="00616219"/>
    <w:rsid w:val="0063133F"/>
    <w:rsid w:val="00645B7D"/>
    <w:rsid w:val="00656CE4"/>
    <w:rsid w:val="00657DE0"/>
    <w:rsid w:val="00685313"/>
    <w:rsid w:val="00692833"/>
    <w:rsid w:val="006A6E9B"/>
    <w:rsid w:val="006B7C2A"/>
    <w:rsid w:val="006C23DA"/>
    <w:rsid w:val="006C7714"/>
    <w:rsid w:val="006D70B0"/>
    <w:rsid w:val="006E3D45"/>
    <w:rsid w:val="006E7BA0"/>
    <w:rsid w:val="006F2B60"/>
    <w:rsid w:val="006F786A"/>
    <w:rsid w:val="006F7A3D"/>
    <w:rsid w:val="0070607A"/>
    <w:rsid w:val="00712190"/>
    <w:rsid w:val="007149F9"/>
    <w:rsid w:val="007335C7"/>
    <w:rsid w:val="00733A30"/>
    <w:rsid w:val="0074286F"/>
    <w:rsid w:val="00745AEE"/>
    <w:rsid w:val="00750F10"/>
    <w:rsid w:val="007576B9"/>
    <w:rsid w:val="007742CA"/>
    <w:rsid w:val="00790D70"/>
    <w:rsid w:val="007958DB"/>
    <w:rsid w:val="007A6F1F"/>
    <w:rsid w:val="007D5320"/>
    <w:rsid w:val="007E70A1"/>
    <w:rsid w:val="007F7BF2"/>
    <w:rsid w:val="00800972"/>
    <w:rsid w:val="00804475"/>
    <w:rsid w:val="00811633"/>
    <w:rsid w:val="00814037"/>
    <w:rsid w:val="0081764B"/>
    <w:rsid w:val="00822880"/>
    <w:rsid w:val="00841216"/>
    <w:rsid w:val="00842AF0"/>
    <w:rsid w:val="0086171E"/>
    <w:rsid w:val="00872FC8"/>
    <w:rsid w:val="008809FD"/>
    <w:rsid w:val="008845D0"/>
    <w:rsid w:val="00884D60"/>
    <w:rsid w:val="00896E56"/>
    <w:rsid w:val="008A2DE4"/>
    <w:rsid w:val="008B33E9"/>
    <w:rsid w:val="008B43F2"/>
    <w:rsid w:val="008B6CFF"/>
    <w:rsid w:val="009274B4"/>
    <w:rsid w:val="00934EA2"/>
    <w:rsid w:val="00944A5C"/>
    <w:rsid w:val="00952A66"/>
    <w:rsid w:val="009601B1"/>
    <w:rsid w:val="00974AF0"/>
    <w:rsid w:val="00980E6F"/>
    <w:rsid w:val="009B09BF"/>
    <w:rsid w:val="009B1EA1"/>
    <w:rsid w:val="009B7C9A"/>
    <w:rsid w:val="009C56E5"/>
    <w:rsid w:val="009C7716"/>
    <w:rsid w:val="009E5FC8"/>
    <w:rsid w:val="009E687A"/>
    <w:rsid w:val="009E6D05"/>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2A7E"/>
    <w:rsid w:val="00AE3D44"/>
    <w:rsid w:val="00AE514B"/>
    <w:rsid w:val="00AE66A8"/>
    <w:rsid w:val="00AF053F"/>
    <w:rsid w:val="00B01F9D"/>
    <w:rsid w:val="00B35C8A"/>
    <w:rsid w:val="00B40888"/>
    <w:rsid w:val="00B639E9"/>
    <w:rsid w:val="00B817CD"/>
    <w:rsid w:val="00B81A7D"/>
    <w:rsid w:val="00B91EF7"/>
    <w:rsid w:val="00B94AD0"/>
    <w:rsid w:val="00BA1DD8"/>
    <w:rsid w:val="00BB3A95"/>
    <w:rsid w:val="00BC75DE"/>
    <w:rsid w:val="00BD202F"/>
    <w:rsid w:val="00BD6CCE"/>
    <w:rsid w:val="00C0018F"/>
    <w:rsid w:val="00C16A5A"/>
    <w:rsid w:val="00C20466"/>
    <w:rsid w:val="00C214ED"/>
    <w:rsid w:val="00C234E6"/>
    <w:rsid w:val="00C23971"/>
    <w:rsid w:val="00C324A8"/>
    <w:rsid w:val="00C46588"/>
    <w:rsid w:val="00C52A20"/>
    <w:rsid w:val="00C54517"/>
    <w:rsid w:val="00C56F70"/>
    <w:rsid w:val="00C57B91"/>
    <w:rsid w:val="00C62607"/>
    <w:rsid w:val="00C64CD8"/>
    <w:rsid w:val="00C778C3"/>
    <w:rsid w:val="00C82695"/>
    <w:rsid w:val="00C97C68"/>
    <w:rsid w:val="00CA1A47"/>
    <w:rsid w:val="00CA3DFC"/>
    <w:rsid w:val="00CA4003"/>
    <w:rsid w:val="00CB44E5"/>
    <w:rsid w:val="00CC247A"/>
    <w:rsid w:val="00CE388F"/>
    <w:rsid w:val="00CE5E47"/>
    <w:rsid w:val="00CF020F"/>
    <w:rsid w:val="00CF2B5B"/>
    <w:rsid w:val="00CF30FC"/>
    <w:rsid w:val="00D14CE0"/>
    <w:rsid w:val="00D24A88"/>
    <w:rsid w:val="00D255D4"/>
    <w:rsid w:val="00D268B3"/>
    <w:rsid w:val="00D35661"/>
    <w:rsid w:val="00D52FD6"/>
    <w:rsid w:val="00D54009"/>
    <w:rsid w:val="00D5651D"/>
    <w:rsid w:val="00D57A34"/>
    <w:rsid w:val="00D72BDA"/>
    <w:rsid w:val="00D74898"/>
    <w:rsid w:val="00D801ED"/>
    <w:rsid w:val="00D936BC"/>
    <w:rsid w:val="00D96530"/>
    <w:rsid w:val="00DA1CB1"/>
    <w:rsid w:val="00DB51D2"/>
    <w:rsid w:val="00DD44AF"/>
    <w:rsid w:val="00DE2AC3"/>
    <w:rsid w:val="00DE5692"/>
    <w:rsid w:val="00DE6300"/>
    <w:rsid w:val="00DF0B40"/>
    <w:rsid w:val="00DF4BC6"/>
    <w:rsid w:val="00DF78E0"/>
    <w:rsid w:val="00E03C94"/>
    <w:rsid w:val="00E114F9"/>
    <w:rsid w:val="00E205BC"/>
    <w:rsid w:val="00E2155D"/>
    <w:rsid w:val="00E26226"/>
    <w:rsid w:val="00E45D05"/>
    <w:rsid w:val="00E55816"/>
    <w:rsid w:val="00E55AEF"/>
    <w:rsid w:val="00E77FA6"/>
    <w:rsid w:val="00E96ED0"/>
    <w:rsid w:val="00E976C1"/>
    <w:rsid w:val="00EA12E5"/>
    <w:rsid w:val="00EA6123"/>
    <w:rsid w:val="00EB0812"/>
    <w:rsid w:val="00EB3B11"/>
    <w:rsid w:val="00EB54B2"/>
    <w:rsid w:val="00EB55C6"/>
    <w:rsid w:val="00ED52C3"/>
    <w:rsid w:val="00EF1932"/>
    <w:rsid w:val="00EF71B6"/>
    <w:rsid w:val="00F02766"/>
    <w:rsid w:val="00F02C10"/>
    <w:rsid w:val="00F05BD4"/>
    <w:rsid w:val="00F06473"/>
    <w:rsid w:val="00F31B47"/>
    <w:rsid w:val="00F320AA"/>
    <w:rsid w:val="00F44BFD"/>
    <w:rsid w:val="00F6155B"/>
    <w:rsid w:val="00F65C19"/>
    <w:rsid w:val="00F822B0"/>
    <w:rsid w:val="00FD08E2"/>
    <w:rsid w:val="00FD1352"/>
    <w:rsid w:val="00FD18DA"/>
    <w:rsid w:val="00FD2546"/>
    <w:rsid w:val="00FD27B9"/>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1CF3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74286F"/>
    <w:rPr>
      <w:sz w:val="16"/>
      <w:szCs w:val="16"/>
    </w:rPr>
  </w:style>
  <w:style w:type="paragraph" w:styleId="CommentText">
    <w:name w:val="annotation text"/>
    <w:basedOn w:val="Normal"/>
    <w:link w:val="CommentTextChar"/>
    <w:unhideWhenUsed/>
    <w:rsid w:val="0074286F"/>
    <w:rPr>
      <w:sz w:val="20"/>
    </w:rPr>
  </w:style>
  <w:style w:type="character" w:customStyle="1" w:styleId="CommentTextChar">
    <w:name w:val="Comment Text Char"/>
    <w:basedOn w:val="DefaultParagraphFont"/>
    <w:link w:val="CommentText"/>
    <w:rsid w:val="0074286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4286F"/>
    <w:rPr>
      <w:b/>
      <w:bCs/>
    </w:rPr>
  </w:style>
  <w:style w:type="character" w:customStyle="1" w:styleId="CommentSubjectChar">
    <w:name w:val="Comment Subject Char"/>
    <w:basedOn w:val="CommentTextChar"/>
    <w:link w:val="CommentSubject"/>
    <w:semiHidden/>
    <w:rsid w:val="0074286F"/>
    <w:rPr>
      <w:rFonts w:ascii="Times New Roman" w:hAnsi="Times New Roman"/>
      <w:b/>
      <w:bCs/>
      <w:lang w:val="en-GB" w:eastAsia="en-US"/>
    </w:rPr>
  </w:style>
  <w:style w:type="paragraph" w:styleId="NormalWeb">
    <w:name w:val="Normal (Web)"/>
    <w:basedOn w:val="Normal"/>
    <w:uiPriority w:val="99"/>
    <w:semiHidden/>
    <w:unhideWhenUsed/>
    <w:rsid w:val="0074286F"/>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paragraph" w:styleId="Revision">
    <w:name w:val="Revision"/>
    <w:hidden/>
    <w:uiPriority w:val="99"/>
    <w:semiHidden/>
    <w:rsid w:val="001758B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R23-WRC23-C-0085!A24-A3!MSW-E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B259-1980-4EA5-A187-C3B10A93A5ED}">
  <ds:schemaRefs>
    <ds:schemaRef ds:uri="http://schemas.microsoft.com/sharepoint/events"/>
  </ds:schemaRefs>
</ds:datastoreItem>
</file>

<file path=customXml/itemProps2.xml><?xml version="1.0" encoding="utf-8"?>
<ds:datastoreItem xmlns:ds="http://schemas.openxmlformats.org/officeDocument/2006/customXml" ds:itemID="{D389739A-2FC2-4F6F-9274-01F5357AA29F}"/>
</file>

<file path=customXml/itemProps3.xml><?xml version="1.0" encoding="utf-8"?>
<ds:datastoreItem xmlns:ds="http://schemas.openxmlformats.org/officeDocument/2006/customXml" ds:itemID="{F2FD6691-C6CB-40B1-9A26-286D7AAEBF81}">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4.xml><?xml version="1.0" encoding="utf-8"?>
<ds:datastoreItem xmlns:ds="http://schemas.openxmlformats.org/officeDocument/2006/customXml" ds:itemID="{0FD21798-A7E3-4946-A6E5-842D72F4F3E9}">
  <ds:schemaRefs>
    <ds:schemaRef ds:uri="http://schemas.microsoft.com/sharepoint/v3/contenttype/forms"/>
  </ds:schemaRefs>
</ds:datastoreItem>
</file>

<file path=customXml/itemProps5.xml><?xml version="1.0" encoding="utf-8"?>
<ds:datastoreItem xmlns:ds="http://schemas.openxmlformats.org/officeDocument/2006/customXml" ds:itemID="{BB472FEF-5B76-4267-AF34-E02F69AB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708</Words>
  <Characters>3806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R23-WRC23-C-0085!A24-A3!MSW-E</vt:lpstr>
    </vt:vector>
  </TitlesOfParts>
  <Manager>General Secretariat - Pool</Manager>
  <Company>International Telecommunication Union (ITU)</Company>
  <LinksUpToDate>false</LinksUpToDate>
  <CharactersWithSpaces>4505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R23-WRC23-C-0085!A24-A3!MSW-E</dc:title>
  <dc:subject>World Radiocommunication Conference - 2023</dc:subject>
  <dc:creator>Documents Proposals Manager (DPM)</dc:creator>
  <cp:keywords>DPM_v2023.8.1.1_prod</cp:keywords>
  <dc:description>Uploaded on 2015.07.06</dc:description>
  <cp:lastModifiedBy>Gorbounova, Alexandra</cp:lastModifiedBy>
  <cp:revision>7</cp:revision>
  <cp:lastPrinted>2023-11-06T14:35:00Z</cp:lastPrinted>
  <dcterms:created xsi:type="dcterms:W3CDTF">2023-11-06T17:50:00Z</dcterms:created>
  <dcterms:modified xsi:type="dcterms:W3CDTF">2023-11-08T09:33:00Z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